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348814">
      <w:pPr>
        <w:pStyle w:val="10"/>
        <w:widowControl/>
        <w:spacing w:before="75" w:beforeLines="0" w:beforeAutospacing="0" w:after="75" w:afterLines="0" w:afterAutospacing="0"/>
        <w:jc w:val="center"/>
        <w:rPr>
          <w:rStyle w:val="16"/>
          <w:rFonts w:hint="eastAsia" w:ascii="宋体" w:hAnsi="宋体" w:eastAsia="宋体" w:cs="宋体"/>
          <w:color w:val="auto"/>
          <w:sz w:val="72"/>
          <w:szCs w:val="72"/>
          <w:highlight w:val="none"/>
          <w:lang w:eastAsia="zh-CN"/>
        </w:rPr>
      </w:pPr>
    </w:p>
    <w:p w14:paraId="0D6C7670">
      <w:pPr>
        <w:pStyle w:val="10"/>
        <w:widowControl/>
        <w:spacing w:before="75" w:beforeLines="0" w:beforeAutospacing="0" w:after="75" w:afterLines="0" w:afterAutospacing="0"/>
        <w:ind w:firstLine="723" w:firstLineChars="100"/>
        <w:jc w:val="both"/>
        <w:rPr>
          <w:rStyle w:val="16"/>
          <w:rFonts w:hint="eastAsia" w:ascii="宋体" w:hAnsi="宋体" w:eastAsia="宋体" w:cs="宋体"/>
          <w:color w:val="auto"/>
          <w:sz w:val="72"/>
          <w:szCs w:val="72"/>
          <w:highlight w:val="none"/>
          <w:lang w:eastAsia="zh-CN"/>
        </w:rPr>
      </w:pPr>
      <w:r>
        <w:rPr>
          <w:rStyle w:val="16"/>
          <w:rFonts w:hint="eastAsia" w:ascii="宋体" w:hAnsi="宋体" w:eastAsia="宋体" w:cs="宋体"/>
          <w:color w:val="auto"/>
          <w:sz w:val="72"/>
          <w:szCs w:val="72"/>
          <w:highlight w:val="none"/>
          <w:lang w:eastAsia="zh-CN"/>
        </w:rPr>
        <w:t>湄洲湾职业技术学院</w:t>
      </w:r>
    </w:p>
    <w:p w14:paraId="09205E76">
      <w:pPr>
        <w:pStyle w:val="10"/>
        <w:widowControl/>
        <w:spacing w:before="75" w:beforeLines="0" w:beforeAutospacing="0" w:after="75" w:afterLines="0" w:afterAutospacing="0"/>
        <w:jc w:val="center"/>
        <w:rPr>
          <w:rStyle w:val="16"/>
          <w:rFonts w:ascii="宋体" w:hAnsi="宋体" w:cs="宋体"/>
          <w:color w:val="auto"/>
          <w:sz w:val="72"/>
          <w:szCs w:val="72"/>
          <w:highlight w:val="none"/>
        </w:rPr>
      </w:pPr>
    </w:p>
    <w:p w14:paraId="7178C493">
      <w:pPr>
        <w:pStyle w:val="10"/>
        <w:widowControl/>
        <w:spacing w:before="75" w:beforeLines="0" w:beforeAutospacing="0" w:after="75" w:afterLines="0" w:afterAutospacing="0"/>
        <w:ind w:firstLine="1446" w:firstLineChars="200"/>
        <w:jc w:val="both"/>
        <w:rPr>
          <w:rFonts w:hint="eastAsia" w:ascii="微软雅黑" w:hAnsi="微软雅黑" w:eastAsia="微软雅黑" w:cs="微软雅黑"/>
          <w:color w:val="auto"/>
          <w:sz w:val="72"/>
          <w:szCs w:val="72"/>
          <w:highlight w:val="none"/>
        </w:rPr>
      </w:pPr>
      <w:r>
        <w:rPr>
          <w:rStyle w:val="16"/>
          <w:rFonts w:hint="eastAsia" w:ascii="宋体" w:hAnsi="宋体" w:cs="宋体"/>
          <w:color w:val="auto"/>
          <w:sz w:val="72"/>
          <w:szCs w:val="72"/>
          <w:highlight w:val="none"/>
        </w:rPr>
        <w:t>竞争性磋商文件</w:t>
      </w:r>
    </w:p>
    <w:p w14:paraId="7EF652CF">
      <w:pPr>
        <w:pStyle w:val="10"/>
        <w:widowControl/>
        <w:spacing w:before="75" w:beforeLines="0" w:beforeAutospacing="0" w:after="75" w:afterLines="0" w:afterAutospacing="0"/>
        <w:jc w:val="center"/>
        <w:rPr>
          <w:rFonts w:hint="eastAsia" w:ascii="微软雅黑" w:hAnsi="微软雅黑" w:eastAsia="微软雅黑" w:cs="微软雅黑"/>
          <w:color w:val="auto"/>
          <w:sz w:val="27"/>
          <w:szCs w:val="27"/>
          <w:highlight w:val="none"/>
        </w:rPr>
      </w:pPr>
      <w:r>
        <w:rPr>
          <w:rFonts w:hint="eastAsia" w:ascii="微软雅黑" w:hAnsi="微软雅黑" w:eastAsia="微软雅黑" w:cs="微软雅黑"/>
          <w:color w:val="auto"/>
          <w:highlight w:val="none"/>
        </w:rPr>
        <w:t> </w:t>
      </w:r>
    </w:p>
    <w:p w14:paraId="02D26B31">
      <w:pPr>
        <w:pStyle w:val="10"/>
        <w:widowControl/>
        <w:spacing w:before="75" w:beforeLines="0" w:beforeAutospacing="0" w:after="75" w:afterLines="0" w:afterAutospacing="0"/>
        <w:rPr>
          <w:rStyle w:val="16"/>
          <w:rFonts w:hint="eastAsia" w:ascii="宋体" w:hAnsi="宋体" w:cs="宋体"/>
          <w:color w:val="auto"/>
          <w:sz w:val="72"/>
          <w:szCs w:val="72"/>
          <w:highlight w:val="none"/>
        </w:rPr>
      </w:pPr>
      <w:r>
        <w:rPr>
          <w:rStyle w:val="16"/>
          <w:rFonts w:hint="eastAsia" w:ascii="宋体" w:hAnsi="宋体" w:cs="宋体"/>
          <w:color w:val="auto"/>
          <w:sz w:val="72"/>
          <w:szCs w:val="72"/>
          <w:highlight w:val="none"/>
        </w:rPr>
        <w:t> </w:t>
      </w:r>
    </w:p>
    <w:p w14:paraId="08F3CB09">
      <w:pPr>
        <w:pStyle w:val="10"/>
        <w:widowControl/>
        <w:spacing w:before="75" w:beforeLines="0" w:beforeAutospacing="0" w:after="75" w:afterLines="0" w:afterAutospacing="0"/>
        <w:ind w:left="1501" w:leftChars="428" w:hanging="602" w:hangingChars="200"/>
        <w:jc w:val="both"/>
        <w:rPr>
          <w:rFonts w:hint="default" w:ascii="微软雅黑" w:hAnsi="微软雅黑" w:eastAsia="宋体" w:cs="微软雅黑"/>
          <w:color w:val="auto"/>
          <w:sz w:val="30"/>
          <w:szCs w:val="30"/>
          <w:highlight w:val="none"/>
          <w:lang w:eastAsia="zh-CN"/>
        </w:rPr>
      </w:pPr>
      <w:r>
        <w:rPr>
          <w:rStyle w:val="16"/>
          <w:rFonts w:hint="eastAsia" w:ascii="宋体" w:hAnsi="宋体" w:cs="宋体"/>
          <w:color w:val="auto"/>
          <w:sz w:val="30"/>
          <w:szCs w:val="30"/>
          <w:highlight w:val="none"/>
        </w:rPr>
        <w:t>项目名称：</w:t>
      </w:r>
      <w:r>
        <w:rPr>
          <w:rStyle w:val="16"/>
          <w:rFonts w:hint="eastAsia" w:ascii="宋体" w:hAnsi="宋体" w:cs="宋体"/>
          <w:color w:val="auto"/>
          <w:sz w:val="30"/>
          <w:szCs w:val="30"/>
          <w:highlight w:val="none"/>
          <w:lang w:eastAsia="zh-CN"/>
        </w:rPr>
        <w:t>学院消防维保检测服务</w:t>
      </w:r>
    </w:p>
    <w:p w14:paraId="6E984609">
      <w:pPr>
        <w:pStyle w:val="10"/>
        <w:widowControl/>
        <w:spacing w:before="75" w:beforeLines="0" w:beforeAutospacing="0" w:after="75" w:afterLines="0" w:afterAutospacing="0"/>
        <w:ind w:firstLine="904" w:firstLineChars="300"/>
        <w:jc w:val="both"/>
        <w:rPr>
          <w:rFonts w:hint="default" w:ascii="微软雅黑" w:hAnsi="微软雅黑" w:eastAsia="宋体" w:cs="微软雅黑"/>
          <w:color w:val="auto"/>
          <w:sz w:val="30"/>
          <w:szCs w:val="30"/>
          <w:highlight w:val="none"/>
          <w:lang w:eastAsia="zh-CN"/>
        </w:rPr>
      </w:pPr>
      <w:r>
        <w:rPr>
          <w:rStyle w:val="16"/>
          <w:rFonts w:hint="eastAsia" w:ascii="宋体" w:hAnsi="宋体" w:cs="宋体"/>
          <w:color w:val="auto"/>
          <w:sz w:val="30"/>
          <w:szCs w:val="30"/>
          <w:highlight w:val="none"/>
        </w:rPr>
        <w:t>项目编号：</w:t>
      </w:r>
      <w:r>
        <w:rPr>
          <w:rStyle w:val="16"/>
          <w:rFonts w:hint="eastAsia" w:ascii="宋体" w:hAnsi="宋体" w:cs="宋体"/>
          <w:color w:val="auto"/>
          <w:sz w:val="30"/>
          <w:szCs w:val="30"/>
          <w:highlight w:val="none"/>
          <w:lang w:eastAsia="zh-CN"/>
        </w:rPr>
        <w:t>FJTH[2024]032号</w:t>
      </w:r>
    </w:p>
    <w:p w14:paraId="779D56AE">
      <w:pPr>
        <w:pStyle w:val="10"/>
        <w:widowControl/>
        <w:spacing w:before="75" w:beforeLines="0" w:beforeAutospacing="0" w:after="75" w:afterLines="0" w:afterAutospacing="0"/>
        <w:rPr>
          <w:rFonts w:hint="eastAsia" w:ascii="微软雅黑" w:hAnsi="微软雅黑" w:eastAsia="微软雅黑" w:cs="微软雅黑"/>
          <w:color w:val="auto"/>
          <w:sz w:val="27"/>
          <w:szCs w:val="27"/>
          <w:highlight w:val="none"/>
        </w:rPr>
      </w:pPr>
      <w:r>
        <w:rPr>
          <w:rFonts w:hint="eastAsia" w:ascii="微软雅黑" w:hAnsi="微软雅黑" w:eastAsia="微软雅黑" w:cs="微软雅黑"/>
          <w:color w:val="auto"/>
          <w:highlight w:val="none"/>
        </w:rPr>
        <w:t> </w:t>
      </w:r>
    </w:p>
    <w:p w14:paraId="02E6D706">
      <w:pPr>
        <w:pStyle w:val="10"/>
        <w:widowControl/>
        <w:spacing w:before="75" w:beforeLines="0" w:beforeAutospacing="0" w:after="75" w:afterLines="0" w:afterAutospacing="0"/>
        <w:rPr>
          <w:rFonts w:hint="eastAsia" w:ascii="微软雅黑" w:hAnsi="微软雅黑" w:eastAsia="微软雅黑" w:cs="微软雅黑"/>
          <w:color w:val="auto"/>
          <w:sz w:val="27"/>
          <w:szCs w:val="27"/>
          <w:highlight w:val="none"/>
        </w:rPr>
      </w:pPr>
      <w:r>
        <w:rPr>
          <w:rFonts w:hint="eastAsia" w:ascii="微软雅黑" w:hAnsi="微软雅黑" w:eastAsia="微软雅黑" w:cs="微软雅黑"/>
          <w:color w:val="auto"/>
          <w:highlight w:val="none"/>
        </w:rPr>
        <w:t> </w:t>
      </w:r>
    </w:p>
    <w:p w14:paraId="5CE54CF6">
      <w:pPr>
        <w:pStyle w:val="10"/>
        <w:widowControl/>
        <w:spacing w:before="75" w:beforeLines="0" w:beforeAutospacing="0" w:after="75" w:afterLines="0" w:afterAutospacing="0"/>
        <w:rPr>
          <w:rFonts w:hint="eastAsia" w:ascii="微软雅黑" w:hAnsi="微软雅黑" w:eastAsia="微软雅黑" w:cs="微软雅黑"/>
          <w:color w:val="auto"/>
          <w:highlight w:val="none"/>
        </w:rPr>
      </w:pPr>
      <w:r>
        <w:rPr>
          <w:rFonts w:hint="eastAsia" w:ascii="微软雅黑" w:hAnsi="微软雅黑" w:eastAsia="微软雅黑" w:cs="微软雅黑"/>
          <w:color w:val="auto"/>
          <w:highlight w:val="none"/>
        </w:rPr>
        <w:t> </w:t>
      </w:r>
    </w:p>
    <w:p w14:paraId="35419BBC">
      <w:pPr>
        <w:pStyle w:val="10"/>
        <w:widowControl/>
        <w:spacing w:before="75" w:beforeLines="0" w:beforeAutospacing="0" w:after="75" w:afterLines="0" w:afterAutospacing="0"/>
        <w:ind w:firstLine="1405" w:firstLineChars="500"/>
        <w:jc w:val="both"/>
        <w:rPr>
          <w:rStyle w:val="16"/>
          <w:rFonts w:hint="eastAsia" w:ascii="宋体" w:hAnsi="宋体" w:eastAsia="宋体" w:cs="宋体"/>
          <w:color w:val="auto"/>
          <w:sz w:val="28"/>
          <w:szCs w:val="28"/>
          <w:highlight w:val="none"/>
          <w:lang w:val="en-US" w:eastAsia="zh-CN"/>
        </w:rPr>
      </w:pPr>
      <w:r>
        <w:rPr>
          <w:rStyle w:val="16"/>
          <w:rFonts w:hint="eastAsia" w:ascii="宋体" w:hAnsi="宋体" w:eastAsia="宋体" w:cs="宋体"/>
          <w:color w:val="auto"/>
          <w:sz w:val="28"/>
          <w:szCs w:val="28"/>
          <w:highlight w:val="none"/>
          <w:lang w:val="en-US" w:eastAsia="zh-CN"/>
        </w:rPr>
        <w:t>采购人：</w:t>
      </w:r>
      <w:r>
        <w:rPr>
          <w:rStyle w:val="16"/>
          <w:rFonts w:hint="eastAsia" w:ascii="宋体" w:hAnsi="宋体" w:eastAsia="宋体" w:cs="宋体"/>
          <w:color w:val="auto"/>
          <w:sz w:val="28"/>
          <w:szCs w:val="28"/>
          <w:highlight w:val="none"/>
          <w:lang w:eastAsia="zh-CN"/>
        </w:rPr>
        <w:t>湄洲湾职业技术学院</w:t>
      </w:r>
    </w:p>
    <w:p w14:paraId="4C747DA6">
      <w:pPr>
        <w:pStyle w:val="10"/>
        <w:widowControl/>
        <w:spacing w:before="75" w:beforeLines="0" w:beforeAutospacing="0" w:after="75" w:afterLines="0" w:afterAutospacing="0"/>
        <w:ind w:firstLine="1405" w:firstLineChars="500"/>
        <w:jc w:val="both"/>
        <w:rPr>
          <w:rFonts w:hint="default" w:ascii="微软雅黑" w:hAnsi="微软雅黑" w:eastAsia="宋体" w:cs="微软雅黑"/>
          <w:color w:val="auto"/>
          <w:sz w:val="27"/>
          <w:szCs w:val="27"/>
          <w:highlight w:val="none"/>
          <w:lang w:eastAsia="zh-CN"/>
        </w:rPr>
      </w:pPr>
      <w:r>
        <w:rPr>
          <w:rStyle w:val="16"/>
          <w:rFonts w:hint="eastAsia" w:ascii="宋体" w:hAnsi="宋体" w:eastAsia="宋体" w:cs="宋体"/>
          <w:color w:val="auto"/>
          <w:sz w:val="28"/>
          <w:szCs w:val="28"/>
          <w:highlight w:val="none"/>
        </w:rPr>
        <w:t>代理机构：</w:t>
      </w:r>
      <w:r>
        <w:rPr>
          <w:rStyle w:val="16"/>
          <w:rFonts w:hint="default" w:ascii="宋体" w:hAnsi="宋体" w:cs="宋体"/>
          <w:color w:val="auto"/>
          <w:sz w:val="28"/>
          <w:szCs w:val="28"/>
          <w:highlight w:val="none"/>
        </w:rPr>
        <w:t>福建省天弘工程项目管理有限公司</w:t>
      </w:r>
    </w:p>
    <w:p w14:paraId="11946A29">
      <w:pPr>
        <w:pStyle w:val="10"/>
        <w:widowControl/>
        <w:spacing w:before="75" w:beforeLines="0" w:beforeAutospacing="0" w:after="75" w:afterLines="0" w:afterAutospacing="0"/>
        <w:ind w:firstLine="2811" w:firstLineChars="1000"/>
        <w:jc w:val="both"/>
        <w:rPr>
          <w:rStyle w:val="16"/>
          <w:rFonts w:hint="eastAsia" w:ascii="宋体" w:hAnsi="宋体" w:eastAsia="宋体" w:cs="宋体"/>
          <w:color w:val="auto"/>
          <w:sz w:val="28"/>
          <w:szCs w:val="28"/>
          <w:highlight w:val="none"/>
          <w:lang w:eastAsia="zh-CN"/>
        </w:rPr>
      </w:pPr>
      <w:r>
        <w:rPr>
          <w:rStyle w:val="16"/>
          <w:rFonts w:hint="eastAsia" w:ascii="宋体" w:hAnsi="宋体" w:eastAsia="宋体" w:cs="宋体"/>
          <w:color w:val="auto"/>
          <w:sz w:val="28"/>
          <w:szCs w:val="28"/>
          <w:highlight w:val="none"/>
          <w:lang w:eastAsia="zh-CN"/>
        </w:rPr>
        <w:t>202</w:t>
      </w:r>
      <w:r>
        <w:rPr>
          <w:rStyle w:val="16"/>
          <w:rFonts w:hint="eastAsia" w:ascii="宋体" w:hAnsi="宋体" w:eastAsia="宋体" w:cs="宋体"/>
          <w:color w:val="auto"/>
          <w:sz w:val="28"/>
          <w:szCs w:val="28"/>
          <w:highlight w:val="none"/>
          <w:lang w:val="en-US" w:eastAsia="zh-CN"/>
        </w:rPr>
        <w:t>4</w:t>
      </w:r>
      <w:r>
        <w:rPr>
          <w:rStyle w:val="16"/>
          <w:rFonts w:hint="eastAsia" w:ascii="宋体" w:hAnsi="宋体" w:eastAsia="宋体" w:cs="宋体"/>
          <w:color w:val="auto"/>
          <w:sz w:val="28"/>
          <w:szCs w:val="28"/>
          <w:highlight w:val="none"/>
          <w:lang w:eastAsia="zh-CN"/>
        </w:rPr>
        <w:t>年</w:t>
      </w:r>
      <w:r>
        <w:rPr>
          <w:rStyle w:val="16"/>
          <w:rFonts w:hint="eastAsia" w:ascii="宋体" w:hAnsi="宋体" w:eastAsia="宋体" w:cs="宋体"/>
          <w:color w:val="auto"/>
          <w:sz w:val="28"/>
          <w:szCs w:val="28"/>
          <w:highlight w:val="none"/>
          <w:lang w:val="en-US" w:eastAsia="zh-CN"/>
        </w:rPr>
        <w:t>0</w:t>
      </w:r>
      <w:r>
        <w:rPr>
          <w:rStyle w:val="16"/>
          <w:rFonts w:hint="eastAsia" w:ascii="宋体" w:hAnsi="宋体" w:cs="宋体"/>
          <w:color w:val="auto"/>
          <w:sz w:val="28"/>
          <w:szCs w:val="28"/>
          <w:highlight w:val="none"/>
          <w:lang w:val="en-US" w:eastAsia="zh-CN"/>
        </w:rPr>
        <w:t>6</w:t>
      </w:r>
      <w:r>
        <w:rPr>
          <w:rStyle w:val="16"/>
          <w:rFonts w:hint="eastAsia" w:ascii="宋体" w:hAnsi="宋体" w:eastAsia="宋体" w:cs="宋体"/>
          <w:color w:val="auto"/>
          <w:sz w:val="28"/>
          <w:szCs w:val="28"/>
          <w:highlight w:val="none"/>
          <w:lang w:eastAsia="zh-CN"/>
        </w:rPr>
        <w:t>月</w:t>
      </w:r>
    </w:p>
    <w:p w14:paraId="18081B5D">
      <w:pPr>
        <w:pStyle w:val="10"/>
        <w:widowControl/>
        <w:spacing w:before="75" w:beforeLines="0" w:beforeAutospacing="0" w:after="75" w:afterLines="0" w:afterAutospacing="0" w:line="405" w:lineRule="atLeast"/>
        <w:jc w:val="center"/>
        <w:rPr>
          <w:rStyle w:val="16"/>
          <w:rFonts w:hint="eastAsia" w:ascii="宋体" w:hAnsi="宋体" w:cs="宋体"/>
          <w:color w:val="auto"/>
          <w:highlight w:val="none"/>
        </w:rPr>
      </w:pPr>
    </w:p>
    <w:p w14:paraId="0591D6FA">
      <w:pPr>
        <w:pStyle w:val="10"/>
        <w:widowControl/>
        <w:spacing w:before="76" w:beforeLines="0" w:beforeAutospacing="0" w:after="76" w:afterLines="0" w:afterAutospacing="0" w:line="360" w:lineRule="auto"/>
        <w:ind w:left="-362" w:right="-362"/>
        <w:jc w:val="center"/>
        <w:rPr>
          <w:rStyle w:val="16"/>
          <w:rFonts w:hint="eastAsia" w:ascii="宋体" w:hAnsi="宋体" w:cs="宋体"/>
          <w:color w:val="auto"/>
          <w:sz w:val="28"/>
          <w:szCs w:val="28"/>
          <w:highlight w:val="none"/>
          <w:shd w:val="clear" w:color="auto" w:fill="FFFFFF"/>
        </w:rPr>
        <w:sectPr>
          <w:pgSz w:w="11906" w:h="16838"/>
          <w:pgMar w:top="1440" w:right="1800" w:bottom="1440" w:left="1800" w:header="851" w:footer="992" w:gutter="0"/>
          <w:cols w:space="720" w:num="1"/>
          <w:docGrid w:type="lines" w:linePitch="312" w:charSpace="0"/>
        </w:sectPr>
      </w:pPr>
    </w:p>
    <w:p w14:paraId="78D5BE51">
      <w:pPr>
        <w:pStyle w:val="10"/>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right="0" w:firstLine="0"/>
        <w:jc w:val="center"/>
        <w:textAlignment w:val="auto"/>
        <w:outlineLvl w:val="0"/>
        <w:rPr>
          <w:rStyle w:val="16"/>
          <w:rFonts w:hint="eastAsia" w:ascii="宋体" w:hAnsi="宋体" w:eastAsia="宋体" w:cs="宋体"/>
          <w:color w:val="auto"/>
          <w:spacing w:val="0"/>
          <w:sz w:val="43"/>
          <w:szCs w:val="43"/>
          <w:highlight w:val="none"/>
        </w:rPr>
      </w:pPr>
      <w:bookmarkStart w:id="0" w:name="_Toc14798"/>
      <w:bookmarkStart w:id="1" w:name="_Toc17157"/>
      <w:bookmarkStart w:id="2" w:name="_Toc16192"/>
      <w:r>
        <w:rPr>
          <w:rStyle w:val="16"/>
          <w:rFonts w:hint="eastAsia" w:ascii="宋体" w:hAnsi="宋体" w:eastAsia="宋体" w:cs="宋体"/>
          <w:color w:val="auto"/>
          <w:spacing w:val="0"/>
          <w:sz w:val="43"/>
          <w:szCs w:val="43"/>
          <w:highlight w:val="none"/>
        </w:rPr>
        <w:t>第一章 采购邀请书</w:t>
      </w:r>
      <w:bookmarkEnd w:id="0"/>
      <w:bookmarkEnd w:id="1"/>
      <w:bookmarkEnd w:id="2"/>
    </w:p>
    <w:p w14:paraId="379B05A9">
      <w:pPr>
        <w:pStyle w:val="10"/>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right="0" w:firstLine="0"/>
        <w:jc w:val="both"/>
        <w:textAlignment w:val="auto"/>
        <w:rPr>
          <w:rStyle w:val="16"/>
          <w:rFonts w:hint="eastAsia" w:ascii="宋体" w:hAnsi="宋体" w:eastAsia="宋体" w:cs="宋体"/>
          <w:color w:val="auto"/>
          <w:spacing w:val="0"/>
          <w:sz w:val="36"/>
          <w:szCs w:val="36"/>
          <w:highlight w:val="none"/>
        </w:rPr>
      </w:pPr>
    </w:p>
    <w:p w14:paraId="18375559">
      <w:pPr>
        <w:pStyle w:val="10"/>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360" w:lineRule="auto"/>
        <w:ind w:left="0" w:right="0" w:firstLine="0"/>
        <w:jc w:val="center"/>
        <w:textAlignment w:val="auto"/>
        <w:rPr>
          <w:rStyle w:val="16"/>
          <w:rFonts w:hint="eastAsia" w:ascii="宋体" w:hAnsi="宋体" w:eastAsia="宋体" w:cs="宋体"/>
          <w:color w:val="auto"/>
          <w:spacing w:val="0"/>
          <w:sz w:val="36"/>
          <w:szCs w:val="36"/>
          <w:highlight w:val="none"/>
        </w:rPr>
      </w:pPr>
      <w:r>
        <w:rPr>
          <w:rStyle w:val="16"/>
          <w:rFonts w:hint="eastAsia" w:ascii="宋体" w:hAnsi="宋体" w:eastAsia="宋体" w:cs="宋体"/>
          <w:color w:val="auto"/>
          <w:spacing w:val="0"/>
          <w:sz w:val="36"/>
          <w:szCs w:val="36"/>
          <w:highlight w:val="none"/>
        </w:rPr>
        <w:t>竞争性磋商采购公告</w:t>
      </w:r>
    </w:p>
    <w:p w14:paraId="54F745F8">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eastAsia="zh-CN"/>
        </w:rPr>
        <w:t>湄洲湾职业技术学院</w:t>
      </w:r>
      <w:r>
        <w:rPr>
          <w:rFonts w:hint="eastAsia" w:ascii="宋体" w:hAnsi="宋体" w:eastAsia="宋体" w:cs="宋体"/>
          <w:color w:val="auto"/>
          <w:sz w:val="24"/>
          <w:szCs w:val="24"/>
          <w:highlight w:val="none"/>
        </w:rPr>
        <w:t>已根据政府采购相关法律法规，经相应程序确定采用</w:t>
      </w:r>
      <w:r>
        <w:rPr>
          <w:rFonts w:hint="eastAsia" w:ascii="宋体" w:hAnsi="宋体" w:eastAsia="宋体" w:cs="宋体"/>
          <w:color w:val="auto"/>
          <w:sz w:val="24"/>
          <w:szCs w:val="24"/>
          <w:highlight w:val="none"/>
          <w:u w:val="single"/>
        </w:rPr>
        <w:t>竞争性磋商</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方式组织</w:t>
      </w:r>
      <w:r>
        <w:rPr>
          <w:rFonts w:hint="eastAsia" w:ascii="宋体" w:hAnsi="宋体" w:eastAsia="宋体" w:cs="宋体"/>
          <w:color w:val="auto"/>
          <w:sz w:val="24"/>
          <w:szCs w:val="24"/>
          <w:highlight w:val="none"/>
          <w:u w:val="single"/>
          <w:lang w:val="en-US" w:eastAsia="zh-CN"/>
        </w:rPr>
        <w:t xml:space="preserve"> </w:t>
      </w:r>
      <w:r>
        <w:rPr>
          <w:rFonts w:hint="eastAsia" w:ascii="宋体" w:hAnsi="宋体" w:cs="宋体"/>
          <w:color w:val="auto"/>
          <w:sz w:val="24"/>
          <w:szCs w:val="24"/>
          <w:highlight w:val="none"/>
          <w:u w:val="single" w:color="auto"/>
          <w:lang w:eastAsia="zh-CN"/>
        </w:rPr>
        <w:t>学院消防维保检测服务</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rPr>
        <w:t>项目（以下简称：“本项目”）的政府采购活动，现欢迎国内合格的供应商前来参加。本项目由采购人委托</w:t>
      </w:r>
      <w:r>
        <w:rPr>
          <w:rFonts w:hint="default" w:ascii="宋体" w:hAnsi="宋体" w:cs="宋体"/>
          <w:color w:val="auto"/>
          <w:sz w:val="24"/>
          <w:szCs w:val="24"/>
          <w:highlight w:val="none"/>
          <w:u w:val="single"/>
          <w:lang w:eastAsia="zh-CN"/>
        </w:rPr>
        <w:t>福建省天弘工程项目管理有限公司</w:t>
      </w:r>
      <w:r>
        <w:rPr>
          <w:rFonts w:hint="eastAsia" w:ascii="宋体" w:hAnsi="宋体" w:eastAsia="宋体" w:cs="宋体"/>
          <w:color w:val="auto"/>
          <w:sz w:val="24"/>
          <w:szCs w:val="24"/>
          <w:highlight w:val="none"/>
        </w:rPr>
        <w:t>开展竞争性磋商活动。</w:t>
      </w:r>
    </w:p>
    <w:p w14:paraId="61E30879">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1.项目名称：</w:t>
      </w:r>
      <w:r>
        <w:rPr>
          <w:rFonts w:hint="eastAsia" w:ascii="宋体" w:hAnsi="宋体" w:cs="宋体"/>
          <w:color w:val="auto"/>
          <w:sz w:val="24"/>
          <w:szCs w:val="24"/>
          <w:highlight w:val="none"/>
          <w:lang w:eastAsia="zh-CN"/>
        </w:rPr>
        <w:t>学院消防维保检测服务</w:t>
      </w:r>
      <w:r>
        <w:rPr>
          <w:rFonts w:hint="eastAsia" w:ascii="宋体" w:hAnsi="宋体" w:eastAsia="宋体" w:cs="宋体"/>
          <w:color w:val="auto"/>
          <w:sz w:val="24"/>
          <w:szCs w:val="24"/>
          <w:highlight w:val="none"/>
        </w:rPr>
        <w:t>。</w:t>
      </w:r>
    </w:p>
    <w:p w14:paraId="4369F232">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2.项目编号：</w:t>
      </w:r>
      <w:r>
        <w:rPr>
          <w:rFonts w:hint="eastAsia" w:ascii="宋体" w:hAnsi="宋体" w:cs="宋体"/>
          <w:color w:val="auto"/>
          <w:sz w:val="24"/>
          <w:szCs w:val="24"/>
          <w:highlight w:val="none"/>
          <w:lang w:eastAsia="zh-CN"/>
        </w:rPr>
        <w:t>FJTH[2024]032号</w:t>
      </w:r>
      <w:r>
        <w:rPr>
          <w:rFonts w:hint="eastAsia" w:ascii="宋体" w:hAnsi="宋体" w:eastAsia="宋体" w:cs="宋体"/>
          <w:color w:val="auto"/>
          <w:sz w:val="24"/>
          <w:szCs w:val="24"/>
          <w:highlight w:val="none"/>
        </w:rPr>
        <w:t>。</w:t>
      </w:r>
    </w:p>
    <w:p w14:paraId="096561FE">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3.采购内容及要求：</w:t>
      </w:r>
    </w:p>
    <w:p w14:paraId="5EAF6960">
      <w:pPr>
        <w:pStyle w:val="18"/>
        <w:keepNext w:val="0"/>
        <w:keepLines w:val="0"/>
        <w:pageBreakBefore w:val="0"/>
        <w:kinsoku/>
        <w:wordWrap/>
        <w:overflowPunct/>
        <w:topLinePunct w:val="0"/>
        <w:autoSpaceDE/>
        <w:autoSpaceDN/>
        <w:bidi w:val="0"/>
        <w:adjustRightInd/>
        <w:snapToGrid/>
        <w:spacing w:beforeAutospacing="0" w:afterAutospacing="0" w:line="420" w:lineRule="exact"/>
        <w:ind w:firstLine="480" w:firstLineChars="200"/>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采购包1：</w:t>
      </w:r>
    </w:p>
    <w:p w14:paraId="1D5C276D">
      <w:pPr>
        <w:pStyle w:val="18"/>
        <w:keepNext w:val="0"/>
        <w:keepLines w:val="0"/>
        <w:pageBreakBefore w:val="0"/>
        <w:kinsoku/>
        <w:wordWrap/>
        <w:overflowPunct/>
        <w:topLinePunct w:val="0"/>
        <w:autoSpaceDE/>
        <w:autoSpaceDN/>
        <w:bidi w:val="0"/>
        <w:adjustRightInd/>
        <w:snapToGrid/>
        <w:spacing w:beforeAutospacing="0" w:afterAutospacing="0" w:line="420" w:lineRule="exact"/>
        <w:ind w:firstLine="480" w:firstLineChars="200"/>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采购包预算金额（元）:</w:t>
      </w:r>
      <w:r>
        <w:rPr>
          <w:rFonts w:hint="eastAsia" w:ascii="宋体" w:hAnsi="宋体" w:cs="宋体"/>
          <w:color w:val="auto"/>
          <w:kern w:val="0"/>
          <w:sz w:val="24"/>
          <w:szCs w:val="24"/>
          <w:highlight w:val="none"/>
          <w:lang w:val="en-US" w:eastAsia="zh-CN" w:bidi="ar"/>
        </w:rPr>
        <w:t>296200</w:t>
      </w:r>
      <w:r>
        <w:rPr>
          <w:rFonts w:hint="eastAsia" w:ascii="宋体" w:hAnsi="宋体" w:eastAsia="宋体" w:cs="宋体"/>
          <w:color w:val="auto"/>
          <w:kern w:val="0"/>
          <w:sz w:val="24"/>
          <w:szCs w:val="24"/>
          <w:highlight w:val="none"/>
          <w:lang w:val="en-US" w:eastAsia="zh-CN" w:bidi="ar"/>
        </w:rPr>
        <w:t>.00</w:t>
      </w:r>
    </w:p>
    <w:p w14:paraId="2DF90A87">
      <w:pPr>
        <w:pStyle w:val="18"/>
        <w:keepNext w:val="0"/>
        <w:keepLines w:val="0"/>
        <w:pageBreakBefore w:val="0"/>
        <w:kinsoku/>
        <w:wordWrap/>
        <w:overflowPunct/>
        <w:topLinePunct w:val="0"/>
        <w:autoSpaceDE/>
        <w:autoSpaceDN/>
        <w:bidi w:val="0"/>
        <w:adjustRightInd/>
        <w:snapToGrid/>
        <w:spacing w:beforeAutospacing="0" w:afterAutospacing="0" w:line="420" w:lineRule="exact"/>
        <w:ind w:firstLine="480" w:firstLineChars="200"/>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采购包最高限价（元）:</w:t>
      </w:r>
      <w:r>
        <w:rPr>
          <w:rFonts w:hint="eastAsia" w:ascii="宋体" w:hAnsi="宋体" w:cs="宋体"/>
          <w:color w:val="auto"/>
          <w:kern w:val="0"/>
          <w:sz w:val="24"/>
          <w:szCs w:val="24"/>
          <w:highlight w:val="none"/>
          <w:lang w:val="en-US" w:eastAsia="zh-CN" w:bidi="ar"/>
        </w:rPr>
        <w:t>296200</w:t>
      </w:r>
      <w:r>
        <w:rPr>
          <w:rFonts w:hint="eastAsia" w:ascii="宋体" w:hAnsi="宋体" w:eastAsia="宋体" w:cs="宋体"/>
          <w:color w:val="auto"/>
          <w:kern w:val="0"/>
          <w:sz w:val="24"/>
          <w:szCs w:val="24"/>
          <w:highlight w:val="none"/>
          <w:lang w:val="en-US" w:eastAsia="zh-CN" w:bidi="ar"/>
        </w:rPr>
        <w:t>.00</w:t>
      </w:r>
    </w:p>
    <w:p w14:paraId="399A75F0">
      <w:pPr>
        <w:pStyle w:val="18"/>
        <w:keepNext w:val="0"/>
        <w:keepLines w:val="0"/>
        <w:pageBreakBefore w:val="0"/>
        <w:kinsoku/>
        <w:wordWrap/>
        <w:overflowPunct/>
        <w:topLinePunct w:val="0"/>
        <w:autoSpaceDE/>
        <w:autoSpaceDN/>
        <w:bidi w:val="0"/>
        <w:adjustRightInd/>
        <w:snapToGrid/>
        <w:spacing w:beforeAutospacing="0" w:afterAutospacing="0" w:line="420" w:lineRule="exact"/>
        <w:ind w:firstLine="480" w:firstLineChars="200"/>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采购包保证金金额（元）:</w:t>
      </w:r>
      <w:r>
        <w:rPr>
          <w:rFonts w:hint="eastAsia" w:ascii="宋体" w:hAnsi="宋体" w:cs="宋体"/>
          <w:color w:val="auto"/>
          <w:kern w:val="0"/>
          <w:sz w:val="24"/>
          <w:szCs w:val="24"/>
          <w:highlight w:val="none"/>
          <w:lang w:val="en-US" w:eastAsia="zh-CN" w:bidi="ar"/>
        </w:rPr>
        <w:t>2962</w:t>
      </w:r>
      <w:r>
        <w:rPr>
          <w:rFonts w:hint="eastAsia" w:ascii="宋体" w:hAnsi="宋体" w:eastAsia="宋体" w:cs="宋体"/>
          <w:color w:val="auto"/>
          <w:kern w:val="0"/>
          <w:sz w:val="24"/>
          <w:szCs w:val="24"/>
          <w:highlight w:val="none"/>
          <w:lang w:val="en-US" w:eastAsia="zh-CN" w:bidi="ar"/>
        </w:rPr>
        <w:t>.00</w:t>
      </w:r>
    </w:p>
    <w:tbl>
      <w:tblPr>
        <w:tblStyle w:val="13"/>
        <w:tblW w:w="0" w:type="auto"/>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584"/>
        <w:gridCol w:w="1935"/>
        <w:gridCol w:w="780"/>
        <w:gridCol w:w="1721"/>
        <w:gridCol w:w="852"/>
        <w:gridCol w:w="1255"/>
        <w:gridCol w:w="1389"/>
      </w:tblGrid>
      <w:tr w14:paraId="1770F5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129A0F69">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baseline"/>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序号</w:t>
            </w:r>
          </w:p>
        </w:tc>
        <w:tc>
          <w:tcPr>
            <w:tcW w:w="1935"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1A7F82C4">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baseline"/>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标的名称</w:t>
            </w:r>
          </w:p>
        </w:tc>
        <w:tc>
          <w:tcPr>
            <w:tcW w:w="780"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2DFC1B0E">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baseline"/>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数量</w:t>
            </w:r>
          </w:p>
        </w:tc>
        <w:tc>
          <w:tcPr>
            <w:tcW w:w="1721"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33784D36">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baseline"/>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标的金额（元）</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742D135C">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baseline"/>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计量单位</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262BB4F0">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baseline"/>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所属行业</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56106A3E">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baseline"/>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是否允许进口产品</w:t>
            </w:r>
          </w:p>
        </w:tc>
      </w:tr>
      <w:tr w14:paraId="5FFC6AA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7CDC2387">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baseline"/>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w:t>
            </w:r>
          </w:p>
        </w:tc>
        <w:tc>
          <w:tcPr>
            <w:tcW w:w="1935"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63DE7D57">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center"/>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学院消防维保检测服务</w:t>
            </w:r>
          </w:p>
        </w:tc>
        <w:tc>
          <w:tcPr>
            <w:tcW w:w="780"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5908D878">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baseline"/>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1.00</w:t>
            </w:r>
          </w:p>
        </w:tc>
        <w:tc>
          <w:tcPr>
            <w:tcW w:w="1721" w:type="dxa"/>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2C9EB77F">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baseline"/>
              <w:rPr>
                <w:rFonts w:hint="eastAsia"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296200</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7A944119">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baseline"/>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项</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3864623F">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baseline"/>
              <w:rPr>
                <w:rFonts w:hint="default" w:ascii="宋体" w:hAnsi="宋体" w:eastAsia="宋体" w:cs="宋体"/>
                <w:color w:val="auto"/>
                <w:kern w:val="0"/>
                <w:sz w:val="24"/>
                <w:szCs w:val="24"/>
                <w:highlight w:val="none"/>
                <w:lang w:val="en-US" w:eastAsia="zh-CN" w:bidi="ar"/>
              </w:rPr>
            </w:pPr>
            <w:r>
              <w:rPr>
                <w:rFonts w:hint="eastAsia" w:ascii="宋体" w:hAnsi="宋体" w:cs="宋体"/>
                <w:color w:val="auto"/>
                <w:kern w:val="0"/>
                <w:sz w:val="24"/>
                <w:szCs w:val="24"/>
                <w:highlight w:val="none"/>
                <w:lang w:val="en-US" w:eastAsia="zh-CN" w:bidi="ar"/>
              </w:rPr>
              <w:t>其他未列明行业</w:t>
            </w:r>
          </w:p>
        </w:tc>
        <w:tc>
          <w:tcPr>
            <w:tcW w:w="0" w:type="auto"/>
            <w:tcBorders>
              <w:top w:val="single" w:color="000000" w:sz="6" w:space="0"/>
              <w:left w:val="single" w:color="000000" w:sz="6" w:space="0"/>
              <w:bottom w:val="single" w:color="000000" w:sz="6" w:space="0"/>
              <w:right w:val="single" w:color="000000" w:sz="6" w:space="0"/>
            </w:tcBorders>
            <w:shd w:val="clear" w:color="auto" w:fill="FFFFFF"/>
            <w:tcMar>
              <w:left w:w="105" w:type="dxa"/>
              <w:right w:w="105" w:type="dxa"/>
            </w:tcMar>
            <w:vAlign w:val="center"/>
          </w:tcPr>
          <w:p w14:paraId="55F65CCF">
            <w:pPr>
              <w:pStyle w:val="10"/>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405" w:lineRule="atLeast"/>
              <w:ind w:left="0" w:right="0"/>
              <w:jc w:val="center"/>
              <w:textAlignment w:val="baseline"/>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否</w:t>
            </w:r>
          </w:p>
        </w:tc>
      </w:tr>
    </w:tbl>
    <w:p w14:paraId="06947F3E">
      <w:pPr>
        <w:pStyle w:val="10"/>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420" w:lineRule="exact"/>
        <w:ind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采购项目需要落实的政府采购政策：</w:t>
      </w:r>
    </w:p>
    <w:p w14:paraId="2FE45E1B">
      <w:pPr>
        <w:pStyle w:val="10"/>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420" w:lineRule="exact"/>
        <w:ind w:right="0" w:rightChars="0"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进口产品：不适用</w:t>
      </w:r>
    </w:p>
    <w:p w14:paraId="4BF92F87">
      <w:pPr>
        <w:pStyle w:val="10"/>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420" w:lineRule="exact"/>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节能产品：适用</w:t>
      </w:r>
    </w:p>
    <w:p w14:paraId="6D916705">
      <w:pPr>
        <w:pStyle w:val="10"/>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420" w:lineRule="exact"/>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环境标志产品：适用</w:t>
      </w:r>
    </w:p>
    <w:p w14:paraId="6FF96E4F">
      <w:pPr>
        <w:pStyle w:val="10"/>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420" w:lineRule="exact"/>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促进中小企业发展的相关政策：</w:t>
      </w:r>
    </w:p>
    <w:p w14:paraId="64464D3B">
      <w:pPr>
        <w:pStyle w:val="10"/>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420" w:lineRule="exact"/>
        <w:ind w:right="0" w:righ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采购包1：专门面向中小企业采购</w:t>
      </w:r>
    </w:p>
    <w:p w14:paraId="34D2923D">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5.供应商的资格要求：</w:t>
      </w:r>
    </w:p>
    <w:p w14:paraId="59AF43D0">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5.1法定条件：符合《中华人民共和国政府采购法》第二十二条第一款规定的条件。</w:t>
      </w:r>
    </w:p>
    <w:p w14:paraId="3DCF2FA2">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right="-362"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5.2特定条件：</w:t>
      </w:r>
      <w:r>
        <w:rPr>
          <w:rFonts w:hint="eastAsia" w:ascii="宋体" w:hAnsi="宋体" w:eastAsia="宋体" w:cs="宋体"/>
          <w:color w:val="auto"/>
          <w:sz w:val="24"/>
          <w:szCs w:val="24"/>
          <w:highlight w:val="none"/>
          <w:shd w:val="clear" w:color="auto" w:fill="FFFFFF"/>
        </w:rPr>
        <w:t>详见第二章 竞争性磋商须知前附表“</w:t>
      </w:r>
      <w:r>
        <w:rPr>
          <w:rFonts w:hint="eastAsia" w:ascii="宋体" w:hAnsi="宋体" w:eastAsia="宋体" w:cs="宋体"/>
          <w:color w:val="auto"/>
          <w:sz w:val="24"/>
          <w:szCs w:val="24"/>
          <w:highlight w:val="none"/>
        </w:rPr>
        <w:t>特定资格条件</w:t>
      </w:r>
      <w:r>
        <w:rPr>
          <w:rFonts w:hint="eastAsia" w:ascii="宋体" w:hAnsi="宋体" w:eastAsia="宋体" w:cs="宋体"/>
          <w:color w:val="auto"/>
          <w:sz w:val="24"/>
          <w:szCs w:val="24"/>
          <w:highlight w:val="none"/>
          <w:shd w:val="clear" w:color="auto" w:fill="FFFFFF"/>
        </w:rPr>
        <w:t>”。</w:t>
      </w:r>
    </w:p>
    <w:p w14:paraId="53EEEC2A">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5.3是否接受联合体形式的响应磋商：</w:t>
      </w:r>
      <w:r>
        <w:rPr>
          <w:rFonts w:hint="eastAsia" w:ascii="宋体" w:hAnsi="宋体" w:eastAsia="宋体" w:cs="宋体"/>
          <w:b/>
          <w:bCs/>
          <w:color w:val="auto"/>
          <w:sz w:val="24"/>
          <w:szCs w:val="24"/>
          <w:highlight w:val="none"/>
          <w:shd w:val="clear" w:color="auto" w:fill="FFFFFF"/>
        </w:rPr>
        <w:t>不接受。</w:t>
      </w:r>
    </w:p>
    <w:p w14:paraId="34DC2B7E">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2" w:firstLineChars="200"/>
        <w:textAlignment w:val="auto"/>
        <w:rPr>
          <w:rFonts w:hint="eastAsia" w:ascii="宋体" w:hAnsi="宋体" w:eastAsia="宋体" w:cs="宋体"/>
          <w:color w:val="auto"/>
          <w:sz w:val="24"/>
          <w:szCs w:val="24"/>
          <w:highlight w:val="none"/>
        </w:rPr>
      </w:pPr>
      <w:r>
        <w:rPr>
          <w:rStyle w:val="16"/>
          <w:rFonts w:hint="eastAsia" w:ascii="宋体" w:hAnsi="宋体" w:eastAsia="宋体" w:cs="宋体"/>
          <w:color w:val="auto"/>
          <w:sz w:val="24"/>
          <w:szCs w:val="24"/>
          <w:highlight w:val="none"/>
        </w:rPr>
        <w:t>※根据上述资格要求，供应商响应文件中应提交的“资格证明文件”相关规定和资料要求，详见竞争性磋商须知前附表和磋商文件第五章。</w:t>
      </w:r>
    </w:p>
    <w:p w14:paraId="08951922">
      <w:pPr>
        <w:pStyle w:val="10"/>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420" w:lineRule="exact"/>
        <w:ind w:right="0" w:rightChars="0" w:firstLine="480" w:firstLineChars="200"/>
        <w:textAlignment w:val="auto"/>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竞争性磋商文件获取期限：详见磋商公告或更正公告（若有）。</w:t>
      </w:r>
    </w:p>
    <w:p w14:paraId="261C14E1">
      <w:pPr>
        <w:pStyle w:val="10"/>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420" w:lineRule="exact"/>
        <w:ind w:right="0" w:rightChars="0" w:firstLine="480" w:firstLineChars="200"/>
        <w:textAlignment w:val="auto"/>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lang w:val="en-US" w:eastAsia="zh-CN"/>
        </w:rPr>
        <w:t>6</w:t>
      </w:r>
      <w:r>
        <w:rPr>
          <w:rFonts w:hint="eastAsia" w:ascii="宋体" w:hAnsi="宋体" w:eastAsia="宋体" w:cs="宋体"/>
          <w:color w:val="auto"/>
          <w:sz w:val="24"/>
          <w:szCs w:val="24"/>
          <w:highlight w:val="none"/>
          <w:shd w:val="clear" w:color="auto" w:fill="FFFFFF"/>
        </w:rPr>
        <w:t>.1如果采购过程中有发出更正公告，采购人将根据实际情况确定是否延长文件获取期限，则文件获取截止时间以更正公告中的约定为准。</w:t>
      </w:r>
    </w:p>
    <w:p w14:paraId="49604276">
      <w:pPr>
        <w:pStyle w:val="10"/>
        <w:keepNext w:val="0"/>
        <w:keepLines w:val="0"/>
        <w:pageBreakBefore w:val="0"/>
        <w:widowControl/>
        <w:numPr>
          <w:ilvl w:val="0"/>
          <w:numId w:val="0"/>
        </w:numPr>
        <w:kinsoku/>
        <w:wordWrap/>
        <w:overflowPunct/>
        <w:topLinePunct w:val="0"/>
        <w:autoSpaceDE/>
        <w:autoSpaceDN/>
        <w:bidi w:val="0"/>
        <w:adjustRightInd/>
        <w:snapToGrid/>
        <w:spacing w:before="0" w:beforeLines="0" w:beforeAutospacing="0" w:after="0" w:afterLines="0" w:afterAutospacing="0" w:line="420" w:lineRule="exact"/>
        <w:ind w:right="0" w:rightChars="0" w:firstLine="480" w:firstLineChars="200"/>
        <w:textAlignment w:val="auto"/>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lang w:val="en-US" w:eastAsia="zh-CN"/>
        </w:rPr>
        <w:t>6</w:t>
      </w:r>
      <w:r>
        <w:rPr>
          <w:rFonts w:hint="eastAsia" w:ascii="宋体" w:hAnsi="宋体" w:eastAsia="宋体" w:cs="宋体"/>
          <w:color w:val="auto"/>
          <w:sz w:val="24"/>
          <w:szCs w:val="24"/>
          <w:highlight w:val="none"/>
          <w:shd w:val="clear" w:color="auto" w:fill="FFFFFF"/>
        </w:rPr>
        <w:t>.2竞争性磋商文件获取期限内，供应商应通过</w:t>
      </w:r>
      <w:r>
        <w:rPr>
          <w:rFonts w:hint="eastAsia" w:ascii="宋体" w:hAnsi="宋体" w:eastAsia="宋体" w:cs="宋体"/>
          <w:color w:val="auto"/>
          <w:sz w:val="24"/>
          <w:szCs w:val="24"/>
          <w:highlight w:val="none"/>
          <w:shd w:val="clear" w:color="auto" w:fill="FFFFFF"/>
          <w:lang w:val="en-US" w:eastAsia="zh-CN"/>
        </w:rPr>
        <w:t>代理机构</w:t>
      </w:r>
      <w:r>
        <w:rPr>
          <w:rFonts w:hint="eastAsia" w:ascii="宋体" w:hAnsi="宋体" w:eastAsia="宋体" w:cs="宋体"/>
          <w:color w:val="auto"/>
          <w:sz w:val="24"/>
          <w:szCs w:val="24"/>
          <w:highlight w:val="none"/>
          <w:shd w:val="clear" w:color="auto" w:fill="FFFFFF"/>
        </w:rPr>
        <w:t>获取竞争性磋商文件，否则报价响应将被拒绝。</w:t>
      </w:r>
    </w:p>
    <w:p w14:paraId="353EDF0D">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7.获取采购文件时间、地点、方式：</w:t>
      </w:r>
    </w:p>
    <w:p w14:paraId="052657EB">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7.1采购文件的提供期限：</w:t>
      </w:r>
      <w:r>
        <w:rPr>
          <w:rFonts w:hint="eastAsia" w:ascii="宋体" w:hAnsi="宋体" w:eastAsia="宋体" w:cs="宋体"/>
          <w:color w:val="auto"/>
          <w:sz w:val="24"/>
          <w:szCs w:val="24"/>
          <w:highlight w:val="none"/>
          <w:u w:val="single"/>
          <w:lang w:val="en-US" w:eastAsia="zh-CN"/>
        </w:rPr>
        <w:t>2024</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rPr>
        <w:t>起至</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u w:val="single"/>
          <w:lang w:val="en-US" w:eastAsia="zh-CN"/>
        </w:rPr>
        <w:t>2024</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北京时间</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上午8:30至12:00，下午14:30-17：30（节假日除外）</w:t>
      </w:r>
      <w:r>
        <w:rPr>
          <w:rFonts w:hint="eastAsia" w:ascii="宋体" w:hAnsi="宋体" w:eastAsia="宋体" w:cs="宋体"/>
          <w:color w:val="auto"/>
          <w:sz w:val="24"/>
          <w:szCs w:val="24"/>
          <w:highlight w:val="none"/>
          <w:shd w:val="clear" w:color="auto" w:fill="FFFFFF"/>
        </w:rPr>
        <w:t>。</w:t>
      </w:r>
      <w:r>
        <w:rPr>
          <w:rFonts w:hint="eastAsia" w:ascii="宋体" w:hAnsi="宋体" w:eastAsia="宋体" w:cs="宋体"/>
          <w:color w:val="auto"/>
          <w:sz w:val="24"/>
          <w:szCs w:val="24"/>
          <w:highlight w:val="none"/>
        </w:rPr>
        <w:t>采购文件的提供期限与磋商公告的公告期限保持一致。</w:t>
      </w:r>
    </w:p>
    <w:p w14:paraId="07777999">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7.2获取地点及方式：</w:t>
      </w:r>
      <w:r>
        <w:rPr>
          <w:rFonts w:hint="eastAsia" w:ascii="宋体" w:hAnsi="宋体" w:eastAsia="宋体" w:cs="宋体"/>
          <w:color w:val="auto"/>
          <w:sz w:val="24"/>
          <w:szCs w:val="24"/>
          <w:highlight w:val="none"/>
          <w:shd w:val="clear" w:color="auto" w:fill="FFFFFF"/>
        </w:rPr>
        <w:t>地点</w:t>
      </w:r>
      <w:r>
        <w:rPr>
          <w:rFonts w:hint="eastAsia" w:ascii="宋体" w:hAnsi="宋体" w:eastAsia="宋体" w:cs="宋体"/>
          <w:color w:val="auto"/>
          <w:sz w:val="24"/>
          <w:szCs w:val="24"/>
          <w:highlight w:val="none"/>
          <w:shd w:val="clear" w:color="auto" w:fill="FFFFFF"/>
          <w:lang w:val="en-US" w:eastAsia="zh-CN"/>
        </w:rPr>
        <w:t>：</w:t>
      </w:r>
      <w:r>
        <w:rPr>
          <w:rFonts w:hint="default" w:ascii="宋体" w:hAnsi="宋体" w:cs="宋体"/>
          <w:i w:val="0"/>
          <w:iCs w:val="0"/>
          <w:caps w:val="0"/>
          <w:color w:val="auto"/>
          <w:spacing w:val="0"/>
          <w:sz w:val="24"/>
          <w:szCs w:val="24"/>
          <w:highlight w:val="none"/>
          <w:u w:val="single"/>
          <w:shd w:val="clear" w:color="auto" w:fill="FFFFFF"/>
        </w:rPr>
        <w:t>福建省天弘工程项目管理有限公司</w:t>
      </w:r>
      <w:r>
        <w:rPr>
          <w:rFonts w:hint="eastAsia" w:ascii="宋体" w:hAnsi="宋体" w:eastAsia="宋体" w:cs="宋体"/>
          <w:color w:val="auto"/>
          <w:sz w:val="24"/>
          <w:szCs w:val="24"/>
          <w:highlight w:val="none"/>
          <w:u w:val="single"/>
          <w:shd w:val="clear" w:color="auto" w:fill="FFFFFF"/>
        </w:rPr>
        <w:t>【</w:t>
      </w:r>
      <w:r>
        <w:rPr>
          <w:rFonts w:hint="eastAsia" w:ascii="宋体" w:hAnsi="宋体" w:eastAsia="宋体" w:cs="宋体"/>
          <w:color w:val="auto"/>
          <w:sz w:val="24"/>
          <w:szCs w:val="24"/>
          <w:highlight w:val="none"/>
          <w:u w:val="single"/>
          <w:shd w:val="clear" w:color="auto" w:fill="FFFFFF"/>
          <w:lang w:eastAsia="zh-CN"/>
        </w:rPr>
        <w:t>莆田市城厢区凤凰路609号</w:t>
      </w:r>
      <w:r>
        <w:rPr>
          <w:rFonts w:hint="eastAsia" w:ascii="宋体" w:hAnsi="宋体" w:eastAsia="宋体" w:cs="宋体"/>
          <w:color w:val="auto"/>
          <w:sz w:val="24"/>
          <w:szCs w:val="24"/>
          <w:highlight w:val="none"/>
          <w:u w:val="single"/>
          <w:shd w:val="clear" w:color="auto" w:fill="FFFFFF"/>
        </w:rPr>
        <w:t>】</w:t>
      </w:r>
      <w:r>
        <w:rPr>
          <w:rFonts w:hint="eastAsia" w:ascii="宋体" w:hAnsi="宋体" w:eastAsia="宋体" w:cs="宋体"/>
          <w:color w:val="auto"/>
          <w:sz w:val="24"/>
          <w:szCs w:val="24"/>
          <w:highlight w:val="none"/>
          <w:shd w:val="clear" w:color="auto" w:fill="FFFFFF"/>
        </w:rPr>
        <w:t>，方式【A.现场方式报名办理获取竞争性磋商文件事宜的供应商须至</w:t>
      </w:r>
      <w:r>
        <w:rPr>
          <w:rFonts w:hint="eastAsia" w:ascii="宋体" w:hAnsi="宋体" w:eastAsia="宋体" w:cs="宋体"/>
          <w:color w:val="auto"/>
          <w:sz w:val="24"/>
          <w:szCs w:val="24"/>
          <w:highlight w:val="none"/>
          <w:shd w:val="clear" w:color="auto" w:fill="FFFFFF"/>
          <w:lang w:val="en-US" w:eastAsia="zh-CN"/>
        </w:rPr>
        <w:t>代理机构</w:t>
      </w:r>
      <w:r>
        <w:rPr>
          <w:rFonts w:hint="eastAsia" w:ascii="宋体" w:hAnsi="宋体" w:eastAsia="宋体" w:cs="宋体"/>
          <w:color w:val="auto"/>
          <w:sz w:val="24"/>
          <w:szCs w:val="24"/>
          <w:highlight w:val="none"/>
          <w:shd w:val="clear" w:color="auto" w:fill="FFFFFF"/>
        </w:rPr>
        <w:t>进行书面登记。B.邮件方式报名获取竞争性磋商文件事宜的供应商。按照采购公告提供的</w:t>
      </w:r>
      <w:r>
        <w:rPr>
          <w:rFonts w:hint="eastAsia" w:ascii="宋体" w:hAnsi="宋体" w:eastAsia="宋体" w:cs="宋体"/>
          <w:color w:val="auto"/>
          <w:sz w:val="24"/>
          <w:szCs w:val="24"/>
          <w:highlight w:val="none"/>
          <w:shd w:val="clear" w:color="auto" w:fill="FFFFFF"/>
          <w:lang w:val="en-US" w:eastAsia="zh-CN"/>
        </w:rPr>
        <w:t>代理机构</w:t>
      </w:r>
      <w:r>
        <w:rPr>
          <w:rFonts w:hint="eastAsia" w:ascii="宋体" w:hAnsi="宋体" w:eastAsia="宋体" w:cs="宋体"/>
          <w:color w:val="auto"/>
          <w:sz w:val="24"/>
          <w:szCs w:val="24"/>
          <w:highlight w:val="none"/>
          <w:shd w:val="clear" w:color="auto" w:fill="FFFFFF"/>
        </w:rPr>
        <w:t>银行账号等信息，转账相应的竞争性磋商文件售价至</w:t>
      </w:r>
      <w:r>
        <w:rPr>
          <w:rFonts w:hint="eastAsia" w:ascii="宋体" w:hAnsi="宋体" w:eastAsia="宋体" w:cs="宋体"/>
          <w:color w:val="auto"/>
          <w:sz w:val="24"/>
          <w:szCs w:val="24"/>
          <w:highlight w:val="none"/>
          <w:shd w:val="clear" w:color="auto" w:fill="FFFFFF"/>
          <w:lang w:val="en-US" w:eastAsia="zh-CN"/>
        </w:rPr>
        <w:t>代理机构</w:t>
      </w:r>
      <w:r>
        <w:rPr>
          <w:rFonts w:hint="eastAsia" w:ascii="宋体" w:hAnsi="宋体" w:eastAsia="宋体" w:cs="宋体"/>
          <w:color w:val="auto"/>
          <w:sz w:val="24"/>
          <w:szCs w:val="24"/>
          <w:highlight w:val="none"/>
          <w:shd w:val="clear" w:color="auto" w:fill="FFFFFF"/>
        </w:rPr>
        <w:t>账户，同时将转账底单截图及贵公司</w:t>
      </w:r>
      <w:r>
        <w:rPr>
          <w:rFonts w:hint="eastAsia" w:ascii="宋体" w:hAnsi="宋体" w:eastAsia="宋体" w:cs="宋体"/>
          <w:color w:val="auto"/>
          <w:sz w:val="24"/>
          <w:szCs w:val="24"/>
          <w:highlight w:val="none"/>
          <w:shd w:val="clear" w:color="auto" w:fill="FFFFFF"/>
          <w:lang w:val="en-US" w:eastAsia="zh-CN"/>
        </w:rPr>
        <w:t>报名登记表</w:t>
      </w:r>
      <w:r>
        <w:rPr>
          <w:rFonts w:hint="eastAsia" w:ascii="宋体" w:hAnsi="宋体" w:eastAsia="宋体" w:cs="宋体"/>
          <w:color w:val="auto"/>
          <w:sz w:val="24"/>
          <w:szCs w:val="24"/>
          <w:highlight w:val="none"/>
          <w:shd w:val="clear" w:color="auto" w:fill="FFFFFF"/>
        </w:rPr>
        <w:t>（</w:t>
      </w:r>
      <w:r>
        <w:rPr>
          <w:rFonts w:hint="eastAsia" w:ascii="宋体" w:hAnsi="宋体" w:eastAsia="宋体" w:cs="宋体"/>
          <w:color w:val="auto"/>
          <w:sz w:val="24"/>
          <w:szCs w:val="24"/>
          <w:highlight w:val="none"/>
          <w:shd w:val="clear" w:color="auto" w:fill="FFFFFF"/>
          <w:lang w:val="en-US" w:eastAsia="zh-CN"/>
        </w:rPr>
        <w:t>格式详见</w:t>
      </w:r>
      <w:r>
        <w:rPr>
          <w:rFonts w:hint="eastAsia" w:ascii="宋体" w:hAnsi="宋体" w:eastAsia="宋体" w:cs="宋体"/>
          <w:color w:val="auto"/>
          <w:sz w:val="24"/>
          <w:szCs w:val="24"/>
          <w:highlight w:val="none"/>
          <w:shd w:val="clear" w:color="auto" w:fill="FFFFFF"/>
        </w:rPr>
        <w:t>附2：报名登记表）编辑完整</w:t>
      </w:r>
      <w:r>
        <w:rPr>
          <w:rFonts w:hint="eastAsia" w:ascii="宋体" w:hAnsi="宋体" w:eastAsia="宋体" w:cs="宋体"/>
          <w:color w:val="auto"/>
          <w:sz w:val="24"/>
          <w:szCs w:val="24"/>
          <w:highlight w:val="none"/>
          <w:shd w:val="clear" w:color="auto" w:fill="FFFFFF"/>
          <w:lang w:val="en-US" w:eastAsia="zh-CN"/>
        </w:rPr>
        <w:t>并加盖供应商公章后</w:t>
      </w:r>
      <w:r>
        <w:rPr>
          <w:rFonts w:hint="eastAsia" w:ascii="宋体" w:hAnsi="宋体" w:eastAsia="宋体" w:cs="宋体"/>
          <w:color w:val="auto"/>
          <w:sz w:val="24"/>
          <w:szCs w:val="24"/>
          <w:highlight w:val="none"/>
          <w:shd w:val="clear" w:color="auto" w:fill="FFFFFF"/>
        </w:rPr>
        <w:t>发邮件至</w:t>
      </w:r>
      <w:r>
        <w:rPr>
          <w:rFonts w:hint="eastAsia" w:ascii="宋体" w:hAnsi="宋体" w:eastAsia="宋体" w:cs="宋体"/>
          <w:color w:val="auto"/>
          <w:sz w:val="24"/>
          <w:szCs w:val="24"/>
          <w:highlight w:val="none"/>
          <w:shd w:val="clear" w:color="auto" w:fill="FFFFFF"/>
          <w:lang w:val="en-US" w:eastAsia="zh-CN"/>
        </w:rPr>
        <w:t>代理机构</w:t>
      </w:r>
      <w:r>
        <w:rPr>
          <w:rFonts w:hint="eastAsia" w:ascii="宋体" w:hAnsi="宋体" w:eastAsia="宋体" w:cs="宋体"/>
          <w:color w:val="auto"/>
          <w:sz w:val="24"/>
          <w:szCs w:val="24"/>
          <w:highlight w:val="none"/>
          <w:shd w:val="clear" w:color="auto" w:fill="FFFFFF"/>
        </w:rPr>
        <w:t>的电子信箱</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i w:val="0"/>
          <w:iCs w:val="0"/>
          <w:caps w:val="0"/>
          <w:color w:val="auto"/>
          <w:spacing w:val="0"/>
          <w:sz w:val="24"/>
          <w:szCs w:val="24"/>
          <w:highlight w:val="none"/>
          <w:shd w:val="clear" w:color="auto" w:fill="FFFFFF"/>
        </w:rPr>
        <w:t>邮箱：</w:t>
      </w:r>
      <w:r>
        <w:rPr>
          <w:rFonts w:hint="eastAsia" w:ascii="宋体" w:hAnsi="宋体" w:cs="宋体"/>
          <w:i w:val="0"/>
          <w:iCs w:val="0"/>
          <w:caps w:val="0"/>
          <w:color w:val="auto"/>
          <w:spacing w:val="0"/>
          <w:sz w:val="24"/>
          <w:szCs w:val="24"/>
          <w:highlight w:val="none"/>
          <w:shd w:val="clear" w:color="auto" w:fill="FFFFFF"/>
          <w:lang w:eastAsia="zh-CN"/>
        </w:rPr>
        <w:t>2079598207@qq.com</w:t>
      </w:r>
      <w:r>
        <w:rPr>
          <w:rFonts w:hint="eastAsia" w:ascii="宋体" w:hAnsi="宋体" w:eastAsia="宋体" w:cs="宋体"/>
          <w:color w:val="auto"/>
          <w:sz w:val="24"/>
          <w:szCs w:val="24"/>
          <w:highlight w:val="none"/>
          <w:shd w:val="clear" w:color="auto" w:fill="FFFFFF"/>
          <w:lang w:eastAsia="zh-CN"/>
        </w:rPr>
        <w:t>）</w:t>
      </w:r>
      <w:r>
        <w:rPr>
          <w:rFonts w:hint="eastAsia" w:ascii="宋体" w:hAnsi="宋体" w:eastAsia="宋体" w:cs="宋体"/>
          <w:color w:val="auto"/>
          <w:sz w:val="24"/>
          <w:szCs w:val="24"/>
          <w:highlight w:val="none"/>
          <w:shd w:val="clear" w:color="auto" w:fill="FFFFFF"/>
        </w:rPr>
        <w:t>】</w:t>
      </w:r>
      <w:r>
        <w:rPr>
          <w:rFonts w:hint="eastAsia" w:ascii="宋体" w:hAnsi="宋体" w:eastAsia="宋体" w:cs="宋体"/>
          <w:color w:val="auto"/>
          <w:sz w:val="24"/>
          <w:szCs w:val="24"/>
          <w:highlight w:val="none"/>
        </w:rPr>
        <w:t>。</w:t>
      </w:r>
    </w:p>
    <w:p w14:paraId="49A382E0">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right="-362"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shd w:val="clear" w:color="auto" w:fill="FFFFFF"/>
        </w:rPr>
        <w:t>7.3关于供应商名称：递交响应文件时供应商的单位名称应与报名登记的单位名称完全一致。除能提供工商管理部门出具的单位名称变更证明外，否则</w:t>
      </w:r>
      <w:r>
        <w:rPr>
          <w:rFonts w:hint="eastAsia" w:ascii="宋体" w:hAnsi="宋体" w:eastAsia="宋体" w:cs="宋体"/>
          <w:color w:val="auto"/>
          <w:sz w:val="24"/>
          <w:szCs w:val="24"/>
          <w:highlight w:val="none"/>
          <w:shd w:val="clear" w:color="auto" w:fill="FFFFFF"/>
          <w:lang w:val="en-US" w:eastAsia="zh-CN"/>
        </w:rPr>
        <w:t>代理机构</w:t>
      </w:r>
      <w:r>
        <w:rPr>
          <w:rFonts w:hint="eastAsia" w:ascii="宋体" w:hAnsi="宋体" w:eastAsia="宋体" w:cs="宋体"/>
          <w:color w:val="auto"/>
          <w:sz w:val="24"/>
          <w:szCs w:val="24"/>
          <w:highlight w:val="none"/>
          <w:shd w:val="clear" w:color="auto" w:fill="FFFFFF"/>
        </w:rPr>
        <w:t>将拒绝接收响应文件。磋商保证金出账账户名称应与供应商名称一致，否则将导致响应无效。</w:t>
      </w:r>
    </w:p>
    <w:p w14:paraId="24498130">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8.采购文件售价：磋商文件（纸质版/电子版）售价</w:t>
      </w:r>
      <w:r>
        <w:rPr>
          <w:rFonts w:hint="eastAsia" w:ascii="宋体" w:hAnsi="宋体" w:eastAsia="宋体" w:cs="宋体"/>
          <w:b/>
          <w:bCs/>
          <w:color w:val="auto"/>
          <w:sz w:val="24"/>
          <w:szCs w:val="24"/>
          <w:highlight w:val="none"/>
          <w:u w:val="single"/>
          <w:lang w:val="en-US" w:eastAsia="zh-CN"/>
        </w:rPr>
        <w:t>100</w:t>
      </w:r>
      <w:r>
        <w:rPr>
          <w:rFonts w:hint="eastAsia" w:ascii="宋体" w:hAnsi="宋体" w:eastAsia="宋体" w:cs="宋体"/>
          <w:color w:val="auto"/>
          <w:sz w:val="24"/>
          <w:szCs w:val="24"/>
          <w:highlight w:val="none"/>
        </w:rPr>
        <w:t>元，如需邮寄请另加邮寄费50元，磋商文件售出一概不退。</w:t>
      </w:r>
      <w:r>
        <w:rPr>
          <w:rFonts w:hint="default" w:ascii="宋体" w:hAnsi="宋体" w:cs="宋体"/>
          <w:color w:val="auto"/>
          <w:sz w:val="24"/>
          <w:szCs w:val="24"/>
          <w:highlight w:val="none"/>
          <w:lang w:eastAsia="zh-CN"/>
        </w:rPr>
        <w:t>福建省天弘工程项目管理有限公司</w:t>
      </w:r>
      <w:r>
        <w:rPr>
          <w:rFonts w:hint="eastAsia" w:ascii="宋体" w:hAnsi="宋体" w:eastAsia="宋体" w:cs="宋体"/>
          <w:color w:val="auto"/>
          <w:sz w:val="24"/>
          <w:szCs w:val="24"/>
          <w:highlight w:val="none"/>
        </w:rPr>
        <w:t>不对邮寄过程中可能发生的延误或丢失负责。</w:t>
      </w:r>
    </w:p>
    <w:p w14:paraId="2582F977">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9.首次响应文件递交截止时间及地点：</w:t>
      </w:r>
      <w:r>
        <w:rPr>
          <w:rFonts w:hint="eastAsia" w:ascii="宋体" w:hAnsi="宋体" w:eastAsia="宋体" w:cs="宋体"/>
          <w:color w:val="auto"/>
          <w:sz w:val="24"/>
          <w:szCs w:val="24"/>
          <w:highlight w:val="none"/>
          <w:u w:val="single"/>
          <w:lang w:val="en-US" w:eastAsia="zh-CN"/>
        </w:rPr>
        <w:t>2024</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u w:val="single"/>
          <w:lang w:val="en-US" w:eastAsia="zh-CN"/>
        </w:rPr>
        <w:t>09:00</w:t>
      </w:r>
      <w:r>
        <w:rPr>
          <w:rFonts w:hint="eastAsia" w:ascii="宋体" w:hAnsi="宋体" w:eastAsia="宋体" w:cs="宋体"/>
          <w:color w:val="auto"/>
          <w:sz w:val="24"/>
          <w:szCs w:val="24"/>
          <w:highlight w:val="none"/>
        </w:rPr>
        <w:t>(北京时间)。供应商应在此之前将密封的首次响应文件送达本章第1</w:t>
      </w:r>
      <w:r>
        <w:rPr>
          <w:rFonts w:hint="eastAsia" w:ascii="宋体" w:hAnsi="宋体" w:eastAsia="宋体" w:cs="宋体"/>
          <w:color w:val="auto"/>
          <w:sz w:val="24"/>
          <w:szCs w:val="24"/>
          <w:highlight w:val="none"/>
          <w:lang w:val="en-US" w:eastAsia="zh-CN"/>
        </w:rPr>
        <w:t>0</w:t>
      </w:r>
      <w:r>
        <w:rPr>
          <w:rFonts w:hint="eastAsia" w:ascii="宋体" w:hAnsi="宋体" w:eastAsia="宋体" w:cs="宋体"/>
          <w:color w:val="auto"/>
          <w:sz w:val="24"/>
          <w:szCs w:val="24"/>
          <w:highlight w:val="none"/>
        </w:rPr>
        <w:t>条载明的地点，逾期送达的或不符合规定的响应文件将被拒绝接收。</w:t>
      </w:r>
    </w:p>
    <w:p w14:paraId="65D1A729">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10.磋商时间及地点：</w:t>
      </w:r>
      <w:r>
        <w:rPr>
          <w:rFonts w:hint="eastAsia" w:ascii="宋体" w:hAnsi="宋体" w:eastAsia="宋体" w:cs="宋体"/>
          <w:color w:val="auto"/>
          <w:sz w:val="24"/>
          <w:szCs w:val="24"/>
          <w:highlight w:val="none"/>
          <w:u w:val="single"/>
          <w:lang w:val="en-US" w:eastAsia="zh-CN"/>
        </w:rPr>
        <w:t>2024</w:t>
      </w:r>
      <w:r>
        <w:rPr>
          <w:rFonts w:hint="eastAsia" w:ascii="宋体" w:hAnsi="宋体" w:eastAsia="宋体" w:cs="宋体"/>
          <w:color w:val="auto"/>
          <w:sz w:val="24"/>
          <w:szCs w:val="24"/>
          <w:highlight w:val="none"/>
          <w:u w:val="single"/>
        </w:rPr>
        <w:t>年</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u w:val="single"/>
        </w:rPr>
        <w:t>日</w:t>
      </w:r>
      <w:r>
        <w:rPr>
          <w:rFonts w:hint="eastAsia" w:ascii="宋体" w:hAnsi="宋体" w:eastAsia="宋体" w:cs="宋体"/>
          <w:color w:val="auto"/>
          <w:sz w:val="24"/>
          <w:szCs w:val="24"/>
          <w:highlight w:val="none"/>
          <w:u w:val="single"/>
          <w:lang w:val="en-US" w:eastAsia="zh-CN"/>
        </w:rPr>
        <w:t>09:00</w:t>
      </w:r>
      <w:r>
        <w:rPr>
          <w:rFonts w:hint="eastAsia" w:ascii="宋体" w:hAnsi="宋体" w:eastAsia="宋体" w:cs="宋体"/>
          <w:color w:val="auto"/>
          <w:sz w:val="24"/>
          <w:szCs w:val="24"/>
          <w:highlight w:val="none"/>
        </w:rPr>
        <w:t>(北京时间)前将磋商文件递交至</w:t>
      </w:r>
      <w:r>
        <w:rPr>
          <w:rFonts w:hint="default" w:ascii="宋体" w:hAnsi="宋体" w:cs="宋体"/>
          <w:i w:val="0"/>
          <w:iCs w:val="0"/>
          <w:caps w:val="0"/>
          <w:color w:val="auto"/>
          <w:spacing w:val="0"/>
          <w:sz w:val="24"/>
          <w:szCs w:val="24"/>
          <w:highlight w:val="none"/>
          <w:u w:val="single"/>
          <w:shd w:val="clear" w:color="auto" w:fill="FFFFFF"/>
        </w:rPr>
        <w:t>福建省天弘工程项目管理有限公司</w:t>
      </w:r>
      <w:r>
        <w:rPr>
          <w:rFonts w:hint="eastAsia" w:ascii="宋体" w:hAnsi="宋体" w:eastAsia="宋体" w:cs="宋体"/>
          <w:color w:val="auto"/>
          <w:sz w:val="24"/>
          <w:szCs w:val="24"/>
          <w:highlight w:val="none"/>
          <w:u w:val="single"/>
          <w:shd w:val="clear" w:color="auto" w:fill="FFFFFF"/>
        </w:rPr>
        <w:t>【</w:t>
      </w:r>
      <w:r>
        <w:rPr>
          <w:rFonts w:hint="eastAsia" w:ascii="宋体" w:hAnsi="宋体" w:eastAsia="宋体" w:cs="宋体"/>
          <w:color w:val="auto"/>
          <w:sz w:val="24"/>
          <w:szCs w:val="24"/>
          <w:highlight w:val="none"/>
          <w:u w:val="single"/>
          <w:shd w:val="clear" w:color="auto" w:fill="FFFFFF"/>
          <w:lang w:eastAsia="zh-CN"/>
        </w:rPr>
        <w:t>莆田市城厢区凤凰路609号</w:t>
      </w:r>
      <w:r>
        <w:rPr>
          <w:rFonts w:hint="eastAsia" w:ascii="宋体" w:hAnsi="宋体" w:eastAsia="宋体" w:cs="宋体"/>
          <w:color w:val="auto"/>
          <w:sz w:val="24"/>
          <w:szCs w:val="24"/>
          <w:highlight w:val="none"/>
          <w:u w:val="single"/>
          <w:shd w:val="clear" w:color="auto" w:fill="FFFFFF"/>
        </w:rPr>
        <w:t>】</w:t>
      </w:r>
      <w:r>
        <w:rPr>
          <w:rFonts w:hint="eastAsia" w:ascii="宋体" w:hAnsi="宋体" w:eastAsia="宋体" w:cs="宋体"/>
          <w:color w:val="auto"/>
          <w:sz w:val="24"/>
          <w:szCs w:val="24"/>
          <w:highlight w:val="none"/>
        </w:rPr>
        <w:t>。</w:t>
      </w:r>
    </w:p>
    <w:p w14:paraId="1A0EEACE">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11.公告期限：</w:t>
      </w:r>
    </w:p>
    <w:p w14:paraId="1D1BC9FC">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11.1竞争性磋商公告期限：自本项目相关网站最先发布公告之日起3个工作日。</w:t>
      </w:r>
    </w:p>
    <w:p w14:paraId="316E46A9">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12.采购人：</w:t>
      </w:r>
      <w:r>
        <w:rPr>
          <w:rFonts w:hint="eastAsia" w:ascii="宋体" w:hAnsi="宋体" w:eastAsia="宋体" w:cs="宋体"/>
          <w:color w:val="auto"/>
          <w:sz w:val="24"/>
          <w:szCs w:val="24"/>
          <w:highlight w:val="none"/>
          <w:lang w:eastAsia="zh-CN"/>
        </w:rPr>
        <w:t>湄洲湾职业技术学院</w:t>
      </w:r>
    </w:p>
    <w:p w14:paraId="1A3F1096">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 址：莆田涵江区梧塘镇荔涵东大道1001号</w:t>
      </w:r>
    </w:p>
    <w:p w14:paraId="3321A2A6">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eastAsia="zh-CN"/>
        </w:rPr>
        <w:t>陈老师</w:t>
      </w:r>
    </w:p>
    <w:p w14:paraId="6A371E31">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联系方法：</w:t>
      </w:r>
      <w:r>
        <w:rPr>
          <w:rFonts w:hint="eastAsia" w:ascii="宋体" w:hAnsi="宋体" w:cs="宋体"/>
          <w:color w:val="auto"/>
          <w:sz w:val="24"/>
          <w:szCs w:val="24"/>
          <w:highlight w:val="none"/>
          <w:lang w:eastAsia="zh-CN"/>
        </w:rPr>
        <w:t>13799627354</w:t>
      </w:r>
    </w:p>
    <w:p w14:paraId="7573D186">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rPr>
          <w:rFonts w:hint="default" w:ascii="宋体" w:hAnsi="宋体" w:eastAsia="宋体" w:cs="宋体"/>
          <w:color w:val="auto"/>
          <w:sz w:val="24"/>
          <w:szCs w:val="24"/>
          <w:highlight w:val="none"/>
        </w:rPr>
      </w:pPr>
      <w:r>
        <w:rPr>
          <w:rFonts w:hint="eastAsia" w:ascii="宋体" w:hAnsi="宋体" w:eastAsia="宋体" w:cs="宋体"/>
          <w:color w:val="auto"/>
          <w:sz w:val="24"/>
          <w:szCs w:val="24"/>
          <w:highlight w:val="none"/>
        </w:rPr>
        <w:t>代理机构：</w:t>
      </w:r>
      <w:r>
        <w:rPr>
          <w:rFonts w:hint="default" w:ascii="宋体" w:hAnsi="宋体" w:cs="宋体"/>
          <w:color w:val="auto"/>
          <w:sz w:val="24"/>
          <w:szCs w:val="24"/>
          <w:highlight w:val="none"/>
        </w:rPr>
        <w:t>福建省天弘工程项目管理有限公司</w:t>
      </w:r>
    </w:p>
    <w:p w14:paraId="0C76845D">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地址：</w:t>
      </w:r>
      <w:r>
        <w:rPr>
          <w:rFonts w:hint="eastAsia" w:ascii="宋体" w:hAnsi="宋体" w:eastAsia="宋体" w:cs="宋体"/>
          <w:color w:val="auto"/>
          <w:sz w:val="24"/>
          <w:szCs w:val="24"/>
          <w:highlight w:val="none"/>
          <w:lang w:eastAsia="zh-CN"/>
        </w:rPr>
        <w:t>莆田市城厢区凤凰路609号</w:t>
      </w:r>
    </w:p>
    <w:p w14:paraId="6E187D73">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r>
        <w:rPr>
          <w:rFonts w:hint="eastAsia" w:ascii="宋体" w:hAnsi="宋体" w:cs="宋体"/>
          <w:color w:val="auto"/>
          <w:sz w:val="24"/>
          <w:szCs w:val="24"/>
          <w:highlight w:val="none"/>
          <w:lang w:eastAsia="zh-CN"/>
        </w:rPr>
        <w:t>陈婧婧</w:t>
      </w:r>
      <w:r>
        <w:rPr>
          <w:rFonts w:hint="eastAsia" w:ascii="宋体" w:hAnsi="宋体" w:eastAsia="宋体" w:cs="宋体"/>
          <w:color w:val="auto"/>
          <w:sz w:val="24"/>
          <w:szCs w:val="24"/>
          <w:highlight w:val="none"/>
        </w:rPr>
        <w:t xml:space="preserve">   邮箱：</w:t>
      </w:r>
      <w:r>
        <w:rPr>
          <w:rFonts w:hint="eastAsia" w:ascii="宋体" w:hAnsi="宋体" w:eastAsia="宋体" w:cs="宋体"/>
          <w:color w:val="auto"/>
          <w:sz w:val="24"/>
          <w:szCs w:val="24"/>
          <w:highlight w:val="none"/>
          <w:lang w:val="en-US" w:eastAsia="zh-CN"/>
        </w:rPr>
        <w:t>2079598207@qq.com</w:t>
      </w:r>
    </w:p>
    <w:p w14:paraId="14D57CA5">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rPr>
        <w:t>联系方法：</w:t>
      </w:r>
      <w:r>
        <w:rPr>
          <w:rFonts w:hint="eastAsia" w:ascii="宋体" w:hAnsi="宋体" w:cs="宋体"/>
          <w:sz w:val="24"/>
          <w:szCs w:val="24"/>
          <w:lang w:eastAsia="zh-CN"/>
        </w:rPr>
        <w:t>15205933263</w:t>
      </w:r>
    </w:p>
    <w:p w14:paraId="1BDAFDFC">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left="-362" w:right="-362" w:firstLine="240" w:firstLineChars="100"/>
        <w:rPr>
          <w:rFonts w:hint="eastAsia" w:ascii="宋体" w:hAnsi="宋体" w:eastAsia="宋体" w:cs="宋体"/>
          <w:color w:val="auto"/>
          <w:sz w:val="24"/>
          <w:szCs w:val="24"/>
          <w:highlight w:val="none"/>
          <w:shd w:val="clear" w:color="auto" w:fill="FFFFFF"/>
        </w:rPr>
      </w:pPr>
      <w:r>
        <w:rPr>
          <w:rFonts w:hint="eastAsia" w:ascii="宋体" w:hAnsi="宋体" w:eastAsia="宋体" w:cs="宋体"/>
          <w:color w:val="auto"/>
          <w:sz w:val="24"/>
          <w:szCs w:val="24"/>
          <w:highlight w:val="none"/>
          <w:shd w:val="clear" w:color="auto" w:fill="FFFFFF"/>
        </w:rPr>
        <w:t>附1：账户信息</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7B3EA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center"/>
          </w:tcPr>
          <w:p w14:paraId="0A85C8D0">
            <w:pPr>
              <w:pStyle w:val="10"/>
              <w:keepNext w:val="0"/>
              <w:keepLines w:val="0"/>
              <w:pageBreakBefore w:val="0"/>
              <w:kinsoku/>
              <w:wordWrap/>
              <w:overflowPunct/>
              <w:topLinePunct w:val="0"/>
              <w:autoSpaceDE/>
              <w:autoSpaceDN/>
              <w:bidi w:val="0"/>
              <w:adjustRightInd/>
              <w:snapToGrid/>
              <w:spacing w:before="0" w:beforeLines="0" w:beforeAutospacing="0" w:after="0" w:afterLines="0" w:afterAutospacing="0" w:line="420" w:lineRule="exact"/>
              <w:ind w:left="0" w:leftChars="0" w:right="0" w:rightChars="0"/>
              <w:jc w:val="center"/>
              <w:rPr>
                <w:rFonts w:hint="eastAsia" w:ascii="宋体" w:hAnsi="宋体" w:eastAsia="宋体" w:cs="宋体"/>
                <w:color w:val="auto"/>
                <w:sz w:val="24"/>
                <w:szCs w:val="24"/>
                <w:highlight w:val="none"/>
                <w:shd w:val="clear" w:color="auto" w:fill="FFFFFF"/>
                <w:vertAlign w:val="baseline"/>
              </w:rPr>
            </w:pPr>
            <w:r>
              <w:rPr>
                <w:rFonts w:hint="eastAsia" w:ascii="宋体" w:hAnsi="宋体" w:eastAsia="宋体" w:cs="宋体"/>
                <w:b/>
                <w:bCs/>
                <w:color w:val="auto"/>
                <w:sz w:val="24"/>
                <w:szCs w:val="24"/>
                <w:highlight w:val="none"/>
                <w:shd w:val="clear" w:color="auto" w:fill="FFFFFF"/>
              </w:rPr>
              <w:t>磋商保证金账户、获取竞争性磋商文件及支付代理服务费账户</w:t>
            </w:r>
          </w:p>
        </w:tc>
      </w:tr>
      <w:tr w14:paraId="5C3A71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14:paraId="2E823D5E">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left="0" w:leftChars="0" w:right="-362" w:rightChars="0"/>
              <w:rPr>
                <w:rFonts w:hint="default" w:ascii="宋体" w:hAnsi="宋体" w:eastAsia="宋体" w:cs="宋体"/>
                <w:color w:val="auto"/>
                <w:sz w:val="24"/>
                <w:szCs w:val="24"/>
                <w:highlight w:val="none"/>
                <w:shd w:val="clear" w:color="auto" w:fill="FFFFFF"/>
                <w:vertAlign w:val="baseline"/>
              </w:rPr>
            </w:pPr>
            <w:r>
              <w:rPr>
                <w:rFonts w:hint="eastAsia" w:ascii="宋体" w:hAnsi="宋体" w:eastAsia="宋体" w:cs="宋体"/>
                <w:color w:val="auto"/>
                <w:sz w:val="24"/>
                <w:szCs w:val="24"/>
                <w:highlight w:val="none"/>
                <w:shd w:val="clear" w:color="auto" w:fill="FFFFFF"/>
              </w:rPr>
              <w:t>开户名称：</w:t>
            </w:r>
            <w:r>
              <w:rPr>
                <w:rFonts w:hint="default" w:ascii="宋体" w:hAnsi="宋体" w:cs="宋体"/>
                <w:color w:val="auto"/>
                <w:sz w:val="24"/>
                <w:szCs w:val="24"/>
                <w:highlight w:val="none"/>
                <w:shd w:val="clear" w:color="auto" w:fill="FFFFFF"/>
              </w:rPr>
              <w:t>福建省天弘工程项目管理有限公司</w:t>
            </w:r>
          </w:p>
        </w:tc>
      </w:tr>
      <w:tr w14:paraId="5AB5E2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14:paraId="3BDC329D">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left="0" w:leftChars="0" w:right="-362" w:rightChars="0"/>
              <w:rPr>
                <w:rFonts w:hint="eastAsia" w:ascii="宋体" w:hAnsi="宋体" w:eastAsia="宋体" w:cs="宋体"/>
                <w:color w:val="auto"/>
                <w:sz w:val="24"/>
                <w:szCs w:val="24"/>
                <w:highlight w:val="none"/>
                <w:shd w:val="clear" w:color="auto" w:fill="FFFFFF"/>
                <w:vertAlign w:val="baseline"/>
              </w:rPr>
            </w:pPr>
            <w:r>
              <w:rPr>
                <w:rFonts w:hint="eastAsia" w:ascii="宋体" w:hAnsi="宋体" w:eastAsia="宋体" w:cs="宋体"/>
                <w:color w:val="auto"/>
                <w:sz w:val="24"/>
                <w:szCs w:val="24"/>
                <w:highlight w:val="none"/>
                <w:shd w:val="clear" w:color="auto" w:fill="FFFFFF"/>
              </w:rPr>
              <w:t>开户银行：中国民生银行股份有限公司福州金山支行</w:t>
            </w:r>
          </w:p>
        </w:tc>
      </w:tr>
      <w:tr w14:paraId="7A9DFF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14:paraId="586C82D3">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left="0" w:leftChars="0" w:right="-362" w:rightChars="0"/>
              <w:rPr>
                <w:rFonts w:hint="eastAsia" w:ascii="宋体" w:hAnsi="宋体" w:eastAsia="宋体" w:cs="宋体"/>
                <w:color w:val="auto"/>
                <w:sz w:val="24"/>
                <w:szCs w:val="24"/>
                <w:highlight w:val="none"/>
                <w:shd w:val="clear" w:color="auto" w:fill="FFFFFF"/>
                <w:vertAlign w:val="baseline"/>
              </w:rPr>
            </w:pPr>
            <w:r>
              <w:rPr>
                <w:rFonts w:hint="eastAsia" w:ascii="宋体" w:hAnsi="宋体" w:eastAsia="宋体" w:cs="宋体"/>
                <w:color w:val="auto"/>
                <w:sz w:val="24"/>
                <w:szCs w:val="24"/>
                <w:highlight w:val="none"/>
                <w:shd w:val="clear" w:color="auto" w:fill="FFFFFF"/>
              </w:rPr>
              <w:t>银行账号：640947655</w:t>
            </w:r>
          </w:p>
        </w:tc>
      </w:tr>
      <w:tr w14:paraId="7FFB0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center"/>
          </w:tcPr>
          <w:p w14:paraId="16770426">
            <w:pPr>
              <w:pStyle w:val="10"/>
              <w:keepNext w:val="0"/>
              <w:keepLines w:val="0"/>
              <w:pageBreakBefore w:val="0"/>
              <w:kinsoku/>
              <w:wordWrap/>
              <w:overflowPunct/>
              <w:topLinePunct w:val="0"/>
              <w:autoSpaceDE/>
              <w:autoSpaceDN/>
              <w:bidi w:val="0"/>
              <w:adjustRightInd/>
              <w:snapToGrid/>
              <w:spacing w:before="0" w:beforeLines="0" w:beforeAutospacing="0" w:after="0" w:afterLines="0" w:afterAutospacing="0" w:line="420" w:lineRule="exact"/>
              <w:ind w:left="0" w:leftChars="0" w:right="0" w:rightChars="0"/>
              <w:jc w:val="center"/>
              <w:rPr>
                <w:rFonts w:hint="eastAsia" w:ascii="宋体" w:hAnsi="宋体" w:eastAsia="宋体" w:cs="宋体"/>
                <w:color w:val="auto"/>
                <w:sz w:val="24"/>
                <w:szCs w:val="24"/>
                <w:highlight w:val="none"/>
                <w:shd w:val="clear" w:color="auto" w:fill="FFFFFF"/>
                <w:vertAlign w:val="baseline"/>
              </w:rPr>
            </w:pPr>
            <w:r>
              <w:rPr>
                <w:rFonts w:hint="eastAsia" w:ascii="宋体" w:hAnsi="宋体" w:eastAsia="宋体" w:cs="宋体"/>
                <w:b/>
                <w:bCs/>
                <w:color w:val="auto"/>
                <w:sz w:val="24"/>
                <w:szCs w:val="24"/>
                <w:highlight w:val="none"/>
                <w:shd w:val="clear" w:color="auto" w:fill="FFFFFF"/>
              </w:rPr>
              <w:t>特别提示</w:t>
            </w:r>
          </w:p>
        </w:tc>
      </w:tr>
      <w:tr w14:paraId="0B520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22" w:type="dxa"/>
            <w:noWrap w:val="0"/>
            <w:vAlign w:val="top"/>
          </w:tcPr>
          <w:p w14:paraId="321AEBD2">
            <w:pPr>
              <w:keepNext w:val="0"/>
              <w:keepLines w:val="0"/>
              <w:pageBreakBefore w:val="0"/>
              <w:widowControl w:val="0"/>
              <w:kinsoku/>
              <w:wordWrap/>
              <w:overflowPunct/>
              <w:topLinePunct w:val="0"/>
              <w:autoSpaceDE/>
              <w:autoSpaceDN/>
              <w:bidi w:val="0"/>
              <w:adjustRightInd/>
              <w:snapToGrid/>
              <w:spacing w:beforeAutospacing="0" w:afterAutospacing="0" w:line="420" w:lineRule="exact"/>
              <w:textAlignment w:val="auto"/>
              <w:rPr>
                <w:rFonts w:hint="eastAsia" w:ascii="宋体" w:hAnsi="宋体" w:eastAsia="宋体" w:cs="宋体"/>
                <w:sz w:val="24"/>
                <w:szCs w:val="24"/>
              </w:rPr>
            </w:pPr>
            <w:r>
              <w:rPr>
                <w:rFonts w:hint="eastAsia" w:ascii="宋体" w:hAnsi="宋体" w:eastAsia="宋体" w:cs="宋体"/>
                <w:sz w:val="24"/>
                <w:szCs w:val="24"/>
              </w:rPr>
              <w:t>1、供应商应认真核对账户信息，将磋商保证金汇入以上账户，并自行承担因汇错磋商保证金而产生的一切后果。</w:t>
            </w:r>
          </w:p>
          <w:p w14:paraId="2FE506FE">
            <w:pPr>
              <w:keepNext w:val="0"/>
              <w:keepLines w:val="0"/>
              <w:pageBreakBefore w:val="0"/>
              <w:widowControl w:val="0"/>
              <w:kinsoku/>
              <w:wordWrap/>
              <w:overflowPunct/>
              <w:topLinePunct w:val="0"/>
              <w:autoSpaceDE/>
              <w:autoSpaceDN/>
              <w:bidi w:val="0"/>
              <w:adjustRightInd/>
              <w:snapToGrid/>
              <w:spacing w:beforeAutospacing="0" w:afterAutospacing="0" w:line="420" w:lineRule="exact"/>
              <w:textAlignment w:val="auto"/>
              <w:rPr>
                <w:rFonts w:hint="eastAsia" w:ascii="宋体" w:hAnsi="宋体" w:eastAsia="宋体" w:cs="宋体"/>
                <w:color w:val="auto"/>
                <w:sz w:val="24"/>
                <w:szCs w:val="24"/>
                <w:highlight w:val="none"/>
                <w:shd w:val="clear" w:color="auto" w:fill="FFFFFF"/>
                <w:vertAlign w:val="baseline"/>
              </w:rPr>
            </w:pPr>
            <w:r>
              <w:rPr>
                <w:rFonts w:hint="eastAsia" w:ascii="宋体" w:hAnsi="宋体" w:eastAsia="宋体" w:cs="宋体"/>
                <w:sz w:val="24"/>
                <w:szCs w:val="24"/>
              </w:rPr>
              <w:t>2、供应商在转账或电汇的凭证上应按照以下格式注明，以便核对：“（项目编号：***、合同包：***）的磋商保证金”</w:t>
            </w:r>
            <w:r>
              <w:rPr>
                <w:rFonts w:hint="eastAsia" w:ascii="宋体" w:hAnsi="宋体" w:eastAsia="宋体" w:cs="宋体"/>
                <w:color w:val="auto"/>
                <w:sz w:val="24"/>
                <w:szCs w:val="24"/>
                <w:highlight w:val="none"/>
                <w:shd w:val="clear" w:color="auto" w:fill="FFFFFF"/>
              </w:rPr>
              <w:t>。</w:t>
            </w:r>
          </w:p>
        </w:tc>
      </w:tr>
    </w:tbl>
    <w:p w14:paraId="0F956D66">
      <w:pPr>
        <w:pStyle w:val="10"/>
        <w:keepNext w:val="0"/>
        <w:keepLines w:val="0"/>
        <w:pageBreakBefore w:val="0"/>
        <w:widowControl/>
        <w:suppressLineNumbers w:val="0"/>
        <w:kinsoku/>
        <w:wordWrap/>
        <w:overflowPunct/>
        <w:topLinePunct w:val="0"/>
        <w:autoSpaceDE/>
        <w:autoSpaceDN/>
        <w:bidi w:val="0"/>
        <w:adjustRightInd/>
        <w:snapToGrid/>
        <w:spacing w:before="0" w:beforeLines="0" w:beforeAutospacing="0" w:after="0" w:afterLines="0" w:afterAutospacing="0" w:line="420" w:lineRule="exact"/>
        <w:ind w:left="0" w:right="0" w:firstLine="0"/>
        <w:textAlignment w:val="auto"/>
        <w:rPr>
          <w:rStyle w:val="16"/>
          <w:rFonts w:hint="eastAsia" w:ascii="宋体" w:hAnsi="宋体" w:eastAsia="宋体" w:cs="宋体"/>
          <w:color w:val="auto"/>
          <w:spacing w:val="0"/>
          <w:sz w:val="24"/>
          <w:szCs w:val="24"/>
        </w:rPr>
      </w:pPr>
      <w:r>
        <w:rPr>
          <w:rStyle w:val="16"/>
          <w:rFonts w:hint="eastAsia" w:ascii="宋体" w:hAnsi="宋体" w:eastAsia="宋体" w:cs="宋体"/>
          <w:color w:val="auto"/>
          <w:sz w:val="24"/>
          <w:szCs w:val="24"/>
          <w:highlight w:val="none"/>
          <w:lang w:val="en-US" w:eastAsia="zh-CN"/>
        </w:rPr>
        <w:t>附2：</w:t>
      </w:r>
      <w:r>
        <w:rPr>
          <w:rFonts w:hint="eastAsia" w:ascii="宋体" w:hAnsi="宋体" w:eastAsia="宋体" w:cs="宋体"/>
          <w:color w:val="auto"/>
          <w:spacing w:val="0"/>
          <w:sz w:val="24"/>
          <w:szCs w:val="24"/>
          <w:lang w:val="en-US" w:eastAsia="zh-CN"/>
        </w:rPr>
        <w:t>报名登记表</w:t>
      </w:r>
    </w:p>
    <w:tbl>
      <w:tblPr>
        <w:tblStyle w:val="13"/>
        <w:tblW w:w="0" w:type="auto"/>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Layout w:type="fixed"/>
        <w:tblCellMar>
          <w:top w:w="15" w:type="dxa"/>
          <w:left w:w="15" w:type="dxa"/>
          <w:bottom w:w="15" w:type="dxa"/>
          <w:right w:w="15" w:type="dxa"/>
        </w:tblCellMar>
      </w:tblPr>
      <w:tblGrid>
        <w:gridCol w:w="2019"/>
        <w:gridCol w:w="6501"/>
      </w:tblGrid>
      <w:tr w14:paraId="1C2D2BA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shd w:val="clear" w:color="auto" w:fill="FFFFFF"/>
        </w:tblPrEx>
        <w:trPr>
          <w:trHeight w:val="23" w:hRule="atLeast"/>
          <w:jc w:val="center"/>
        </w:trPr>
        <w:tc>
          <w:tcPr>
            <w:tcW w:w="2019" w:type="dxa"/>
            <w:tcBorders>
              <w:top w:val="single" w:color="auto" w:sz="8" w:space="0"/>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B1B745E">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Style w:val="16"/>
                <w:rFonts w:hint="eastAsia" w:ascii="宋体" w:hAnsi="宋体" w:eastAsia="宋体" w:cs="宋体"/>
                <w:b/>
                <w:bCs/>
                <w:i w:val="0"/>
                <w:iCs w:val="0"/>
                <w:caps w:val="0"/>
                <w:color w:val="383838"/>
                <w:spacing w:val="0"/>
                <w:sz w:val="24"/>
                <w:szCs w:val="24"/>
                <w:vertAlign w:val="baseline"/>
              </w:rPr>
              <w:t>项目名称</w:t>
            </w:r>
          </w:p>
        </w:tc>
        <w:tc>
          <w:tcPr>
            <w:tcW w:w="6501" w:type="dxa"/>
            <w:tcBorders>
              <w:top w:val="single" w:color="auto" w:sz="8" w:space="0"/>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D7355CF">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Fonts w:hint="eastAsia" w:ascii="宋体" w:hAnsi="宋体" w:eastAsia="宋体" w:cs="宋体"/>
                <w:i w:val="0"/>
                <w:iCs w:val="0"/>
                <w:caps w:val="0"/>
                <w:color w:val="383838"/>
                <w:spacing w:val="0"/>
                <w:sz w:val="24"/>
                <w:szCs w:val="24"/>
                <w:vertAlign w:val="baseline"/>
              </w:rPr>
              <w:t> </w:t>
            </w:r>
          </w:p>
        </w:tc>
      </w:tr>
      <w:tr w14:paraId="6C1DC03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3" w:hRule="atLeast"/>
          <w:jc w:val="center"/>
        </w:trPr>
        <w:tc>
          <w:tcPr>
            <w:tcW w:w="2019"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EFE225C">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Style w:val="16"/>
                <w:rFonts w:hint="eastAsia" w:ascii="宋体" w:hAnsi="宋体" w:eastAsia="宋体" w:cs="宋体"/>
                <w:b/>
                <w:bCs/>
                <w:i w:val="0"/>
                <w:iCs w:val="0"/>
                <w:caps w:val="0"/>
                <w:color w:val="383838"/>
                <w:spacing w:val="0"/>
                <w:sz w:val="24"/>
                <w:szCs w:val="24"/>
                <w:vertAlign w:val="baseline"/>
              </w:rPr>
              <w:t>项目编号</w:t>
            </w:r>
          </w:p>
        </w:tc>
        <w:tc>
          <w:tcPr>
            <w:tcW w:w="6501"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BB1A421">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Fonts w:hint="eastAsia" w:ascii="宋体" w:hAnsi="宋体" w:eastAsia="宋体" w:cs="宋体"/>
                <w:i w:val="0"/>
                <w:iCs w:val="0"/>
                <w:caps w:val="0"/>
                <w:color w:val="383838"/>
                <w:spacing w:val="0"/>
                <w:sz w:val="24"/>
                <w:szCs w:val="24"/>
                <w:vertAlign w:val="baseline"/>
              </w:rPr>
              <w:t> </w:t>
            </w:r>
          </w:p>
        </w:tc>
      </w:tr>
      <w:tr w14:paraId="63D29AD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3" w:hRule="atLeast"/>
          <w:jc w:val="center"/>
        </w:trPr>
        <w:tc>
          <w:tcPr>
            <w:tcW w:w="2019"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6044C54">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Style w:val="16"/>
                <w:rFonts w:hint="eastAsia" w:ascii="宋体" w:hAnsi="宋体" w:eastAsia="宋体" w:cs="宋体"/>
                <w:b/>
                <w:bCs/>
                <w:i w:val="0"/>
                <w:iCs w:val="0"/>
                <w:caps w:val="0"/>
                <w:color w:val="383838"/>
                <w:spacing w:val="0"/>
                <w:sz w:val="24"/>
                <w:szCs w:val="24"/>
                <w:vertAlign w:val="baseline"/>
                <w:lang w:val="en-US" w:eastAsia="zh-CN"/>
              </w:rPr>
              <w:t>供应商</w:t>
            </w:r>
            <w:r>
              <w:rPr>
                <w:rStyle w:val="16"/>
                <w:rFonts w:hint="eastAsia" w:ascii="宋体" w:hAnsi="宋体" w:eastAsia="宋体" w:cs="宋体"/>
                <w:b/>
                <w:bCs/>
                <w:i w:val="0"/>
                <w:iCs w:val="0"/>
                <w:caps w:val="0"/>
                <w:color w:val="383838"/>
                <w:spacing w:val="0"/>
                <w:sz w:val="24"/>
                <w:szCs w:val="24"/>
                <w:vertAlign w:val="baseline"/>
              </w:rPr>
              <w:t>名称</w:t>
            </w:r>
          </w:p>
        </w:tc>
        <w:tc>
          <w:tcPr>
            <w:tcW w:w="6501"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AEFBD3F">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Fonts w:hint="eastAsia" w:ascii="宋体" w:hAnsi="宋体" w:eastAsia="宋体" w:cs="宋体"/>
                <w:i w:val="0"/>
                <w:iCs w:val="0"/>
                <w:caps w:val="0"/>
                <w:color w:val="383838"/>
                <w:spacing w:val="0"/>
                <w:sz w:val="24"/>
                <w:szCs w:val="24"/>
                <w:vertAlign w:val="baseline"/>
              </w:rPr>
              <w:t> </w:t>
            </w:r>
          </w:p>
        </w:tc>
      </w:tr>
      <w:tr w14:paraId="02836CB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3" w:hRule="atLeast"/>
          <w:jc w:val="center"/>
        </w:trPr>
        <w:tc>
          <w:tcPr>
            <w:tcW w:w="2019"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5AA7F179">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Style w:val="16"/>
                <w:rFonts w:hint="eastAsia" w:ascii="宋体" w:hAnsi="宋体" w:eastAsia="宋体" w:cs="宋体"/>
                <w:b/>
                <w:bCs/>
                <w:i w:val="0"/>
                <w:iCs w:val="0"/>
                <w:caps w:val="0"/>
                <w:color w:val="383838"/>
                <w:spacing w:val="0"/>
                <w:sz w:val="24"/>
                <w:szCs w:val="24"/>
                <w:vertAlign w:val="baseline"/>
              </w:rPr>
              <w:t>拟报名合同包号</w:t>
            </w:r>
          </w:p>
        </w:tc>
        <w:tc>
          <w:tcPr>
            <w:tcW w:w="6501"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1FEC16A">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Fonts w:hint="eastAsia" w:ascii="宋体" w:hAnsi="宋体" w:eastAsia="宋体" w:cs="宋体"/>
                <w:i w:val="0"/>
                <w:iCs w:val="0"/>
                <w:caps w:val="0"/>
                <w:color w:val="383838"/>
                <w:spacing w:val="0"/>
                <w:sz w:val="24"/>
                <w:szCs w:val="24"/>
                <w:vertAlign w:val="baseline"/>
              </w:rPr>
              <w:t> </w:t>
            </w:r>
          </w:p>
        </w:tc>
      </w:tr>
      <w:tr w14:paraId="5643AA3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3" w:hRule="atLeast"/>
          <w:jc w:val="center"/>
        </w:trPr>
        <w:tc>
          <w:tcPr>
            <w:tcW w:w="2019"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87CB2E0">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Style w:val="16"/>
                <w:rFonts w:hint="eastAsia" w:ascii="宋体" w:hAnsi="宋体" w:eastAsia="宋体" w:cs="宋体"/>
                <w:b/>
                <w:bCs/>
                <w:i w:val="0"/>
                <w:iCs w:val="0"/>
                <w:caps w:val="0"/>
                <w:color w:val="383838"/>
                <w:spacing w:val="0"/>
                <w:sz w:val="24"/>
                <w:szCs w:val="24"/>
                <w:vertAlign w:val="baseline"/>
              </w:rPr>
              <w:t>联系人</w:t>
            </w:r>
          </w:p>
        </w:tc>
        <w:tc>
          <w:tcPr>
            <w:tcW w:w="6501"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76DA74A">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Fonts w:hint="eastAsia" w:ascii="宋体" w:hAnsi="宋体" w:eastAsia="宋体" w:cs="宋体"/>
                <w:i w:val="0"/>
                <w:iCs w:val="0"/>
                <w:caps w:val="0"/>
                <w:color w:val="383838"/>
                <w:spacing w:val="0"/>
                <w:sz w:val="24"/>
                <w:szCs w:val="24"/>
                <w:vertAlign w:val="baseline"/>
              </w:rPr>
              <w:t> </w:t>
            </w:r>
          </w:p>
        </w:tc>
      </w:tr>
      <w:tr w14:paraId="60D006C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3" w:hRule="atLeast"/>
          <w:jc w:val="center"/>
        </w:trPr>
        <w:tc>
          <w:tcPr>
            <w:tcW w:w="2019"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609F668C">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Style w:val="16"/>
                <w:rFonts w:hint="eastAsia" w:ascii="宋体" w:hAnsi="宋体" w:eastAsia="宋体" w:cs="宋体"/>
                <w:b/>
                <w:bCs/>
                <w:i w:val="0"/>
                <w:iCs w:val="0"/>
                <w:caps w:val="0"/>
                <w:color w:val="383838"/>
                <w:spacing w:val="0"/>
                <w:sz w:val="24"/>
                <w:szCs w:val="24"/>
                <w:vertAlign w:val="baseline"/>
              </w:rPr>
              <w:t>联系电话</w:t>
            </w:r>
          </w:p>
        </w:tc>
        <w:tc>
          <w:tcPr>
            <w:tcW w:w="6501"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0363E3C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Fonts w:hint="eastAsia" w:ascii="宋体" w:hAnsi="宋体" w:eastAsia="宋体" w:cs="宋体"/>
                <w:i w:val="0"/>
                <w:iCs w:val="0"/>
                <w:caps w:val="0"/>
                <w:color w:val="383838"/>
                <w:spacing w:val="0"/>
                <w:sz w:val="24"/>
                <w:szCs w:val="24"/>
                <w:vertAlign w:val="baseline"/>
              </w:rPr>
              <w:t> </w:t>
            </w:r>
          </w:p>
        </w:tc>
      </w:tr>
      <w:tr w14:paraId="286B255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3" w:hRule="atLeast"/>
          <w:jc w:val="center"/>
        </w:trPr>
        <w:tc>
          <w:tcPr>
            <w:tcW w:w="2019"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31F723D">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Style w:val="16"/>
                <w:rFonts w:hint="eastAsia" w:ascii="宋体" w:hAnsi="宋体" w:eastAsia="宋体" w:cs="宋体"/>
                <w:b/>
                <w:bCs/>
                <w:i w:val="0"/>
                <w:iCs w:val="0"/>
                <w:caps w:val="0"/>
                <w:color w:val="383838"/>
                <w:spacing w:val="0"/>
                <w:sz w:val="24"/>
                <w:szCs w:val="24"/>
                <w:vertAlign w:val="baseline"/>
              </w:rPr>
              <w:t>邮寄地址</w:t>
            </w:r>
          </w:p>
        </w:tc>
        <w:tc>
          <w:tcPr>
            <w:tcW w:w="6501"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2A0E8E08">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Fonts w:hint="eastAsia" w:ascii="宋体" w:hAnsi="宋体" w:eastAsia="宋体" w:cs="宋体"/>
                <w:i w:val="0"/>
                <w:iCs w:val="0"/>
                <w:caps w:val="0"/>
                <w:color w:val="383838"/>
                <w:spacing w:val="0"/>
                <w:sz w:val="24"/>
                <w:szCs w:val="24"/>
                <w:vertAlign w:val="baseline"/>
              </w:rPr>
              <w:t> </w:t>
            </w:r>
          </w:p>
        </w:tc>
      </w:tr>
      <w:tr w14:paraId="0967B3D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3" w:hRule="atLeast"/>
          <w:jc w:val="center"/>
        </w:trPr>
        <w:tc>
          <w:tcPr>
            <w:tcW w:w="2019"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7135D8D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Style w:val="16"/>
                <w:rFonts w:hint="eastAsia" w:ascii="宋体" w:hAnsi="宋体" w:eastAsia="宋体" w:cs="宋体"/>
                <w:b/>
                <w:bCs/>
                <w:i w:val="0"/>
                <w:iCs w:val="0"/>
                <w:caps w:val="0"/>
                <w:color w:val="383838"/>
                <w:spacing w:val="0"/>
                <w:sz w:val="24"/>
                <w:szCs w:val="24"/>
                <w:vertAlign w:val="baseline"/>
              </w:rPr>
              <w:t>电子邮箱</w:t>
            </w:r>
          </w:p>
        </w:tc>
        <w:tc>
          <w:tcPr>
            <w:tcW w:w="6501"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161EE459">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Fonts w:hint="eastAsia" w:ascii="宋体" w:hAnsi="宋体" w:eastAsia="宋体" w:cs="宋体"/>
                <w:i w:val="0"/>
                <w:iCs w:val="0"/>
                <w:caps w:val="0"/>
                <w:color w:val="383838"/>
                <w:spacing w:val="0"/>
                <w:sz w:val="24"/>
                <w:szCs w:val="24"/>
                <w:vertAlign w:val="baseline"/>
              </w:rPr>
              <w:t> </w:t>
            </w:r>
          </w:p>
        </w:tc>
      </w:tr>
      <w:tr w14:paraId="764D4C8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15" w:type="dxa"/>
            <w:left w:w="15" w:type="dxa"/>
            <w:bottom w:w="15" w:type="dxa"/>
            <w:right w:w="15" w:type="dxa"/>
          </w:tblCellMar>
        </w:tblPrEx>
        <w:trPr>
          <w:trHeight w:val="23" w:hRule="atLeast"/>
          <w:jc w:val="center"/>
        </w:trPr>
        <w:tc>
          <w:tcPr>
            <w:tcW w:w="2019" w:type="dxa"/>
            <w:tcBorders>
              <w:top w:val="nil"/>
              <w:left w:val="single" w:color="auto" w:sz="8" w:space="0"/>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422C64D4">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Style w:val="16"/>
                <w:rFonts w:hint="eastAsia" w:ascii="宋体" w:hAnsi="宋体" w:eastAsia="宋体" w:cs="宋体"/>
                <w:b/>
                <w:bCs/>
                <w:i w:val="0"/>
                <w:iCs w:val="0"/>
                <w:caps w:val="0"/>
                <w:color w:val="383838"/>
                <w:spacing w:val="0"/>
                <w:sz w:val="24"/>
                <w:szCs w:val="24"/>
                <w:vertAlign w:val="baseline"/>
              </w:rPr>
              <w:t>报名日期</w:t>
            </w:r>
          </w:p>
        </w:tc>
        <w:tc>
          <w:tcPr>
            <w:tcW w:w="6501" w:type="dxa"/>
            <w:tcBorders>
              <w:top w:val="nil"/>
              <w:left w:val="nil"/>
              <w:bottom w:val="single" w:color="auto" w:sz="8" w:space="0"/>
              <w:right w:val="single" w:color="auto" w:sz="8" w:space="0"/>
            </w:tcBorders>
            <w:shd w:val="clear" w:color="auto" w:fill="FFFFFF"/>
            <w:noWrap w:val="0"/>
            <w:tcMar>
              <w:top w:w="0" w:type="dxa"/>
              <w:left w:w="108" w:type="dxa"/>
              <w:bottom w:w="0" w:type="dxa"/>
              <w:right w:w="108" w:type="dxa"/>
            </w:tcMar>
            <w:vAlign w:val="center"/>
          </w:tcPr>
          <w:p w14:paraId="346740C2">
            <w:pPr>
              <w:pStyle w:val="10"/>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Lines="0" w:beforeAutospacing="0" w:after="0" w:afterLines="0" w:afterAutospacing="0" w:line="420" w:lineRule="exact"/>
              <w:ind w:left="0" w:right="0"/>
              <w:jc w:val="center"/>
              <w:textAlignment w:val="baseline"/>
              <w:rPr>
                <w:rFonts w:hint="eastAsia" w:ascii="宋体" w:hAnsi="宋体" w:eastAsia="宋体" w:cs="宋体"/>
                <w:sz w:val="24"/>
                <w:szCs w:val="24"/>
              </w:rPr>
            </w:pPr>
            <w:r>
              <w:rPr>
                <w:rFonts w:hint="eastAsia" w:ascii="宋体" w:hAnsi="宋体" w:eastAsia="宋体" w:cs="宋体"/>
                <w:i w:val="0"/>
                <w:iCs w:val="0"/>
                <w:caps w:val="0"/>
                <w:color w:val="383838"/>
                <w:spacing w:val="0"/>
                <w:sz w:val="24"/>
                <w:szCs w:val="24"/>
                <w:vertAlign w:val="baseline"/>
              </w:rPr>
              <w:t> </w:t>
            </w:r>
          </w:p>
        </w:tc>
      </w:tr>
    </w:tbl>
    <w:p w14:paraId="4770FAEA">
      <w:pPr>
        <w:pStyle w:val="10"/>
        <w:widowControl/>
        <w:spacing w:before="75" w:beforeLines="0" w:beforeAutospacing="0" w:after="75" w:afterLines="0" w:afterAutospacing="0"/>
        <w:jc w:val="both"/>
        <w:outlineLvl w:val="9"/>
        <w:rPr>
          <w:rStyle w:val="16"/>
          <w:rFonts w:hint="eastAsia" w:ascii="宋体" w:hAnsi="宋体" w:eastAsia="宋体" w:cs="宋体"/>
          <w:color w:val="auto"/>
          <w:highlight w:val="none"/>
        </w:rPr>
      </w:pPr>
    </w:p>
    <w:p w14:paraId="61A451CD">
      <w:pPr>
        <w:pStyle w:val="10"/>
        <w:widowControl/>
        <w:spacing w:before="75" w:beforeLines="0" w:beforeAutospacing="0" w:after="75" w:afterLines="0" w:afterAutospacing="0"/>
        <w:jc w:val="center"/>
        <w:outlineLvl w:val="0"/>
        <w:rPr>
          <w:rStyle w:val="16"/>
          <w:rFonts w:hint="eastAsia" w:ascii="宋体" w:hAnsi="宋体" w:cs="宋体"/>
          <w:color w:val="auto"/>
          <w:highlight w:val="none"/>
        </w:rPr>
      </w:pPr>
      <w:r>
        <w:rPr>
          <w:rStyle w:val="16"/>
          <w:rFonts w:hint="eastAsia" w:ascii="宋体" w:hAnsi="宋体" w:cs="宋体"/>
          <w:color w:val="auto"/>
          <w:highlight w:val="none"/>
        </w:rPr>
        <w:br w:type="page"/>
      </w:r>
      <w:bookmarkStart w:id="3" w:name="_Toc30906"/>
      <w:bookmarkStart w:id="4" w:name="_Toc12046"/>
      <w:bookmarkStart w:id="5" w:name="_Toc25030"/>
      <w:r>
        <w:rPr>
          <w:rStyle w:val="16"/>
          <w:rFonts w:hint="eastAsia" w:ascii="宋体" w:hAnsi="宋体" w:cs="宋体"/>
          <w:color w:val="auto"/>
          <w:highlight w:val="none"/>
        </w:rPr>
        <w:t>第二章 竞争性磋商须知</w:t>
      </w:r>
      <w:bookmarkEnd w:id="3"/>
      <w:bookmarkEnd w:id="4"/>
      <w:bookmarkEnd w:id="5"/>
    </w:p>
    <w:p w14:paraId="6A373C73">
      <w:pPr>
        <w:pStyle w:val="10"/>
        <w:widowControl/>
        <w:spacing w:before="75" w:beforeLines="0" w:beforeAutospacing="0" w:after="75" w:afterLines="0" w:afterAutospacing="0"/>
        <w:jc w:val="center"/>
        <w:outlineLvl w:val="1"/>
        <w:rPr>
          <w:rStyle w:val="16"/>
          <w:rFonts w:hint="eastAsia" w:ascii="宋体" w:hAnsi="宋体" w:cs="宋体"/>
          <w:color w:val="auto"/>
          <w:highlight w:val="none"/>
        </w:rPr>
      </w:pPr>
      <w:bookmarkStart w:id="6" w:name="_Toc20489"/>
      <w:bookmarkStart w:id="7" w:name="_Toc14975"/>
      <w:r>
        <w:rPr>
          <w:rStyle w:val="16"/>
          <w:rFonts w:hint="eastAsia" w:ascii="宋体" w:hAnsi="宋体" w:cs="宋体"/>
          <w:color w:val="auto"/>
          <w:highlight w:val="none"/>
        </w:rPr>
        <w:t>第1节 竞争性磋商须知前附表</w:t>
      </w:r>
      <w:bookmarkEnd w:id="6"/>
      <w:bookmarkEnd w:id="7"/>
    </w:p>
    <w:p w14:paraId="47412583">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firstLine="480"/>
        <w:textAlignment w:val="auto"/>
        <w:rPr>
          <w:rFonts w:hint="eastAsia" w:ascii="宋体" w:hAnsi="宋体" w:cs="宋体"/>
          <w:color w:val="auto"/>
          <w:sz w:val="24"/>
          <w:szCs w:val="24"/>
          <w:highlight w:val="none"/>
        </w:rPr>
      </w:pPr>
      <w:r>
        <w:rPr>
          <w:rFonts w:hint="eastAsia" w:ascii="宋体" w:hAnsi="宋体" w:cs="宋体"/>
          <w:color w:val="auto"/>
          <w:sz w:val="24"/>
          <w:szCs w:val="24"/>
          <w:highlight w:val="none"/>
        </w:rPr>
        <w:t>竞争性磋商须知前附表是对竞争性磋商须知的补充和细化，二者如有矛盾，以前附表中的要求和规定为准</w:t>
      </w:r>
    </w:p>
    <w:tbl>
      <w:tblPr>
        <w:tblStyle w:val="14"/>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5"/>
        <w:gridCol w:w="936"/>
        <w:gridCol w:w="7111"/>
      </w:tblGrid>
      <w:tr w14:paraId="2A1918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noWrap w:val="0"/>
            <w:vAlign w:val="top"/>
          </w:tcPr>
          <w:p w14:paraId="423FA9C0">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Style w:val="16"/>
                <w:rFonts w:hint="eastAsia" w:ascii="宋体" w:hAnsi="宋体" w:eastAsia="宋体" w:cs="宋体"/>
                <w:color w:val="auto"/>
                <w:sz w:val="24"/>
                <w:szCs w:val="24"/>
                <w:highlight w:val="none"/>
              </w:rPr>
              <w:t>项号</w:t>
            </w:r>
          </w:p>
        </w:tc>
        <w:tc>
          <w:tcPr>
            <w:tcW w:w="0" w:type="auto"/>
            <w:noWrap w:val="0"/>
            <w:vAlign w:val="top"/>
          </w:tcPr>
          <w:p w14:paraId="469472C6">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Style w:val="16"/>
                <w:rFonts w:hint="eastAsia" w:ascii="宋体" w:hAnsi="宋体" w:eastAsia="宋体" w:cs="宋体"/>
                <w:color w:val="auto"/>
                <w:sz w:val="24"/>
                <w:szCs w:val="24"/>
                <w:highlight w:val="none"/>
              </w:rPr>
              <w:t>条款号</w:t>
            </w:r>
          </w:p>
        </w:tc>
        <w:tc>
          <w:tcPr>
            <w:tcW w:w="0" w:type="auto"/>
            <w:noWrap w:val="0"/>
            <w:vAlign w:val="top"/>
          </w:tcPr>
          <w:p w14:paraId="36FC7CDD">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cs="宋体"/>
                <w:color w:val="auto"/>
                <w:sz w:val="24"/>
                <w:szCs w:val="24"/>
                <w:highlight w:val="none"/>
                <w:vertAlign w:val="baseline"/>
              </w:rPr>
            </w:pPr>
            <w:r>
              <w:rPr>
                <w:rStyle w:val="16"/>
                <w:rFonts w:hint="eastAsia" w:ascii="宋体" w:hAnsi="宋体" w:eastAsia="宋体" w:cs="宋体"/>
                <w:color w:val="auto"/>
                <w:sz w:val="24"/>
                <w:szCs w:val="24"/>
                <w:highlight w:val="none"/>
              </w:rPr>
              <w:t>编列内容</w:t>
            </w:r>
          </w:p>
        </w:tc>
      </w:tr>
      <w:tr w14:paraId="69EFA9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0" w:type="auto"/>
            <w:noWrap w:val="0"/>
            <w:vAlign w:val="center"/>
          </w:tcPr>
          <w:p w14:paraId="0C4126BD">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1</w:t>
            </w:r>
          </w:p>
        </w:tc>
        <w:tc>
          <w:tcPr>
            <w:tcW w:w="0" w:type="auto"/>
            <w:noWrap w:val="0"/>
            <w:vAlign w:val="center"/>
          </w:tcPr>
          <w:p w14:paraId="6CE43699">
            <w:pPr>
              <w:pStyle w:val="10"/>
              <w:keepNext w:val="0"/>
              <w:keepLines w:val="0"/>
              <w:pageBreakBefore w:val="0"/>
              <w:widowControl/>
              <w:kinsoku/>
              <w:wordWrap/>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3.2.1</w:t>
            </w:r>
          </w:p>
        </w:tc>
        <w:tc>
          <w:tcPr>
            <w:tcW w:w="0" w:type="auto"/>
            <w:noWrap w:val="0"/>
            <w:vAlign w:val="top"/>
          </w:tcPr>
          <w:p w14:paraId="354FC47B">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供应商的资格要求：见磋商文件第一章“采购公告/采购邀请书”</w:t>
            </w:r>
          </w:p>
          <w:p w14:paraId="54F14DFB">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 （1）资格证明文件资料要求：</w:t>
            </w:r>
          </w:p>
          <w:p w14:paraId="3E4E4151">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采购包1：</w:t>
            </w:r>
          </w:p>
          <w:tbl>
            <w:tblPr>
              <w:tblStyle w:val="13"/>
              <w:tblW w:w="0" w:type="auto"/>
              <w:tblInd w:w="-1"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70"/>
              <w:gridCol w:w="1173"/>
              <w:gridCol w:w="5247"/>
            </w:tblGrid>
            <w:tr w14:paraId="27CA561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center"/>
                </w:tcPr>
                <w:p w14:paraId="3CB49454">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序号</w:t>
                  </w:r>
                </w:p>
              </w:tc>
              <w:tc>
                <w:tcPr>
                  <w:tcW w:w="0" w:type="auto"/>
                  <w:noWrap w:val="0"/>
                  <w:vAlign w:val="center"/>
                </w:tcPr>
                <w:p w14:paraId="2F084211">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资格审查要求概况</w:t>
                  </w:r>
                </w:p>
              </w:tc>
              <w:tc>
                <w:tcPr>
                  <w:tcW w:w="0" w:type="auto"/>
                  <w:noWrap w:val="0"/>
                  <w:vAlign w:val="center"/>
                </w:tcPr>
                <w:p w14:paraId="6E5FB27C">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评审点具体描述</w:t>
                  </w:r>
                </w:p>
              </w:tc>
            </w:tr>
            <w:tr w14:paraId="2FBE8BC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center"/>
                </w:tcPr>
                <w:p w14:paraId="54A87787">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0" w:type="auto"/>
                  <w:noWrap w:val="0"/>
                  <w:vAlign w:val="center"/>
                </w:tcPr>
                <w:p w14:paraId="473F5594">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磋商响应声明</w:t>
                  </w:r>
                </w:p>
              </w:tc>
              <w:tc>
                <w:tcPr>
                  <w:tcW w:w="0" w:type="auto"/>
                  <w:noWrap w:val="0"/>
                  <w:vAlign w:val="center"/>
                </w:tcPr>
                <w:p w14:paraId="631A333E">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详见声明函</w:t>
                  </w:r>
                </w:p>
              </w:tc>
            </w:tr>
            <w:tr w14:paraId="5E6D96A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center"/>
                </w:tcPr>
                <w:p w14:paraId="22EA088F">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2</w:t>
                  </w:r>
                </w:p>
              </w:tc>
              <w:tc>
                <w:tcPr>
                  <w:tcW w:w="0" w:type="auto"/>
                  <w:noWrap w:val="0"/>
                  <w:vAlign w:val="center"/>
                </w:tcPr>
                <w:p w14:paraId="53471160">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单位负责人授权书</w:t>
                  </w:r>
                </w:p>
              </w:tc>
              <w:tc>
                <w:tcPr>
                  <w:tcW w:w="0" w:type="auto"/>
                  <w:noWrap w:val="0"/>
                  <w:vAlign w:val="center"/>
                </w:tcPr>
                <w:p w14:paraId="77BD3CF0">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①供应商（自然人除外）：若供应商代表为单位授权的委托代理人，应提供本授权书；若供应商代表为单位负责人，应在此项下提交其身份证正反面复印件，可不提供本授权书。②供应商为然</w:t>
                  </w:r>
                </w:p>
                <w:p w14:paraId="22AB3E2D">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人的，可不填写本授权书。</w:t>
                  </w:r>
                </w:p>
              </w:tc>
            </w:tr>
            <w:tr w14:paraId="0FF1540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center"/>
                </w:tcPr>
                <w:p w14:paraId="4ED8ED71">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3</w:t>
                  </w:r>
                </w:p>
              </w:tc>
              <w:tc>
                <w:tcPr>
                  <w:tcW w:w="0" w:type="auto"/>
                  <w:noWrap w:val="0"/>
                  <w:vAlign w:val="center"/>
                </w:tcPr>
                <w:p w14:paraId="274E495A">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营业执照等证明文件</w:t>
                  </w:r>
                </w:p>
              </w:tc>
              <w:tc>
                <w:tcPr>
                  <w:tcW w:w="0" w:type="auto"/>
                  <w:noWrap w:val="0"/>
                  <w:vAlign w:val="center"/>
                </w:tcPr>
                <w:p w14:paraId="09A7B4BE">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①供应商为企业的，提供有效的营业执照复印件；供应商为事业单位的，提供有效的事业单位法人证书复印件；供应商为社会团体的，提供有效的社会团体法人登记证书复印件；供应商为合伙企业、个体工商户的，提供有效的营业执照复印件；供应商为非企业专业服务机构的，提供有效的执业许可证等证明材料复印件；供应商为自然人的，提供有效的自然人身份证件复印件；其他供应商应按照有关法律、法规和规章规定，提</w:t>
                  </w:r>
                </w:p>
                <w:p w14:paraId="1B700E53">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供有效的相应具体证照复印件。</w:t>
                  </w:r>
                </w:p>
              </w:tc>
            </w:tr>
            <w:tr w14:paraId="0ECFF53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center"/>
                </w:tcPr>
                <w:p w14:paraId="366ED1AD">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4</w:t>
                  </w:r>
                </w:p>
              </w:tc>
              <w:tc>
                <w:tcPr>
                  <w:tcW w:w="0" w:type="auto"/>
                  <w:noWrap w:val="0"/>
                  <w:vAlign w:val="center"/>
                </w:tcPr>
                <w:p w14:paraId="14A041EA">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提供财务状况报告（财务报告、或资信证明）</w:t>
                  </w:r>
                </w:p>
              </w:tc>
              <w:tc>
                <w:tcPr>
                  <w:tcW w:w="0" w:type="auto"/>
                  <w:noWrap w:val="0"/>
                  <w:vAlign w:val="center"/>
                </w:tcPr>
                <w:p w14:paraId="3D4F92D1">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①供应商提供的财务报告复印件（成立年限按照提交响应文件截止时间推算）应符合下列规定：a.成立年限满1年及以上的供应商，提供经审计的</w:t>
                  </w:r>
                  <w:r>
                    <w:rPr>
                      <w:rFonts w:hint="eastAsia" w:ascii="宋体" w:hAnsi="宋体" w:cs="宋体"/>
                      <w:sz w:val="24"/>
                      <w:szCs w:val="24"/>
                      <w:lang w:val="en-US" w:eastAsia="zh-CN"/>
                    </w:rPr>
                    <w:t>2022</w:t>
                  </w:r>
                  <w:r>
                    <w:rPr>
                      <w:rFonts w:hint="eastAsia" w:ascii="宋体" w:hAnsi="宋体" w:eastAsia="宋体" w:cs="宋体"/>
                      <w:sz w:val="24"/>
                      <w:szCs w:val="24"/>
                    </w:rPr>
                    <w:t>年度</w:t>
                  </w:r>
                  <w:r>
                    <w:rPr>
                      <w:rFonts w:hint="eastAsia" w:ascii="宋体" w:hAnsi="宋体" w:cs="宋体"/>
                      <w:sz w:val="24"/>
                      <w:szCs w:val="24"/>
                      <w:lang w:val="en-US" w:eastAsia="zh-CN"/>
                    </w:rPr>
                    <w:t>或2023年度</w:t>
                  </w:r>
                  <w:r>
                    <w:rPr>
                      <w:rFonts w:hint="eastAsia" w:ascii="宋体" w:hAnsi="宋体" w:eastAsia="宋体" w:cs="宋体"/>
                      <w:sz w:val="24"/>
                      <w:szCs w:val="24"/>
                    </w:rPr>
                    <w:t>的年度财务报告。b.成立年限满半年但不足1年的供应商，提供该半年度中任一季度的季度财务报告或该半年度的半年度财务报告。c.无法按照以上a、b项规定提供财务报告复印件的供应商（包括但不限于：成立年限满1年及以上的供应商、成立年限满半年但不足1年的供应商、成立年限不足半年的供应</w:t>
                  </w:r>
                </w:p>
                <w:p w14:paraId="25943C5C">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商），应选择提供资信证明复印件。</w:t>
                  </w:r>
                </w:p>
              </w:tc>
            </w:tr>
            <w:tr w14:paraId="1BD83A3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center"/>
                </w:tcPr>
                <w:p w14:paraId="6748EBB5">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5</w:t>
                  </w:r>
                </w:p>
              </w:tc>
              <w:tc>
                <w:tcPr>
                  <w:tcW w:w="0" w:type="auto"/>
                  <w:noWrap w:val="0"/>
                  <w:vAlign w:val="center"/>
                </w:tcPr>
                <w:p w14:paraId="5F0A9F88">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依法缴纳税收证明材料</w:t>
                  </w:r>
                </w:p>
              </w:tc>
              <w:tc>
                <w:tcPr>
                  <w:tcW w:w="0" w:type="auto"/>
                  <w:noWrap w:val="0"/>
                  <w:vAlign w:val="center"/>
                </w:tcPr>
                <w:p w14:paraId="6F36E86A">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①供应商提供的税收缴纳凭据复印件应符合下列规定： a.提交响应文件截止时间前（不含提交响应文件截止时间的当月）已依法缴纳税收的供应商，提供提交响应文件截止时间前六个月（不含提交响应文件截止时间的当月）中任一月份的税收缴纳凭据复印件。 b.提交响应文件截止时间的当月成立的供应商,视同满足本项资格条件要求。 c.若为依法免税范围的供应商，提供依法免税证明材料的，视同满足本项资格条件</w:t>
                  </w:r>
                </w:p>
                <w:p w14:paraId="665D1330">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要求。</w:t>
                  </w:r>
                </w:p>
              </w:tc>
            </w:tr>
            <w:tr w14:paraId="221DE8E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center"/>
                </w:tcPr>
                <w:p w14:paraId="08723DF5">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6</w:t>
                  </w:r>
                </w:p>
              </w:tc>
              <w:tc>
                <w:tcPr>
                  <w:tcW w:w="0" w:type="auto"/>
                  <w:noWrap w:val="0"/>
                  <w:vAlign w:val="center"/>
                </w:tcPr>
                <w:p w14:paraId="658AA6C0">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依法缴纳社会保障资金证明材料</w:t>
                  </w:r>
                </w:p>
              </w:tc>
              <w:tc>
                <w:tcPr>
                  <w:tcW w:w="0" w:type="auto"/>
                  <w:noWrap w:val="0"/>
                  <w:vAlign w:val="center"/>
                </w:tcPr>
                <w:p w14:paraId="5AF0C93B">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①供应商提供的社会保障资金缴纳凭据复印件应符合下列规定： a.提交响应文件截止时间前（不含提交响应文件截止时间的当月）已依法缴纳社会保障资金的供应商，提供提交响应文件截止时间前六个月（不含提交响应文件截止时间的当月）中任一月份的社会保障资金缴纳凭据复印件。 b.提交响应文件截止时间的当月成立的供应商，视同满足本项资格条件要求。 c.若为依法不需要缴纳或暂缓缴纳社会保障资金的供应商，提供依法不需要缴纳或暂缓缴纳社会保障资</w:t>
                  </w:r>
                </w:p>
                <w:p w14:paraId="2F477CF0">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金证明材料的，视同满足本项资格条件要求。</w:t>
                  </w:r>
                </w:p>
              </w:tc>
            </w:tr>
            <w:tr w14:paraId="25548B4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center"/>
                </w:tcPr>
                <w:p w14:paraId="745F76E9">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7</w:t>
                  </w:r>
                </w:p>
              </w:tc>
              <w:tc>
                <w:tcPr>
                  <w:tcW w:w="0" w:type="auto"/>
                  <w:noWrap w:val="0"/>
                  <w:vAlign w:val="center"/>
                </w:tcPr>
                <w:p w14:paraId="61A1B48C">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具备履行合同所必需设备和专业技术能力的声明函(若有)</w:t>
                  </w:r>
                </w:p>
              </w:tc>
              <w:tc>
                <w:tcPr>
                  <w:tcW w:w="0" w:type="auto"/>
                  <w:noWrap w:val="0"/>
                  <w:vAlign w:val="center"/>
                </w:tcPr>
                <w:p w14:paraId="3A066F0E">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①采购文件未要求供应商提供“具备履行合同所必需的设备和专业技术能力专项证明材料”的，供应商应提供本声明函。②采购文件要求供应商提供“具备履行合同所必需的设备和专业技术能力专项证明材料”的，供应商可不提供本声明函。</w:t>
                  </w:r>
                </w:p>
              </w:tc>
            </w:tr>
            <w:tr w14:paraId="2E2B711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center"/>
                </w:tcPr>
                <w:p w14:paraId="0471D290">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8</w:t>
                  </w:r>
                </w:p>
              </w:tc>
              <w:tc>
                <w:tcPr>
                  <w:tcW w:w="0" w:type="auto"/>
                  <w:noWrap w:val="0"/>
                  <w:vAlign w:val="center"/>
                </w:tcPr>
                <w:p w14:paraId="065A1D3D">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参加采购活动前三年内在经营活动中没有重大违法记录的声明</w:t>
                  </w:r>
                </w:p>
              </w:tc>
              <w:tc>
                <w:tcPr>
                  <w:tcW w:w="0" w:type="auto"/>
                  <w:noWrap w:val="0"/>
                  <w:vAlign w:val="center"/>
                </w:tcPr>
                <w:p w14:paraId="33B628A8">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①重大违法记录：指供应商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w:t>
                  </w:r>
                </w:p>
                <w:p w14:paraId="225E4215">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万元的，从其规定。</w:t>
                  </w:r>
                </w:p>
              </w:tc>
            </w:tr>
            <w:tr w14:paraId="1416BED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center"/>
                </w:tcPr>
                <w:p w14:paraId="68C170D8">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9</w:t>
                  </w:r>
                </w:p>
              </w:tc>
              <w:tc>
                <w:tcPr>
                  <w:tcW w:w="0" w:type="auto"/>
                  <w:noWrap w:val="0"/>
                  <w:vAlign w:val="center"/>
                </w:tcPr>
                <w:p w14:paraId="039E9C9C">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中小企业声明函（以资格条件落实中小企业扶持政策时适用 ）</w:t>
                  </w:r>
                </w:p>
              </w:tc>
              <w:tc>
                <w:tcPr>
                  <w:tcW w:w="0" w:type="auto"/>
                  <w:noWrap w:val="0"/>
                  <w:vAlign w:val="center"/>
                </w:tcPr>
                <w:p w14:paraId="632F8136">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①供应商应认真对照工信部联企业[2011]300号《工业和信息化部、国家统计局、国家发展和改革委员会、财政部关于印发中小企业划型标准规定的通知》规定的划分标准，并按照国统字[2017]213号《关于印发&lt;统计上大中小微型企业划分办法(2017)&gt;的通知》规定准确划分企业类型。本项目采购标的对应的中小企业划分标准所属行业详见特定资格条件。②供应商为监狱企业的，可不填写本声明函，根据其提供的由省级以上监狱管理局、戒毒管理局（含新疆生产建设兵团）出具的属于监狱企业的证明文件进行认定，监狱企业视同小型、微型企业。③供应商为残疾人福利性单位的，可不填写本声明函，根据其提供的《残疾人福利性单位声明函》进行认定，残疾人福利性单位视同小型、微型企业。④以联合体形式落实中小企业预留份额时，还需提供《联合体协议》。⑤以合同分包形式落实中小企业预</w:t>
                  </w:r>
                </w:p>
                <w:p w14:paraId="0C8F020D">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留份额时，还需提供《分包意向协议》。</w:t>
                  </w:r>
                </w:p>
              </w:tc>
            </w:tr>
            <w:tr w14:paraId="39CF5E1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center"/>
                </w:tcPr>
                <w:p w14:paraId="030ECE50">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10</w:t>
                  </w:r>
                </w:p>
              </w:tc>
              <w:tc>
                <w:tcPr>
                  <w:tcW w:w="0" w:type="auto"/>
                  <w:noWrap w:val="0"/>
                  <w:vAlign w:val="center"/>
                </w:tcPr>
                <w:p w14:paraId="750D414F">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信用记录查询结果</w:t>
                  </w:r>
                </w:p>
              </w:tc>
              <w:tc>
                <w:tcPr>
                  <w:tcW w:w="0" w:type="auto"/>
                  <w:noWrap w:val="0"/>
                  <w:vAlign w:val="center"/>
                </w:tcPr>
                <w:p w14:paraId="4274EFAE">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①信用记录查询的截止时点：信用记录查询的截止时点为本项目提交响应文件截止当日。②信用</w:t>
                  </w:r>
                </w:p>
                <w:p w14:paraId="30207F29">
                  <w:pPr>
                    <w:pStyle w:val="18"/>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宋体" w:hAnsi="宋体" w:eastAsia="宋体" w:cs="宋体"/>
                      <w:sz w:val="24"/>
                      <w:szCs w:val="24"/>
                    </w:rPr>
                  </w:pPr>
                  <w:r>
                    <w:rPr>
                      <w:rFonts w:hint="eastAsia" w:ascii="宋体" w:hAnsi="宋体" w:eastAsia="宋体" w:cs="宋体"/>
                      <w:sz w:val="24"/>
                      <w:szCs w:val="24"/>
                    </w:rPr>
                    <w:t>记录查询渠道：信用中国（www.creditchina.gov.cn）、中国政府采购网（www.ccgp.gov.cn）。③信用记录的查询：由磋商小组通过上述网站查询并打印供应商的信用记录。④经查询，供应商参加本项目采购活动(响应截止时间)前三年内被列入失信被执行人名单、重大税收违法案件当事人名单、政府采购严重违法失信行为记录名单及其他重大违法记录且相关信用惩戒期限未满的，其资格审查不合格。</w:t>
                  </w:r>
                </w:p>
              </w:tc>
            </w:tr>
            <w:tr w14:paraId="0617C42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center"/>
                </w:tcPr>
                <w:p w14:paraId="48A17E0A">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11</w:t>
                  </w:r>
                </w:p>
              </w:tc>
              <w:tc>
                <w:tcPr>
                  <w:tcW w:w="0" w:type="auto"/>
                  <w:noWrap w:val="0"/>
                  <w:vAlign w:val="center"/>
                </w:tcPr>
                <w:p w14:paraId="452796FB">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联合体协议（若有）</w:t>
                  </w:r>
                </w:p>
              </w:tc>
              <w:tc>
                <w:tcPr>
                  <w:tcW w:w="0" w:type="auto"/>
                  <w:noWrap w:val="0"/>
                  <w:vAlign w:val="center"/>
                </w:tcPr>
                <w:p w14:paraId="4ACB26E7">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①采购文件接受联合体报价且供应商为联合体的，供应商应提供本协议；否则无须提供。②本协议由委托代理人签字或盖章的，应按照采购文件第五章载明的格式提供“单位负责人授权书”。</w:t>
                  </w:r>
                </w:p>
              </w:tc>
            </w:tr>
          </w:tbl>
          <w:p w14:paraId="53E920D0">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 （2）特定资格条件：</w:t>
            </w:r>
          </w:p>
          <w:p w14:paraId="4C6C8F72">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采购包1：</w:t>
            </w:r>
          </w:p>
          <w:tbl>
            <w:tblPr>
              <w:tblStyle w:val="13"/>
              <w:tblW w:w="4986"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898"/>
              <w:gridCol w:w="4973"/>
            </w:tblGrid>
            <w:tr w14:paraId="41A5D3B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1" w:type="pct"/>
                  <w:noWrap w:val="0"/>
                  <w:vAlign w:val="top"/>
                </w:tcPr>
                <w:p w14:paraId="4444259A">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资格审查要求概况</w:t>
                  </w:r>
                </w:p>
              </w:tc>
              <w:tc>
                <w:tcPr>
                  <w:tcW w:w="3618" w:type="pct"/>
                  <w:noWrap w:val="0"/>
                  <w:vAlign w:val="top"/>
                </w:tcPr>
                <w:p w14:paraId="3EF75623">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评审点具体描述</w:t>
                  </w:r>
                </w:p>
              </w:tc>
            </w:tr>
            <w:tr w14:paraId="28A311B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1" w:type="pct"/>
                  <w:noWrap w:val="0"/>
                  <w:vAlign w:val="top"/>
                </w:tcPr>
                <w:p w14:paraId="30087403">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本采购包属于专门面向中小企业采购。</w:t>
                  </w:r>
                </w:p>
              </w:tc>
              <w:tc>
                <w:tcPr>
                  <w:tcW w:w="3618" w:type="pct"/>
                  <w:noWrap w:val="0"/>
                  <w:vAlign w:val="top"/>
                </w:tcPr>
                <w:p w14:paraId="3246F1E5">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highlight w:val="none"/>
                      <w:lang w:val="en-US" w:eastAsia="zh-CN" w:bidi="ar-SA"/>
                    </w:rPr>
                  </w:pPr>
                  <w:r>
                    <w:rPr>
                      <w:rFonts w:hint="eastAsia" w:ascii="宋体" w:hAnsi="宋体" w:eastAsia="宋体" w:cs="宋体"/>
                      <w:sz w:val="24"/>
                      <w:szCs w:val="24"/>
                      <w:highlight w:val="none"/>
                    </w:rPr>
                    <w:t>1、根据《政府采购促进中小企业发展管理办法》（财库〔2020〕46号）文件，本项目专门面向中小企业采购（中小微企业、监狱企业、残疾人福利性单位），</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须按格式要求提供正确的《中小企业声明函》。2、</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为监狱企业的，可不提供《中小企业声明函》，根据其提供的由省级以上监狱管理局、戒毒管理局（含新疆生产建设兵团）出具的属于监狱企业的证明文件进行认定，监狱企业视同小型、微型企业。3、</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为残疾人福利性单位的，可不提供《中小企业声明函》，根据其提供的《残疾人福利性单位声明函》进行认定，残疾人福利性单位视同小型、微型企业。※</w:t>
                  </w:r>
                  <w:r>
                    <w:rPr>
                      <w:rFonts w:hint="eastAsia" w:ascii="宋体" w:hAnsi="宋体" w:eastAsia="宋体" w:cs="宋体"/>
                      <w:sz w:val="24"/>
                      <w:szCs w:val="24"/>
                      <w:highlight w:val="none"/>
                      <w:lang w:val="en-US" w:eastAsia="zh-CN"/>
                    </w:rPr>
                    <w:t>供应商</w:t>
                  </w:r>
                  <w:r>
                    <w:rPr>
                      <w:rFonts w:hint="eastAsia" w:ascii="宋体" w:hAnsi="宋体" w:eastAsia="宋体" w:cs="宋体"/>
                      <w:sz w:val="24"/>
                      <w:szCs w:val="24"/>
                      <w:highlight w:val="none"/>
                    </w:rPr>
                    <w:t>应按照采购文件第</w:t>
                  </w:r>
                  <w:r>
                    <w:rPr>
                      <w:rFonts w:hint="eastAsia" w:ascii="宋体" w:hAnsi="宋体" w:eastAsia="宋体" w:cs="宋体"/>
                      <w:sz w:val="24"/>
                      <w:szCs w:val="24"/>
                      <w:highlight w:val="none"/>
                      <w:lang w:val="en-US" w:eastAsia="zh-CN"/>
                    </w:rPr>
                    <w:t>五</w:t>
                  </w:r>
                  <w:r>
                    <w:rPr>
                      <w:rFonts w:hint="eastAsia" w:ascii="宋体" w:hAnsi="宋体" w:eastAsia="宋体" w:cs="宋体"/>
                      <w:sz w:val="24"/>
                      <w:szCs w:val="24"/>
                      <w:highlight w:val="none"/>
                    </w:rPr>
                    <w:t>章中的规定提供。4、本项目为</w:t>
                  </w:r>
                  <w:r>
                    <w:rPr>
                      <w:rFonts w:hint="eastAsia" w:ascii="宋体" w:hAnsi="宋体" w:cs="宋体"/>
                      <w:sz w:val="24"/>
                      <w:szCs w:val="24"/>
                      <w:highlight w:val="none"/>
                      <w:lang w:val="en-US" w:eastAsia="zh-CN"/>
                    </w:rPr>
                    <w:t>服务</w:t>
                  </w:r>
                  <w:r>
                    <w:rPr>
                      <w:rFonts w:hint="eastAsia" w:ascii="宋体" w:hAnsi="宋体" w:eastAsia="宋体" w:cs="宋体"/>
                      <w:sz w:val="24"/>
                      <w:szCs w:val="24"/>
                      <w:highlight w:val="none"/>
                    </w:rPr>
                    <w:t>类采购项目，采购标的对应的中小企业划分标准所属行业为“</w:t>
                  </w:r>
                  <w:r>
                    <w:rPr>
                      <w:rFonts w:hint="eastAsia" w:ascii="宋体" w:hAnsi="宋体" w:cs="宋体"/>
                      <w:color w:val="auto"/>
                      <w:kern w:val="0"/>
                      <w:sz w:val="24"/>
                      <w:szCs w:val="24"/>
                      <w:highlight w:val="none"/>
                      <w:lang w:val="en-US" w:eastAsia="zh-CN" w:bidi="ar"/>
                    </w:rPr>
                    <w:t>其他未列明行业</w:t>
                  </w:r>
                  <w:r>
                    <w:rPr>
                      <w:rFonts w:hint="eastAsia" w:ascii="宋体" w:hAnsi="宋体" w:eastAsia="宋体" w:cs="宋体"/>
                      <w:sz w:val="24"/>
                      <w:szCs w:val="24"/>
                      <w:highlight w:val="none"/>
                    </w:rPr>
                    <w:t>”。</w:t>
                  </w:r>
                </w:p>
              </w:tc>
            </w:tr>
            <w:tr w14:paraId="76ADA6F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81" w:type="pct"/>
                  <w:noWrap w:val="0"/>
                  <w:vAlign w:val="top"/>
                </w:tcPr>
                <w:p w14:paraId="118383CC">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default" w:ascii="宋体" w:hAnsi="宋体" w:eastAsia="宋体" w:cs="宋体"/>
                      <w:sz w:val="24"/>
                      <w:szCs w:val="24"/>
                      <w:highlight w:val="yellow"/>
                      <w:lang w:val="en-US" w:eastAsia="zh-CN"/>
                    </w:rPr>
                  </w:pPr>
                  <w:r>
                    <w:rPr>
                      <w:rFonts w:hint="eastAsia" w:ascii="宋体" w:hAnsi="宋体" w:cs="宋体"/>
                      <w:sz w:val="24"/>
                      <w:szCs w:val="24"/>
                      <w:highlight w:val="yellow"/>
                      <w:lang w:val="en-US" w:eastAsia="zh-CN"/>
                    </w:rPr>
                    <w:t>磋商文件规定的其他资格证明文件</w:t>
                  </w:r>
                </w:p>
              </w:tc>
              <w:tc>
                <w:tcPr>
                  <w:tcW w:w="3618" w:type="pct"/>
                  <w:noWrap w:val="0"/>
                  <w:vAlign w:val="center"/>
                </w:tcPr>
                <w:p w14:paraId="491A66C6">
                  <w:pPr>
                    <w:pStyle w:val="18"/>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宋体" w:hAnsi="宋体" w:eastAsia="宋体" w:cs="宋体"/>
                      <w:sz w:val="24"/>
                      <w:szCs w:val="24"/>
                      <w:highlight w:val="yellow"/>
                      <w:lang w:val="en-US" w:eastAsia="zh-CN"/>
                    </w:rPr>
                  </w:pPr>
                  <w:r>
                    <w:rPr>
                      <w:rFonts w:hint="eastAsia" w:ascii="宋体" w:hAnsi="宋体" w:cs="宋体"/>
                      <w:sz w:val="24"/>
                      <w:szCs w:val="24"/>
                      <w:highlight w:val="yellow"/>
                      <w:lang w:val="en-US" w:eastAsia="zh-CN"/>
                    </w:rPr>
                    <w:t>供应商</w:t>
                  </w:r>
                  <w:r>
                    <w:rPr>
                      <w:rFonts w:hint="eastAsia" w:ascii="宋体" w:hAnsi="宋体" w:eastAsia="宋体" w:cs="宋体"/>
                      <w:sz w:val="24"/>
                      <w:szCs w:val="24"/>
                      <w:highlight w:val="yellow"/>
                    </w:rPr>
                    <w:t>需具备福建省消防技术服务信息平台四星级资质</w:t>
                  </w:r>
                  <w:r>
                    <w:rPr>
                      <w:rFonts w:hint="eastAsia" w:ascii="宋体" w:hAnsi="宋体" w:cs="宋体"/>
                      <w:sz w:val="24"/>
                      <w:szCs w:val="24"/>
                      <w:highlight w:val="yellow"/>
                      <w:lang w:eastAsia="zh-CN"/>
                    </w:rPr>
                    <w:t>。</w:t>
                  </w:r>
                </w:p>
              </w:tc>
            </w:tr>
          </w:tbl>
          <w:p w14:paraId="1F9A1A66">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 （3）磋商保证金</w:t>
            </w:r>
          </w:p>
          <w:p w14:paraId="54FACAEA">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 ※备注说明</w:t>
            </w:r>
          </w:p>
          <w:p w14:paraId="078F51C9">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 xml:space="preserve"> ①供应商应根据自身实际情况提供上述资格要求的证明材料，格式可参考磋商文件第五章提供。</w:t>
            </w:r>
          </w:p>
          <w:p w14:paraId="4DC93484">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cs="宋体"/>
                <w:color w:val="auto"/>
                <w:sz w:val="24"/>
                <w:szCs w:val="24"/>
                <w:highlight w:val="none"/>
                <w:vertAlign w:val="baseline"/>
              </w:rPr>
            </w:pPr>
            <w:r>
              <w:rPr>
                <w:rFonts w:hint="eastAsia" w:ascii="宋体" w:hAnsi="宋体" w:eastAsia="宋体" w:cs="宋体"/>
                <w:sz w:val="24"/>
                <w:szCs w:val="24"/>
              </w:rPr>
              <w:t xml:space="preserve"> ②供应商提供的相应证明材料复印件均应符合：内容完整、清晰、整洁，并由供应商加盖其单位公章。</w:t>
            </w:r>
          </w:p>
        </w:tc>
      </w:tr>
      <w:tr w14:paraId="18622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center"/>
          </w:tcPr>
          <w:p w14:paraId="20BB0A73">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2</w:t>
            </w:r>
          </w:p>
        </w:tc>
        <w:tc>
          <w:tcPr>
            <w:tcW w:w="826" w:type="dxa"/>
            <w:noWrap w:val="0"/>
            <w:vAlign w:val="center"/>
          </w:tcPr>
          <w:p w14:paraId="3FDBCFA4">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3.2.2</w:t>
            </w:r>
          </w:p>
        </w:tc>
        <w:tc>
          <w:tcPr>
            <w:tcW w:w="7220" w:type="dxa"/>
            <w:noWrap w:val="0"/>
            <w:vAlign w:val="top"/>
          </w:tcPr>
          <w:p w14:paraId="1FD1A063">
            <w:pPr>
              <w:pStyle w:val="18"/>
              <w:keepNext w:val="0"/>
              <w:keepLines w:val="0"/>
              <w:pageBreakBefore w:val="0"/>
              <w:widowControl/>
              <w:kinsoku/>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是否接受联合体形式的响应磋商：</w:t>
            </w:r>
          </w:p>
          <w:p w14:paraId="3013803D">
            <w:pPr>
              <w:pStyle w:val="18"/>
              <w:keepNext w:val="0"/>
              <w:keepLines w:val="0"/>
              <w:pageBreakBefore w:val="0"/>
              <w:widowControl/>
              <w:kinsoku/>
              <w:overflowPunct/>
              <w:topLinePunct w:val="0"/>
              <w:autoSpaceDE/>
              <w:autoSpaceDN/>
              <w:bidi w:val="0"/>
              <w:adjustRightInd/>
              <w:snapToGrid/>
              <w:spacing w:line="420" w:lineRule="exact"/>
              <w:jc w:val="both"/>
              <w:textAlignment w:val="auto"/>
              <w:rPr>
                <w:rFonts w:hint="eastAsia" w:ascii="宋体" w:hAnsi="宋体" w:cs="宋体"/>
                <w:color w:val="auto"/>
                <w:sz w:val="24"/>
                <w:szCs w:val="24"/>
                <w:highlight w:val="none"/>
                <w:vertAlign w:val="baseline"/>
              </w:rPr>
            </w:pPr>
            <w:r>
              <w:rPr>
                <w:rFonts w:hint="eastAsia" w:ascii="宋体" w:hAnsi="宋体" w:eastAsia="宋体" w:cs="宋体"/>
                <w:sz w:val="24"/>
                <w:szCs w:val="24"/>
              </w:rPr>
              <w:t>采购包1：不接受</w:t>
            </w:r>
          </w:p>
        </w:tc>
      </w:tr>
      <w:tr w14:paraId="025241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center"/>
          </w:tcPr>
          <w:p w14:paraId="2FA8FD4F">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3</w:t>
            </w:r>
          </w:p>
        </w:tc>
        <w:tc>
          <w:tcPr>
            <w:tcW w:w="826" w:type="dxa"/>
            <w:noWrap w:val="0"/>
            <w:vAlign w:val="center"/>
          </w:tcPr>
          <w:p w14:paraId="4E44C2F0">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6.3</w:t>
            </w:r>
          </w:p>
        </w:tc>
        <w:tc>
          <w:tcPr>
            <w:tcW w:w="7220" w:type="dxa"/>
            <w:noWrap w:val="0"/>
            <w:vAlign w:val="top"/>
          </w:tcPr>
          <w:p w14:paraId="0A6A5232">
            <w:pPr>
              <w:pStyle w:val="18"/>
              <w:keepNext w:val="0"/>
              <w:keepLines w:val="0"/>
              <w:pageBreakBefore w:val="0"/>
              <w:widowControl/>
              <w:kinsoku/>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是否组织现场考察或召开磋商前答疑会：</w:t>
            </w:r>
          </w:p>
          <w:p w14:paraId="15616667">
            <w:pPr>
              <w:pStyle w:val="18"/>
              <w:keepNext w:val="0"/>
              <w:keepLines w:val="0"/>
              <w:pageBreakBefore w:val="0"/>
              <w:widowControl/>
              <w:kinsoku/>
              <w:overflowPunct/>
              <w:topLinePunct w:val="0"/>
              <w:autoSpaceDE/>
              <w:autoSpaceDN/>
              <w:bidi w:val="0"/>
              <w:adjustRightInd/>
              <w:snapToGrid/>
              <w:spacing w:line="420" w:lineRule="exact"/>
              <w:jc w:val="both"/>
              <w:textAlignment w:val="auto"/>
              <w:rPr>
                <w:rFonts w:hint="eastAsia" w:ascii="宋体" w:hAnsi="宋体" w:cs="宋体"/>
                <w:color w:val="auto"/>
                <w:sz w:val="24"/>
                <w:szCs w:val="24"/>
                <w:highlight w:val="none"/>
                <w:vertAlign w:val="baseline"/>
              </w:rPr>
            </w:pPr>
            <w:r>
              <w:rPr>
                <w:rFonts w:hint="eastAsia" w:ascii="宋体" w:hAnsi="宋体" w:eastAsia="宋体" w:cs="宋体"/>
                <w:sz w:val="24"/>
                <w:szCs w:val="24"/>
              </w:rPr>
              <w:t>采购包1：不组织</w:t>
            </w:r>
          </w:p>
        </w:tc>
      </w:tr>
      <w:tr w14:paraId="5C3471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center"/>
          </w:tcPr>
          <w:p w14:paraId="3BB3249F">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4</w:t>
            </w:r>
          </w:p>
        </w:tc>
        <w:tc>
          <w:tcPr>
            <w:tcW w:w="826" w:type="dxa"/>
            <w:noWrap w:val="0"/>
            <w:vAlign w:val="center"/>
          </w:tcPr>
          <w:p w14:paraId="20710571">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9.1</w:t>
            </w:r>
          </w:p>
        </w:tc>
        <w:tc>
          <w:tcPr>
            <w:tcW w:w="7220" w:type="dxa"/>
            <w:noWrap w:val="0"/>
            <w:vAlign w:val="top"/>
          </w:tcPr>
          <w:p w14:paraId="1DF113DE">
            <w:pPr>
              <w:pStyle w:val="18"/>
              <w:keepNext w:val="0"/>
              <w:keepLines w:val="0"/>
              <w:pageBreakBefore w:val="0"/>
              <w:widowControl/>
              <w:kinsoku/>
              <w:overflowPunct/>
              <w:topLinePunct w:val="0"/>
              <w:autoSpaceDE/>
              <w:autoSpaceDN/>
              <w:bidi w:val="0"/>
              <w:adjustRightInd/>
              <w:snapToGrid/>
              <w:spacing w:line="420" w:lineRule="exact"/>
              <w:jc w:val="both"/>
              <w:textAlignment w:val="auto"/>
              <w:rPr>
                <w:rFonts w:hint="eastAsia" w:ascii="宋体" w:hAnsi="宋体" w:cs="宋体"/>
                <w:color w:val="auto"/>
                <w:sz w:val="24"/>
                <w:szCs w:val="24"/>
                <w:highlight w:val="none"/>
                <w:vertAlign w:val="baseline"/>
              </w:rPr>
            </w:pPr>
            <w:r>
              <w:rPr>
                <w:rFonts w:hint="eastAsia" w:ascii="宋体" w:hAnsi="宋体" w:eastAsia="宋体" w:cs="宋体"/>
                <w:sz w:val="24"/>
                <w:szCs w:val="24"/>
              </w:rPr>
              <w:t>响应文件有效期：首次响应文件提交截止时间起 90 个日历日。</w:t>
            </w:r>
          </w:p>
        </w:tc>
      </w:tr>
      <w:tr w14:paraId="325BB7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center"/>
          </w:tcPr>
          <w:p w14:paraId="457EBDA2">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5</w:t>
            </w:r>
          </w:p>
        </w:tc>
        <w:tc>
          <w:tcPr>
            <w:tcW w:w="826" w:type="dxa"/>
            <w:noWrap w:val="0"/>
            <w:vAlign w:val="center"/>
          </w:tcPr>
          <w:p w14:paraId="1643E74C">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10.1</w:t>
            </w:r>
          </w:p>
        </w:tc>
        <w:tc>
          <w:tcPr>
            <w:tcW w:w="7220" w:type="dxa"/>
            <w:noWrap w:val="0"/>
            <w:vAlign w:val="top"/>
          </w:tcPr>
          <w:p w14:paraId="2478B70C">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Style w:val="16"/>
                <w:rFonts w:hint="eastAsia" w:ascii="宋体" w:hAnsi="宋体" w:eastAsia="宋体" w:cs="宋体"/>
                <w:color w:val="auto"/>
                <w:sz w:val="24"/>
                <w:szCs w:val="24"/>
                <w:highlight w:val="none"/>
              </w:rPr>
              <w:t>提交磋商保证金：</w:t>
            </w:r>
            <w:r>
              <w:rPr>
                <w:rFonts w:hint="eastAsia" w:ascii="宋体" w:hAnsi="宋体" w:eastAsia="宋体" w:cs="宋体"/>
                <w:color w:val="auto"/>
                <w:sz w:val="24"/>
                <w:szCs w:val="24"/>
                <w:highlight w:val="none"/>
              </w:rPr>
              <w:t>本项目的磋商保证金详见《采购标的一览表》，提交方式为</w:t>
            </w:r>
            <w:r>
              <w:rPr>
                <w:rStyle w:val="16"/>
                <w:rFonts w:hint="eastAsia" w:ascii="宋体" w:hAnsi="宋体" w:eastAsia="宋体" w:cs="宋体"/>
                <w:b w:val="0"/>
                <w:bCs/>
                <w:color w:val="auto"/>
                <w:sz w:val="24"/>
                <w:szCs w:val="24"/>
                <w:highlight w:val="none"/>
                <w:shd w:val="clear" w:color="auto" w:fill="FFFFFF"/>
              </w:rPr>
              <w:t>公对公转账方式</w:t>
            </w:r>
            <w:r>
              <w:rPr>
                <w:rFonts w:hint="eastAsia" w:ascii="宋体" w:hAnsi="宋体" w:eastAsia="宋体" w:cs="宋体"/>
                <w:color w:val="auto"/>
                <w:sz w:val="24"/>
                <w:szCs w:val="24"/>
                <w:highlight w:val="none"/>
              </w:rPr>
              <w:t>，须于</w:t>
            </w:r>
            <w:r>
              <w:rPr>
                <w:rFonts w:hint="eastAsia" w:ascii="宋体" w:hAnsi="宋体" w:eastAsia="宋体" w:cs="宋体"/>
                <w:b/>
                <w:bCs/>
                <w:color w:val="auto"/>
                <w:sz w:val="24"/>
                <w:szCs w:val="24"/>
                <w:highlight w:val="none"/>
                <w:lang w:val="en-US" w:eastAsia="zh-CN"/>
              </w:rPr>
              <w:t>提交响应文件</w:t>
            </w:r>
            <w:r>
              <w:rPr>
                <w:rFonts w:hint="eastAsia" w:ascii="宋体" w:hAnsi="宋体" w:eastAsia="宋体" w:cs="宋体"/>
                <w:b/>
                <w:bCs/>
                <w:color w:val="auto"/>
                <w:sz w:val="24"/>
                <w:szCs w:val="24"/>
                <w:highlight w:val="none"/>
              </w:rPr>
              <w:t>截止时间前</w:t>
            </w:r>
            <w:r>
              <w:rPr>
                <w:rFonts w:hint="eastAsia" w:ascii="宋体" w:hAnsi="宋体" w:eastAsia="宋体" w:cs="宋体"/>
                <w:color w:val="auto"/>
                <w:sz w:val="24"/>
                <w:szCs w:val="24"/>
                <w:highlight w:val="none"/>
              </w:rPr>
              <w:t>到达磋商文件载明的磋商保证金账户，是否到达认定：以到达</w:t>
            </w:r>
            <w:r>
              <w:rPr>
                <w:rFonts w:hint="eastAsia" w:ascii="宋体" w:hAnsi="宋体" w:eastAsia="宋体" w:cs="宋体"/>
                <w:color w:val="auto"/>
                <w:sz w:val="24"/>
                <w:szCs w:val="24"/>
                <w:highlight w:val="none"/>
                <w:lang w:val="en-US" w:eastAsia="zh-CN"/>
              </w:rPr>
              <w:t>代理机构</w:t>
            </w:r>
            <w:r>
              <w:rPr>
                <w:rFonts w:hint="eastAsia" w:ascii="宋体" w:hAnsi="宋体" w:eastAsia="宋体" w:cs="宋体"/>
                <w:color w:val="auto"/>
                <w:sz w:val="24"/>
                <w:szCs w:val="24"/>
                <w:highlight w:val="none"/>
              </w:rPr>
              <w:t>指定账户时间为准。</w:t>
            </w:r>
          </w:p>
        </w:tc>
      </w:tr>
      <w:tr w14:paraId="247A79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center"/>
          </w:tcPr>
          <w:p w14:paraId="2F76AA71">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6</w:t>
            </w:r>
          </w:p>
        </w:tc>
        <w:tc>
          <w:tcPr>
            <w:tcW w:w="826" w:type="dxa"/>
            <w:noWrap w:val="0"/>
            <w:vAlign w:val="center"/>
          </w:tcPr>
          <w:p w14:paraId="57F441D4">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10.3.1</w:t>
            </w:r>
          </w:p>
        </w:tc>
        <w:tc>
          <w:tcPr>
            <w:tcW w:w="7220" w:type="dxa"/>
            <w:noWrap w:val="0"/>
            <w:vAlign w:val="center"/>
          </w:tcPr>
          <w:p w14:paraId="028B196A">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Style w:val="16"/>
                <w:rFonts w:hint="eastAsia" w:ascii="宋体" w:hAnsi="宋体" w:eastAsia="宋体" w:cs="宋体"/>
                <w:color w:val="auto"/>
                <w:sz w:val="24"/>
                <w:szCs w:val="24"/>
                <w:highlight w:val="none"/>
              </w:rPr>
              <w:t>磋商保证金退还的其它要求：</w:t>
            </w:r>
            <w:r>
              <w:rPr>
                <w:rFonts w:hint="eastAsia" w:ascii="宋体" w:hAnsi="宋体" w:eastAsia="宋体" w:cs="宋体"/>
                <w:color w:val="auto"/>
                <w:sz w:val="24"/>
                <w:szCs w:val="24"/>
                <w:highlight w:val="none"/>
              </w:rPr>
              <w:t>无。</w:t>
            </w:r>
          </w:p>
        </w:tc>
      </w:tr>
      <w:tr w14:paraId="1C5AF2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center"/>
          </w:tcPr>
          <w:p w14:paraId="729610AD">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7</w:t>
            </w:r>
          </w:p>
        </w:tc>
        <w:tc>
          <w:tcPr>
            <w:tcW w:w="826" w:type="dxa"/>
            <w:noWrap w:val="0"/>
            <w:vAlign w:val="center"/>
          </w:tcPr>
          <w:p w14:paraId="0CDD36DC">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11.1</w:t>
            </w:r>
          </w:p>
        </w:tc>
        <w:tc>
          <w:tcPr>
            <w:tcW w:w="7220" w:type="dxa"/>
            <w:noWrap w:val="0"/>
            <w:vAlign w:val="center"/>
          </w:tcPr>
          <w:p w14:paraId="6557A9C7">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textAlignment w:val="auto"/>
              <w:rPr>
                <w:rFonts w:hint="eastAsia" w:ascii="宋体" w:hAnsi="宋体" w:eastAsia="宋体" w:cs="宋体"/>
                <w:color w:val="auto"/>
                <w:sz w:val="24"/>
                <w:szCs w:val="24"/>
                <w:highlight w:val="none"/>
              </w:rPr>
            </w:pPr>
            <w:r>
              <w:rPr>
                <w:rStyle w:val="16"/>
                <w:rFonts w:hint="eastAsia" w:ascii="宋体" w:hAnsi="宋体" w:eastAsia="宋体" w:cs="宋体"/>
                <w:color w:val="auto"/>
                <w:sz w:val="24"/>
                <w:szCs w:val="24"/>
                <w:highlight w:val="none"/>
              </w:rPr>
              <w:t>响应文件的份数：</w:t>
            </w:r>
            <w:r>
              <w:rPr>
                <w:rFonts w:hint="eastAsia" w:ascii="宋体" w:hAnsi="宋体" w:eastAsia="宋体" w:cs="宋体"/>
                <w:color w:val="auto"/>
                <w:sz w:val="24"/>
                <w:szCs w:val="24"/>
                <w:highlight w:val="none"/>
              </w:rPr>
              <w:t> </w:t>
            </w:r>
          </w:p>
          <w:p w14:paraId="78E67953">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（1）响应文件正本</w:t>
            </w:r>
            <w:r>
              <w:rPr>
                <w:rFonts w:hint="eastAsia" w:ascii="宋体" w:hAnsi="宋体" w:eastAsia="宋体" w:cs="宋体"/>
                <w:color w:val="auto"/>
                <w:sz w:val="24"/>
                <w:szCs w:val="24"/>
                <w:highlight w:val="none"/>
                <w:u w:val="single"/>
              </w:rPr>
              <w:t>1</w:t>
            </w:r>
            <w:r>
              <w:rPr>
                <w:rFonts w:hint="eastAsia" w:ascii="宋体" w:hAnsi="宋体" w:eastAsia="宋体" w:cs="宋体"/>
                <w:color w:val="auto"/>
                <w:sz w:val="24"/>
                <w:szCs w:val="24"/>
                <w:highlight w:val="none"/>
              </w:rPr>
              <w:t>份、副本</w:t>
            </w:r>
            <w:r>
              <w:rPr>
                <w:rFonts w:hint="eastAsia" w:ascii="宋体" w:hAnsi="宋体" w:eastAsia="宋体" w:cs="宋体"/>
                <w:color w:val="auto"/>
                <w:sz w:val="24"/>
                <w:szCs w:val="24"/>
                <w:highlight w:val="none"/>
                <w:u w:val="single"/>
                <w:lang w:val="en-US" w:eastAsia="zh-CN"/>
              </w:rPr>
              <w:t>2</w:t>
            </w:r>
            <w:r>
              <w:rPr>
                <w:rFonts w:hint="eastAsia" w:ascii="宋体" w:hAnsi="宋体" w:eastAsia="宋体" w:cs="宋体"/>
                <w:color w:val="auto"/>
                <w:sz w:val="24"/>
                <w:szCs w:val="24"/>
                <w:highlight w:val="none"/>
              </w:rPr>
              <w:t>份。</w:t>
            </w:r>
          </w:p>
          <w:p w14:paraId="01CA45CB">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（2）可读介质（光盘或U盘）</w:t>
            </w:r>
            <w:r>
              <w:rPr>
                <w:rFonts w:hint="eastAsia" w:ascii="宋体" w:hAnsi="宋体" w:eastAsia="宋体" w:cs="宋体"/>
                <w:color w:val="auto"/>
                <w:sz w:val="24"/>
                <w:szCs w:val="24"/>
                <w:highlight w:val="none"/>
                <w:u w:val="single"/>
              </w:rPr>
              <w:t>1</w:t>
            </w:r>
            <w:r>
              <w:rPr>
                <w:rFonts w:hint="eastAsia" w:ascii="宋体" w:hAnsi="宋体" w:eastAsia="宋体" w:cs="宋体"/>
                <w:color w:val="auto"/>
                <w:sz w:val="24"/>
                <w:szCs w:val="24"/>
                <w:highlight w:val="none"/>
              </w:rPr>
              <w:t>份：供应商应将响应文件电子版在该可读介质中另存</w:t>
            </w:r>
            <w:r>
              <w:rPr>
                <w:rFonts w:hint="eastAsia" w:ascii="宋体" w:hAnsi="宋体" w:eastAsia="宋体" w:cs="宋体"/>
                <w:color w:val="auto"/>
                <w:sz w:val="24"/>
                <w:szCs w:val="24"/>
                <w:highlight w:val="none"/>
                <w:u w:val="single"/>
              </w:rPr>
              <w:t>1</w:t>
            </w:r>
            <w:r>
              <w:rPr>
                <w:rFonts w:hint="eastAsia" w:ascii="宋体" w:hAnsi="宋体" w:eastAsia="宋体" w:cs="宋体"/>
                <w:color w:val="auto"/>
                <w:sz w:val="24"/>
                <w:szCs w:val="24"/>
                <w:highlight w:val="none"/>
              </w:rPr>
              <w:t>份。</w:t>
            </w:r>
          </w:p>
        </w:tc>
      </w:tr>
      <w:tr w14:paraId="348F58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center"/>
          </w:tcPr>
          <w:p w14:paraId="33AC68F3">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8</w:t>
            </w:r>
          </w:p>
        </w:tc>
        <w:tc>
          <w:tcPr>
            <w:tcW w:w="826" w:type="dxa"/>
            <w:noWrap w:val="0"/>
            <w:vAlign w:val="center"/>
          </w:tcPr>
          <w:p w14:paraId="7DB660C6">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14.4</w:t>
            </w:r>
          </w:p>
        </w:tc>
        <w:tc>
          <w:tcPr>
            <w:tcW w:w="7220" w:type="dxa"/>
            <w:noWrap w:val="0"/>
            <w:vAlign w:val="top"/>
          </w:tcPr>
          <w:p w14:paraId="21DD88B6">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Style w:val="16"/>
                <w:rFonts w:hint="eastAsia" w:ascii="宋体" w:hAnsi="宋体" w:eastAsia="宋体" w:cs="宋体"/>
                <w:color w:val="auto"/>
                <w:sz w:val="24"/>
                <w:szCs w:val="24"/>
                <w:highlight w:val="none"/>
              </w:rPr>
              <w:t>磋商过程中可能发生实质性变动的内容：</w:t>
            </w:r>
            <w:r>
              <w:rPr>
                <w:rFonts w:hint="eastAsia" w:ascii="宋体" w:hAnsi="宋体" w:eastAsia="宋体" w:cs="宋体"/>
                <w:color w:val="auto"/>
                <w:sz w:val="24"/>
                <w:szCs w:val="24"/>
                <w:highlight w:val="none"/>
              </w:rPr>
              <w:t>第三章采购内容及要求。</w:t>
            </w:r>
          </w:p>
        </w:tc>
      </w:tr>
      <w:tr w14:paraId="14248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center"/>
          </w:tcPr>
          <w:p w14:paraId="6250FA92">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9</w:t>
            </w:r>
          </w:p>
        </w:tc>
        <w:tc>
          <w:tcPr>
            <w:tcW w:w="826" w:type="dxa"/>
            <w:noWrap w:val="0"/>
            <w:vAlign w:val="center"/>
          </w:tcPr>
          <w:p w14:paraId="70E4D2E6">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14.9</w:t>
            </w:r>
          </w:p>
        </w:tc>
        <w:tc>
          <w:tcPr>
            <w:tcW w:w="7220" w:type="dxa"/>
            <w:noWrap w:val="0"/>
            <w:vAlign w:val="center"/>
          </w:tcPr>
          <w:p w14:paraId="4CCB15A9">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评审的标准和方法：具体内容详见竞争性磋商须知前附表专项附件“评审的标准和方法”。</w:t>
            </w:r>
          </w:p>
        </w:tc>
      </w:tr>
      <w:tr w14:paraId="4E12F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center"/>
          </w:tcPr>
          <w:p w14:paraId="62D06EE5">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10</w:t>
            </w:r>
          </w:p>
        </w:tc>
        <w:tc>
          <w:tcPr>
            <w:tcW w:w="826" w:type="dxa"/>
            <w:noWrap w:val="0"/>
            <w:vAlign w:val="center"/>
          </w:tcPr>
          <w:p w14:paraId="2637673F">
            <w:pPr>
              <w:pStyle w:val="10"/>
              <w:keepNext w:val="0"/>
              <w:keepLines w:val="0"/>
              <w:pageBreakBefore w:val="0"/>
              <w:widowControl/>
              <w:kinsoku/>
              <w:wordWrap w:val="0"/>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p>
        </w:tc>
        <w:tc>
          <w:tcPr>
            <w:tcW w:w="7220" w:type="dxa"/>
            <w:noWrap w:val="0"/>
            <w:vAlign w:val="center"/>
          </w:tcPr>
          <w:p w14:paraId="7B3B634A">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Style w:val="16"/>
                <w:rFonts w:hint="eastAsia" w:ascii="宋体" w:hAnsi="宋体" w:eastAsia="宋体" w:cs="宋体"/>
                <w:color w:val="auto"/>
                <w:sz w:val="24"/>
                <w:szCs w:val="24"/>
                <w:highlight w:val="none"/>
              </w:rPr>
              <w:t>根据采购项目的特点和需要，需要加以详细说明的其他磋商程序规定、要求等内容</w:t>
            </w:r>
            <w:r>
              <w:rPr>
                <w:rFonts w:hint="eastAsia" w:ascii="宋体" w:hAnsi="宋体" w:eastAsia="宋体" w:cs="宋体"/>
                <w:color w:val="auto"/>
                <w:sz w:val="24"/>
                <w:szCs w:val="24"/>
                <w:highlight w:val="none"/>
              </w:rPr>
              <w:t>：无。</w:t>
            </w:r>
          </w:p>
        </w:tc>
      </w:tr>
      <w:tr w14:paraId="3D7383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center"/>
          </w:tcPr>
          <w:p w14:paraId="2E050ACE">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826" w:type="dxa"/>
            <w:noWrap w:val="0"/>
            <w:vAlign w:val="center"/>
          </w:tcPr>
          <w:p w14:paraId="6803677A">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22.2</w:t>
            </w:r>
          </w:p>
        </w:tc>
        <w:tc>
          <w:tcPr>
            <w:tcW w:w="7220" w:type="dxa"/>
            <w:noWrap w:val="0"/>
            <w:vAlign w:val="top"/>
          </w:tcPr>
          <w:p w14:paraId="5B9F7036">
            <w:pPr>
              <w:pStyle w:val="10"/>
              <w:keepNext w:val="0"/>
              <w:keepLines w:val="0"/>
              <w:pageBreakBefore w:val="0"/>
              <w:widowControl/>
              <w:kinsoku/>
              <w:wordWrap w:val="0"/>
              <w:overflowPunct/>
              <w:topLinePunct w:val="0"/>
              <w:autoSpaceDE/>
              <w:autoSpaceDN/>
              <w:bidi w:val="0"/>
              <w:adjustRightInd/>
              <w:snapToGrid/>
              <w:spacing w:before="0" w:beforeLines="0" w:beforeAutospacing="0" w:after="0" w:afterLines="0" w:afterAutospacing="0" w:line="420" w:lineRule="exact"/>
              <w:textAlignment w:val="auto"/>
              <w:rPr>
                <w:rFonts w:hint="eastAsia" w:ascii="宋体" w:hAnsi="宋体" w:eastAsia="宋体" w:cs="宋体"/>
                <w:color w:val="auto"/>
                <w:sz w:val="24"/>
                <w:szCs w:val="24"/>
                <w:highlight w:val="none"/>
              </w:rPr>
            </w:pPr>
            <w:r>
              <w:rPr>
                <w:rStyle w:val="16"/>
                <w:rFonts w:hint="eastAsia" w:ascii="宋体" w:hAnsi="宋体" w:eastAsia="宋体" w:cs="宋体"/>
                <w:color w:val="auto"/>
                <w:sz w:val="24"/>
                <w:szCs w:val="24"/>
                <w:highlight w:val="none"/>
              </w:rPr>
              <w:t>信息公告指定媒体（以下简称：“指定媒体”）：</w:t>
            </w:r>
          </w:p>
          <w:p w14:paraId="5654AD67">
            <w:pPr>
              <w:pStyle w:val="10"/>
              <w:keepNext w:val="0"/>
              <w:keepLines w:val="0"/>
              <w:pageBreakBefore w:val="0"/>
              <w:widowControl/>
              <w:kinsoku/>
              <w:wordWrap w:val="0"/>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Style w:val="16"/>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（1）中国政府采购网，网址www.ccgp.gov.cn。</w:t>
            </w:r>
          </w:p>
        </w:tc>
      </w:tr>
      <w:tr w14:paraId="7D1A26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center"/>
          </w:tcPr>
          <w:p w14:paraId="7967DE2C">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826" w:type="dxa"/>
            <w:noWrap w:val="0"/>
            <w:vAlign w:val="center"/>
          </w:tcPr>
          <w:p w14:paraId="358015AD">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23.1</w:t>
            </w:r>
          </w:p>
        </w:tc>
        <w:tc>
          <w:tcPr>
            <w:tcW w:w="7220" w:type="dxa"/>
            <w:noWrap w:val="0"/>
            <w:vAlign w:val="center"/>
          </w:tcPr>
          <w:p w14:paraId="0DB3A45B">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Style w:val="16"/>
                <w:rFonts w:hint="eastAsia" w:ascii="宋体" w:hAnsi="宋体" w:eastAsia="宋体" w:cs="宋体"/>
                <w:color w:val="auto"/>
                <w:sz w:val="24"/>
                <w:szCs w:val="24"/>
                <w:highlight w:val="none"/>
              </w:rPr>
            </w:pPr>
            <w:r>
              <w:rPr>
                <w:rStyle w:val="16"/>
                <w:rFonts w:hint="eastAsia" w:ascii="宋体" w:hAnsi="宋体" w:eastAsia="宋体" w:cs="宋体"/>
                <w:color w:val="auto"/>
                <w:sz w:val="24"/>
                <w:szCs w:val="24"/>
                <w:highlight w:val="none"/>
              </w:rPr>
              <w:t>本项目监督管理部门：</w:t>
            </w:r>
            <w:r>
              <w:rPr>
                <w:rFonts w:hint="eastAsia" w:ascii="宋体" w:hAnsi="宋体" w:eastAsia="宋体" w:cs="宋体"/>
                <w:color w:val="auto"/>
                <w:sz w:val="24"/>
                <w:szCs w:val="24"/>
                <w:highlight w:val="none"/>
                <w:u w:val="single"/>
              </w:rPr>
              <w:t xml:space="preserve"> </w:t>
            </w:r>
            <w:r>
              <w:rPr>
                <w:rFonts w:hint="eastAsia" w:ascii="宋体" w:hAnsi="宋体" w:eastAsia="宋体" w:cs="宋体"/>
                <w:bCs/>
                <w:color w:val="auto"/>
                <w:kern w:val="0"/>
                <w:sz w:val="24"/>
                <w:szCs w:val="24"/>
                <w:highlight w:val="none"/>
                <w:u w:val="single"/>
                <w:lang w:eastAsia="zh-CN"/>
              </w:rPr>
              <w:t>湄洲湾职业技术学院</w:t>
            </w:r>
            <w:r>
              <w:rPr>
                <w:rFonts w:hint="eastAsia" w:ascii="宋体" w:hAnsi="宋体" w:eastAsia="宋体" w:cs="宋体"/>
                <w:color w:val="auto"/>
                <w:sz w:val="24"/>
                <w:szCs w:val="24"/>
                <w:highlight w:val="none"/>
                <w:u w:val="single"/>
              </w:rPr>
              <w:t xml:space="preserve">   </w:t>
            </w:r>
            <w:r>
              <w:rPr>
                <w:rFonts w:hint="eastAsia" w:ascii="宋体" w:hAnsi="宋体" w:eastAsia="宋体" w:cs="宋体"/>
                <w:color w:val="auto"/>
                <w:sz w:val="24"/>
                <w:szCs w:val="24"/>
                <w:highlight w:val="none"/>
              </w:rPr>
              <w:t>。</w:t>
            </w:r>
          </w:p>
        </w:tc>
      </w:tr>
      <w:tr w14:paraId="76B22B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center"/>
          </w:tcPr>
          <w:p w14:paraId="4C4208F9">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p>
        </w:tc>
        <w:tc>
          <w:tcPr>
            <w:tcW w:w="826" w:type="dxa"/>
            <w:noWrap w:val="0"/>
            <w:vAlign w:val="center"/>
          </w:tcPr>
          <w:p w14:paraId="4C690996">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24.1</w:t>
            </w:r>
          </w:p>
        </w:tc>
        <w:tc>
          <w:tcPr>
            <w:tcW w:w="7220" w:type="dxa"/>
            <w:noWrap w:val="0"/>
            <w:vAlign w:val="center"/>
          </w:tcPr>
          <w:p w14:paraId="1DB31D6B">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Style w:val="16"/>
                <w:rFonts w:hint="eastAsia" w:ascii="宋体" w:hAnsi="宋体" w:eastAsia="宋体" w:cs="宋体"/>
                <w:color w:val="auto"/>
                <w:sz w:val="24"/>
                <w:szCs w:val="24"/>
                <w:highlight w:val="none"/>
              </w:rPr>
            </w:pPr>
            <w:r>
              <w:rPr>
                <w:rStyle w:val="16"/>
                <w:rFonts w:hint="eastAsia" w:ascii="宋体" w:hAnsi="宋体" w:eastAsia="宋体" w:cs="宋体"/>
                <w:color w:val="auto"/>
                <w:sz w:val="24"/>
                <w:szCs w:val="24"/>
                <w:highlight w:val="none"/>
              </w:rPr>
              <w:t>履约保证金：</w:t>
            </w:r>
            <w:r>
              <w:rPr>
                <w:rStyle w:val="16"/>
                <w:rFonts w:hint="eastAsia" w:ascii="宋体" w:hAnsi="宋体" w:eastAsia="宋体" w:cs="宋体"/>
                <w:color w:val="auto"/>
                <w:sz w:val="24"/>
                <w:szCs w:val="24"/>
                <w:highlight w:val="none"/>
                <w:lang w:val="en-US" w:eastAsia="zh-CN"/>
              </w:rPr>
              <w:t>无</w:t>
            </w:r>
          </w:p>
        </w:tc>
      </w:tr>
      <w:tr w14:paraId="688C46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center"/>
          </w:tcPr>
          <w:p w14:paraId="4020682D">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jc w:val="center"/>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826" w:type="dxa"/>
            <w:noWrap w:val="0"/>
            <w:vAlign w:val="center"/>
          </w:tcPr>
          <w:p w14:paraId="2DDD68A2">
            <w:pPr>
              <w:pStyle w:val="10"/>
              <w:keepNext w:val="0"/>
              <w:keepLines w:val="0"/>
              <w:pageBreakBefore w:val="0"/>
              <w:widowControl/>
              <w:kinsoku/>
              <w:overflowPunct/>
              <w:topLinePunct w:val="0"/>
              <w:autoSpaceDE/>
              <w:autoSpaceDN/>
              <w:bidi w:val="0"/>
              <w:adjustRightInd/>
              <w:snapToGrid/>
              <w:spacing w:before="0" w:beforeLines="0" w:beforeAutospacing="0" w:after="0" w:afterLines="0" w:afterAutospacing="0" w:line="420" w:lineRule="exact"/>
              <w:ind w:left="0" w:leftChars="0" w:right="0" w:rightChars="0"/>
              <w:textAlignment w:val="auto"/>
              <w:rPr>
                <w:rFonts w:hint="eastAsia" w:ascii="宋体" w:hAnsi="宋体" w:cs="宋体"/>
                <w:color w:val="auto"/>
                <w:sz w:val="24"/>
                <w:szCs w:val="24"/>
                <w:highlight w:val="none"/>
                <w:vertAlign w:val="baseline"/>
              </w:rPr>
            </w:pPr>
            <w:r>
              <w:rPr>
                <w:rFonts w:hint="eastAsia" w:ascii="宋体" w:hAnsi="宋体" w:eastAsia="宋体" w:cs="宋体"/>
                <w:color w:val="auto"/>
                <w:sz w:val="24"/>
                <w:szCs w:val="24"/>
                <w:highlight w:val="none"/>
              </w:rPr>
              <w:t>25</w:t>
            </w:r>
          </w:p>
        </w:tc>
        <w:tc>
          <w:tcPr>
            <w:tcW w:w="7220" w:type="dxa"/>
            <w:noWrap w:val="0"/>
            <w:vAlign w:val="center"/>
          </w:tcPr>
          <w:p w14:paraId="128572E5">
            <w:pPr>
              <w:pStyle w:val="10"/>
              <w:keepNext w:val="0"/>
              <w:keepLines w:val="0"/>
              <w:pageBreakBefore w:val="0"/>
              <w:widowControl/>
              <w:kinsoku/>
              <w:wordWrap w:val="0"/>
              <w:overflowPunct/>
              <w:topLinePunct w:val="0"/>
              <w:autoSpaceDE/>
              <w:autoSpaceDN/>
              <w:bidi w:val="0"/>
              <w:adjustRightInd/>
              <w:snapToGrid/>
              <w:spacing w:before="0" w:beforeLines="0" w:beforeAutospacing="0" w:after="0" w:afterLines="0" w:afterAutospacing="0" w:line="420" w:lineRule="exact"/>
              <w:textAlignment w:val="auto"/>
              <w:rPr>
                <w:rFonts w:hint="eastAsia" w:ascii="宋体" w:hAnsi="宋体" w:eastAsia="宋体" w:cs="宋体"/>
                <w:color w:val="auto"/>
                <w:sz w:val="24"/>
                <w:szCs w:val="24"/>
                <w:highlight w:val="none"/>
              </w:rPr>
            </w:pPr>
            <w:r>
              <w:rPr>
                <w:rStyle w:val="16"/>
                <w:rFonts w:hint="eastAsia" w:ascii="宋体" w:hAnsi="宋体" w:eastAsia="宋体" w:cs="宋体"/>
                <w:color w:val="auto"/>
                <w:sz w:val="24"/>
                <w:szCs w:val="24"/>
                <w:highlight w:val="none"/>
              </w:rPr>
              <w:t>根据采购项目特点或政策需要补充的其他新增内容：</w:t>
            </w:r>
          </w:p>
          <w:p w14:paraId="5ACF8BD0">
            <w:pPr>
              <w:pStyle w:val="10"/>
              <w:keepNext w:val="0"/>
              <w:keepLines w:val="0"/>
              <w:pageBreakBefore w:val="0"/>
              <w:widowControl/>
              <w:numPr>
                <w:ilvl w:val="0"/>
                <w:numId w:val="1"/>
              </w:numPr>
              <w:kinsoku/>
              <w:wordWrap w:val="0"/>
              <w:overflowPunct/>
              <w:topLinePunct w:val="0"/>
              <w:autoSpaceDE/>
              <w:autoSpaceDN/>
              <w:bidi w:val="0"/>
              <w:adjustRightInd/>
              <w:snapToGrid/>
              <w:spacing w:before="0" w:beforeLines="0" w:beforeAutospacing="0" w:after="0" w:afterLines="0" w:afterAutospacing="0" w:line="420" w:lineRule="exac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本项目由成交人支付代理服务费，</w:t>
            </w:r>
          </w:p>
          <w:p w14:paraId="0D068CFF">
            <w:pPr>
              <w:pStyle w:val="10"/>
              <w:keepNext w:val="0"/>
              <w:keepLines w:val="0"/>
              <w:pageBreakBefore w:val="0"/>
              <w:widowControl/>
              <w:numPr>
                <w:ilvl w:val="0"/>
                <w:numId w:val="1"/>
              </w:numPr>
              <w:kinsoku/>
              <w:wordWrap w:val="0"/>
              <w:overflowPunct/>
              <w:topLinePunct w:val="0"/>
              <w:autoSpaceDE/>
              <w:autoSpaceDN/>
              <w:bidi w:val="0"/>
              <w:adjustRightInd/>
              <w:snapToGrid/>
              <w:spacing w:before="0" w:beforeLines="0" w:beforeAutospacing="0" w:after="0" w:afterLines="0" w:afterAutospacing="0" w:line="420" w:lineRule="exact"/>
              <w:textAlignment w:val="auto"/>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代理服务费收取标准：1）以</w:t>
            </w:r>
            <w:r>
              <w:rPr>
                <w:rFonts w:hint="eastAsia" w:ascii="宋体" w:hAnsi="宋体" w:eastAsia="宋体" w:cs="宋体"/>
                <w:b/>
                <w:color w:val="auto"/>
                <w:sz w:val="24"/>
                <w:szCs w:val="24"/>
                <w:highlight w:val="none"/>
                <w:lang w:eastAsia="zh-CN"/>
              </w:rPr>
              <w:t>成交</w:t>
            </w:r>
            <w:r>
              <w:rPr>
                <w:rFonts w:hint="eastAsia" w:ascii="宋体" w:hAnsi="宋体" w:eastAsia="宋体" w:cs="宋体"/>
                <w:b/>
                <w:color w:val="auto"/>
                <w:sz w:val="24"/>
                <w:szCs w:val="24"/>
                <w:highlight w:val="none"/>
              </w:rPr>
              <w:t>通知书规定的</w:t>
            </w:r>
            <w:r>
              <w:rPr>
                <w:rFonts w:hint="eastAsia" w:ascii="宋体" w:hAnsi="宋体" w:eastAsia="宋体" w:cs="宋体"/>
                <w:b/>
                <w:color w:val="auto"/>
                <w:sz w:val="24"/>
                <w:szCs w:val="24"/>
                <w:highlight w:val="none"/>
                <w:lang w:eastAsia="zh-CN"/>
              </w:rPr>
              <w:t>成交</w:t>
            </w:r>
            <w:r>
              <w:rPr>
                <w:rFonts w:hint="eastAsia" w:ascii="宋体" w:hAnsi="宋体" w:eastAsia="宋体" w:cs="宋体"/>
                <w:b/>
                <w:color w:val="auto"/>
                <w:sz w:val="24"/>
                <w:szCs w:val="24"/>
                <w:highlight w:val="none"/>
              </w:rPr>
              <w:t>金额作为收费的计算基数,按差额定率累进法计算</w:t>
            </w:r>
            <w:r>
              <w:rPr>
                <w:rFonts w:hint="eastAsia" w:ascii="宋体" w:hAnsi="宋体" w:eastAsia="宋体" w:cs="宋体"/>
                <w:b/>
                <w:bCs w:val="0"/>
                <w:color w:val="auto"/>
                <w:spacing w:val="0"/>
                <w:sz w:val="24"/>
                <w:szCs w:val="24"/>
                <w:highlight w:val="none"/>
                <w:lang w:val="en-US" w:eastAsia="zh-CN"/>
              </w:rPr>
              <w:t>后收取</w:t>
            </w:r>
            <w:r>
              <w:rPr>
                <w:rFonts w:hint="eastAsia" w:ascii="宋体" w:hAnsi="宋体" w:eastAsia="宋体" w:cs="宋体"/>
                <w:b/>
                <w:color w:val="auto"/>
                <w:sz w:val="24"/>
                <w:szCs w:val="24"/>
                <w:highlight w:val="none"/>
              </w:rPr>
              <w:t>。2）收费费率标准：</w:t>
            </w:r>
            <w:r>
              <w:rPr>
                <w:rFonts w:hint="eastAsia" w:ascii="宋体" w:hAnsi="宋体" w:eastAsia="宋体" w:cs="宋体"/>
                <w:b/>
                <w:color w:val="auto"/>
                <w:sz w:val="24"/>
                <w:szCs w:val="24"/>
                <w:highlight w:val="none"/>
                <w:lang w:eastAsia="zh-CN"/>
              </w:rPr>
              <w:t>成交</w:t>
            </w:r>
            <w:r>
              <w:rPr>
                <w:rFonts w:hint="eastAsia" w:ascii="宋体" w:hAnsi="宋体" w:eastAsia="宋体" w:cs="宋体"/>
                <w:b/>
                <w:color w:val="auto"/>
                <w:sz w:val="24"/>
                <w:szCs w:val="24"/>
                <w:highlight w:val="none"/>
              </w:rPr>
              <w:t>金额（万元）</w:t>
            </w:r>
            <w:r>
              <w:rPr>
                <w:rFonts w:hint="eastAsia" w:ascii="宋体" w:hAnsi="宋体" w:eastAsia="宋体" w:cs="宋体"/>
                <w:b/>
                <w:color w:val="auto"/>
                <w:sz w:val="24"/>
                <w:szCs w:val="24"/>
                <w:highlight w:val="none"/>
                <w:lang w:val="en-US" w:eastAsia="zh-CN"/>
              </w:rPr>
              <w:t>2</w:t>
            </w:r>
            <w:r>
              <w:rPr>
                <w:rFonts w:hint="eastAsia" w:ascii="宋体" w:hAnsi="宋体" w:eastAsia="宋体" w:cs="宋体"/>
                <w:b/>
                <w:color w:val="auto"/>
                <w:sz w:val="24"/>
                <w:szCs w:val="24"/>
                <w:highlight w:val="none"/>
              </w:rPr>
              <w:t>0以下</w:t>
            </w:r>
            <w:r>
              <w:rPr>
                <w:rFonts w:hint="eastAsia" w:ascii="宋体" w:hAnsi="宋体" w:eastAsia="宋体" w:cs="宋体"/>
                <w:b/>
                <w:color w:val="auto"/>
                <w:sz w:val="24"/>
                <w:szCs w:val="24"/>
                <w:highlight w:val="none"/>
                <w:lang w:eastAsia="zh-CN"/>
              </w:rPr>
              <w:t>，代理服务费按包干2000元；成交</w:t>
            </w:r>
            <w:r>
              <w:rPr>
                <w:rFonts w:hint="eastAsia" w:ascii="宋体" w:hAnsi="宋体" w:eastAsia="宋体" w:cs="宋体"/>
                <w:b/>
                <w:color w:val="auto"/>
                <w:sz w:val="24"/>
                <w:szCs w:val="24"/>
                <w:highlight w:val="none"/>
              </w:rPr>
              <w:t>金额（万元）</w:t>
            </w:r>
            <w:r>
              <w:rPr>
                <w:rFonts w:hint="eastAsia" w:ascii="宋体" w:hAnsi="宋体" w:eastAsia="宋体" w:cs="宋体"/>
                <w:b/>
                <w:color w:val="auto"/>
                <w:sz w:val="24"/>
                <w:szCs w:val="24"/>
                <w:highlight w:val="none"/>
                <w:lang w:val="en-US" w:eastAsia="zh-CN"/>
              </w:rPr>
              <w:t>20-50，</w:t>
            </w:r>
            <w:r>
              <w:rPr>
                <w:rFonts w:hint="eastAsia" w:ascii="宋体" w:hAnsi="宋体" w:eastAsia="宋体" w:cs="宋体"/>
                <w:b/>
                <w:color w:val="auto"/>
                <w:sz w:val="24"/>
                <w:szCs w:val="24"/>
                <w:highlight w:val="none"/>
              </w:rPr>
              <w:t>收费费率标准1.50％；3）代理服务费的缴纳方式：a.</w:t>
            </w:r>
            <w:r>
              <w:rPr>
                <w:rFonts w:hint="eastAsia" w:ascii="宋体" w:hAnsi="宋体" w:eastAsia="宋体" w:cs="宋体"/>
                <w:b/>
                <w:color w:val="auto"/>
                <w:sz w:val="24"/>
                <w:szCs w:val="24"/>
                <w:highlight w:val="none"/>
                <w:lang w:eastAsia="zh-CN"/>
              </w:rPr>
              <w:t>成交</w:t>
            </w:r>
            <w:r>
              <w:rPr>
                <w:rFonts w:hint="eastAsia" w:ascii="宋体" w:hAnsi="宋体" w:eastAsia="宋体" w:cs="宋体"/>
                <w:b/>
                <w:color w:val="auto"/>
                <w:sz w:val="24"/>
                <w:szCs w:val="24"/>
                <w:highlight w:val="none"/>
              </w:rPr>
              <w:t>人应在领取</w:t>
            </w:r>
            <w:r>
              <w:rPr>
                <w:rFonts w:hint="eastAsia" w:ascii="宋体" w:hAnsi="宋体" w:eastAsia="宋体" w:cs="宋体"/>
                <w:b/>
                <w:color w:val="auto"/>
                <w:sz w:val="24"/>
                <w:szCs w:val="24"/>
                <w:highlight w:val="none"/>
                <w:lang w:eastAsia="zh-CN"/>
              </w:rPr>
              <w:t>成交</w:t>
            </w:r>
            <w:r>
              <w:rPr>
                <w:rFonts w:hint="eastAsia" w:ascii="宋体" w:hAnsi="宋体" w:eastAsia="宋体" w:cs="宋体"/>
                <w:b/>
                <w:color w:val="auto"/>
                <w:sz w:val="24"/>
                <w:szCs w:val="24"/>
                <w:highlight w:val="none"/>
              </w:rPr>
              <w:t>通知书的同时按规定的标准一次性向采购代理机构缴纳代理服务费。b.代理服务费以银行转账、电汇、汇票或现金等付款方式交纳。4）代理服务费缴交账号：开户名：</w:t>
            </w:r>
            <w:r>
              <w:rPr>
                <w:rFonts w:hint="default" w:ascii="宋体" w:hAnsi="宋体" w:cs="宋体"/>
                <w:b/>
                <w:color w:val="auto"/>
                <w:sz w:val="24"/>
                <w:szCs w:val="24"/>
                <w:highlight w:val="none"/>
              </w:rPr>
              <w:t>福建省天弘工程项目管理有限公司</w:t>
            </w:r>
            <w:r>
              <w:rPr>
                <w:rFonts w:hint="eastAsia" w:ascii="宋体" w:hAnsi="宋体" w:eastAsia="宋体" w:cs="宋体"/>
                <w:b/>
                <w:color w:val="auto"/>
                <w:sz w:val="24"/>
                <w:szCs w:val="24"/>
                <w:highlight w:val="none"/>
              </w:rPr>
              <w:t>，开户行：中国邮政储蓄银行股份有限公司福州市浦上支行，账号：935009010007208911。</w:t>
            </w:r>
          </w:p>
          <w:p w14:paraId="651B4C73">
            <w:pPr>
              <w:pStyle w:val="10"/>
              <w:keepNext w:val="0"/>
              <w:keepLines w:val="0"/>
              <w:pageBreakBefore w:val="0"/>
              <w:widowControl/>
              <w:numPr>
                <w:ilvl w:val="0"/>
                <w:numId w:val="0"/>
              </w:numPr>
              <w:kinsoku/>
              <w:wordWrap w:val="0"/>
              <w:overflowPunct/>
              <w:topLinePunct w:val="0"/>
              <w:autoSpaceDE/>
              <w:autoSpaceDN/>
              <w:bidi w:val="0"/>
              <w:adjustRightInd/>
              <w:snapToGrid/>
              <w:spacing w:before="0" w:beforeLines="0" w:beforeAutospacing="0" w:after="0" w:afterLines="0" w:afterAutospacing="0" w:line="420" w:lineRule="exact"/>
              <w:ind w:left="0" w:leftChars="0" w:right="0" w:rightChars="0" w:firstLine="0" w:firstLineChars="0"/>
              <w:textAlignment w:val="auto"/>
              <w:rPr>
                <w:rStyle w:val="16"/>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lang w:val="en-US" w:eastAsia="zh-CN"/>
              </w:rPr>
              <w:t>供应商</w:t>
            </w:r>
            <w:r>
              <w:rPr>
                <w:rFonts w:hint="eastAsia" w:ascii="宋体" w:hAnsi="宋体" w:eastAsia="宋体" w:cs="宋体"/>
                <w:b/>
                <w:color w:val="auto"/>
                <w:sz w:val="24"/>
                <w:szCs w:val="24"/>
                <w:highlight w:val="none"/>
              </w:rPr>
              <w:t>在递交质疑函时应提供本</w:t>
            </w:r>
            <w:r>
              <w:rPr>
                <w:rFonts w:hint="eastAsia" w:ascii="宋体" w:hAnsi="宋体" w:eastAsia="宋体" w:cs="宋体"/>
                <w:b/>
                <w:color w:val="auto"/>
                <w:sz w:val="24"/>
                <w:szCs w:val="24"/>
                <w:highlight w:val="none"/>
                <w:lang w:val="en-US" w:eastAsia="zh-CN"/>
              </w:rPr>
              <w:t>磋商</w:t>
            </w:r>
            <w:r>
              <w:rPr>
                <w:rFonts w:hint="eastAsia" w:ascii="宋体" w:hAnsi="宋体" w:eastAsia="宋体" w:cs="宋体"/>
                <w:b/>
                <w:color w:val="auto"/>
                <w:sz w:val="24"/>
                <w:szCs w:val="24"/>
                <w:highlight w:val="none"/>
              </w:rPr>
              <w:t>文件规定的相关材料，否则递交的质疑函将不予受理。在法定质疑期内质疑人须一次性提出针对同一采购程序环节的质疑，二（多）次质疑不予受理。接收质疑函的方式、联系部门、联系电话和通讯地址：①接收质疑函原件的方式：</w:t>
            </w:r>
            <w:r>
              <w:rPr>
                <w:rFonts w:hint="eastAsia" w:ascii="宋体" w:hAnsi="宋体" w:eastAsia="宋体" w:cs="宋体"/>
                <w:b/>
                <w:color w:val="auto"/>
                <w:sz w:val="24"/>
                <w:szCs w:val="24"/>
                <w:highlight w:val="none"/>
                <w:lang w:val="en-US" w:eastAsia="zh-CN"/>
              </w:rPr>
              <w:t>书面形</w:t>
            </w:r>
            <w:r>
              <w:rPr>
                <w:rFonts w:hint="eastAsia" w:ascii="宋体" w:hAnsi="宋体" w:eastAsia="宋体" w:cs="宋体"/>
                <w:b/>
                <w:color w:val="auto"/>
                <w:sz w:val="24"/>
                <w:szCs w:val="24"/>
                <w:highlight w:val="none"/>
              </w:rPr>
              <w:t>式；②接收质疑函的联系部门：办公室；③接收质疑函的联系电话：</w:t>
            </w:r>
            <w:r>
              <w:rPr>
                <w:rFonts w:hint="eastAsia" w:ascii="宋体" w:hAnsi="宋体" w:cs="宋体"/>
                <w:b/>
                <w:color w:val="auto"/>
                <w:sz w:val="24"/>
                <w:szCs w:val="24"/>
                <w:highlight w:val="none"/>
                <w:lang w:val="en-US" w:eastAsia="zh-CN"/>
              </w:rPr>
              <w:t>15205933263</w:t>
            </w:r>
            <w:r>
              <w:rPr>
                <w:rFonts w:hint="eastAsia" w:ascii="宋体" w:hAnsi="宋体" w:eastAsia="宋体" w:cs="宋体"/>
                <w:b/>
                <w:color w:val="auto"/>
                <w:sz w:val="24"/>
                <w:szCs w:val="24"/>
                <w:highlight w:val="none"/>
              </w:rPr>
              <w:t>；④接收质疑函的通讯地址：</w:t>
            </w:r>
            <w:r>
              <w:rPr>
                <w:rFonts w:hint="default" w:ascii="宋体" w:hAnsi="宋体" w:cs="宋体"/>
                <w:b/>
                <w:color w:val="auto"/>
                <w:sz w:val="24"/>
                <w:szCs w:val="24"/>
                <w:highlight w:val="none"/>
              </w:rPr>
              <w:t>福建省天弘工程项目管理有限公司</w:t>
            </w:r>
            <w:r>
              <w:rPr>
                <w:rFonts w:hint="eastAsia" w:ascii="宋体" w:hAnsi="宋体" w:eastAsia="宋体" w:cs="宋体"/>
                <w:b/>
                <w:color w:val="auto"/>
                <w:sz w:val="24"/>
                <w:szCs w:val="24"/>
                <w:highlight w:val="none"/>
              </w:rPr>
              <w:t>（</w:t>
            </w:r>
            <w:r>
              <w:rPr>
                <w:rFonts w:hint="eastAsia" w:ascii="宋体" w:hAnsi="宋体" w:eastAsia="宋体" w:cs="宋体"/>
                <w:b/>
                <w:color w:val="auto"/>
                <w:sz w:val="24"/>
                <w:szCs w:val="24"/>
                <w:highlight w:val="none"/>
                <w:lang w:eastAsia="zh-CN"/>
              </w:rPr>
              <w:t>莆田市城厢区凤凰路609号</w:t>
            </w:r>
            <w:r>
              <w:rPr>
                <w:rFonts w:hint="eastAsia" w:ascii="宋体" w:hAnsi="宋体" w:eastAsia="宋体" w:cs="宋体"/>
                <w:b/>
                <w:color w:val="auto"/>
                <w:sz w:val="24"/>
                <w:szCs w:val="24"/>
                <w:highlight w:val="none"/>
              </w:rPr>
              <w:t>）。</w:t>
            </w:r>
          </w:p>
        </w:tc>
      </w:tr>
      <w:tr w14:paraId="0D92B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76" w:type="dxa"/>
            <w:noWrap w:val="0"/>
            <w:vAlign w:val="top"/>
          </w:tcPr>
          <w:p w14:paraId="176F6220">
            <w:pPr>
              <w:pStyle w:val="18"/>
              <w:keepNext w:val="0"/>
              <w:keepLines w:val="0"/>
              <w:pageBreakBefore w:val="0"/>
              <w:widowControl/>
              <w:kinsoku/>
              <w:overflowPunct/>
              <w:topLinePunct w:val="0"/>
              <w:autoSpaceDE/>
              <w:autoSpaceDN/>
              <w:bidi w:val="0"/>
              <w:adjustRightInd/>
              <w:snapToGrid/>
              <w:spacing w:line="420" w:lineRule="exact"/>
              <w:jc w:val="both"/>
              <w:textAlignment w:val="auto"/>
              <w:rPr>
                <w:rFonts w:hint="eastAsia" w:ascii="宋体" w:hAnsi="宋体" w:eastAsia="宋体" w:cs="宋体"/>
                <w:color w:val="auto"/>
                <w:sz w:val="24"/>
                <w:szCs w:val="24"/>
                <w:highlight w:val="none"/>
              </w:rPr>
            </w:pPr>
            <w:r>
              <w:rPr>
                <w:rFonts w:hint="eastAsia" w:ascii="宋体" w:hAnsi="宋体" w:eastAsia="宋体" w:cs="宋体"/>
                <w:sz w:val="24"/>
                <w:szCs w:val="24"/>
              </w:rPr>
              <w:t>1</w:t>
            </w:r>
            <w:r>
              <w:rPr>
                <w:rFonts w:hint="eastAsia" w:ascii="宋体" w:hAnsi="宋体" w:eastAsia="宋体" w:cs="宋体"/>
                <w:sz w:val="24"/>
                <w:szCs w:val="24"/>
                <w:lang w:val="en-US" w:eastAsia="zh-CN"/>
              </w:rPr>
              <w:t>5</w:t>
            </w:r>
          </w:p>
        </w:tc>
        <w:tc>
          <w:tcPr>
            <w:tcW w:w="826" w:type="dxa"/>
            <w:noWrap w:val="0"/>
            <w:vAlign w:val="top"/>
          </w:tcPr>
          <w:p w14:paraId="51AE04BE">
            <w:pPr>
              <w:pStyle w:val="18"/>
              <w:keepNext w:val="0"/>
              <w:keepLines w:val="0"/>
              <w:pageBreakBefore w:val="0"/>
              <w:widowControl/>
              <w:kinsoku/>
              <w:overflowPunct/>
              <w:topLinePunct w:val="0"/>
              <w:autoSpaceDE/>
              <w:autoSpaceDN/>
              <w:bidi w:val="0"/>
              <w:adjustRightInd/>
              <w:snapToGrid/>
              <w:spacing w:line="420" w:lineRule="exact"/>
              <w:jc w:val="both"/>
              <w:textAlignment w:val="auto"/>
              <w:rPr>
                <w:rFonts w:hint="eastAsia" w:ascii="宋体" w:hAnsi="宋体" w:cs="宋体"/>
                <w:color w:val="auto"/>
                <w:sz w:val="24"/>
                <w:szCs w:val="24"/>
                <w:highlight w:val="none"/>
                <w:vertAlign w:val="baseline"/>
              </w:rPr>
            </w:pPr>
            <w:r>
              <w:rPr>
                <w:rFonts w:hint="eastAsia" w:ascii="宋体" w:hAnsi="宋体" w:eastAsia="宋体" w:cs="宋体"/>
                <w:sz w:val="24"/>
                <w:szCs w:val="24"/>
              </w:rPr>
              <w:t>18.1</w:t>
            </w:r>
          </w:p>
        </w:tc>
        <w:tc>
          <w:tcPr>
            <w:tcW w:w="7220" w:type="dxa"/>
            <w:noWrap w:val="0"/>
            <w:vAlign w:val="top"/>
          </w:tcPr>
          <w:p w14:paraId="6822ACEF">
            <w:pPr>
              <w:pStyle w:val="18"/>
              <w:keepNext w:val="0"/>
              <w:keepLines w:val="0"/>
              <w:pageBreakBefore w:val="0"/>
              <w:widowControl/>
              <w:kinsoku/>
              <w:overflowPunct/>
              <w:topLinePunct w:val="0"/>
              <w:autoSpaceDE/>
              <w:autoSpaceDN/>
              <w:bidi w:val="0"/>
              <w:adjustRightInd/>
              <w:snapToGrid/>
              <w:spacing w:line="420" w:lineRule="exact"/>
              <w:jc w:val="both"/>
              <w:textAlignment w:val="auto"/>
              <w:rPr>
                <w:rStyle w:val="16"/>
                <w:rFonts w:hint="eastAsia" w:ascii="宋体" w:hAnsi="宋体" w:eastAsia="宋体" w:cs="宋体"/>
                <w:color w:val="auto"/>
                <w:sz w:val="24"/>
                <w:szCs w:val="24"/>
                <w:highlight w:val="none"/>
              </w:rPr>
            </w:pPr>
            <w:r>
              <w:rPr>
                <w:rFonts w:hint="eastAsia" w:ascii="宋体" w:hAnsi="宋体" w:eastAsia="宋体" w:cs="宋体"/>
                <w:sz w:val="24"/>
                <w:szCs w:val="24"/>
              </w:rPr>
              <w:t>合同签订时限：自</w:t>
            </w:r>
            <w:r>
              <w:rPr>
                <w:rFonts w:hint="eastAsia" w:ascii="宋体" w:hAnsi="宋体" w:eastAsia="宋体" w:cs="宋体"/>
                <w:sz w:val="24"/>
                <w:szCs w:val="24"/>
                <w:lang w:val="en-US" w:eastAsia="zh-CN"/>
              </w:rPr>
              <w:t>成交</w:t>
            </w:r>
            <w:r>
              <w:rPr>
                <w:rFonts w:hint="eastAsia" w:ascii="宋体" w:hAnsi="宋体" w:eastAsia="宋体" w:cs="宋体"/>
                <w:sz w:val="24"/>
                <w:szCs w:val="24"/>
              </w:rPr>
              <w:t>通知书发出之日起30个日历日内。</w:t>
            </w:r>
          </w:p>
        </w:tc>
      </w:tr>
    </w:tbl>
    <w:p w14:paraId="2CE06EE3">
      <w:pPr>
        <w:pStyle w:val="10"/>
        <w:widowControl/>
        <w:spacing w:before="75" w:beforeLines="0" w:beforeAutospacing="0" w:after="75" w:afterLines="0" w:afterAutospacing="0" w:line="435" w:lineRule="atLeast"/>
        <w:rPr>
          <w:rStyle w:val="16"/>
          <w:rFonts w:hint="eastAsia" w:ascii="宋体" w:hAnsi="宋体" w:cs="宋体"/>
          <w:color w:val="auto"/>
          <w:highlight w:val="none"/>
        </w:rPr>
      </w:pPr>
    </w:p>
    <w:p w14:paraId="2FBFCBA6">
      <w:pPr>
        <w:pStyle w:val="10"/>
        <w:widowControl/>
        <w:spacing w:before="75" w:beforeLines="0" w:beforeAutospacing="0" w:after="75" w:afterLines="0" w:afterAutospacing="0" w:line="435" w:lineRule="atLeast"/>
        <w:rPr>
          <w:color w:val="auto"/>
          <w:highlight w:val="none"/>
        </w:rPr>
      </w:pPr>
      <w:r>
        <w:rPr>
          <w:rStyle w:val="16"/>
          <w:rFonts w:hint="eastAsia" w:ascii="宋体" w:hAnsi="宋体" w:cs="宋体"/>
          <w:color w:val="auto"/>
          <w:highlight w:val="none"/>
        </w:rPr>
        <w:t>专项附件： 评审的标准和方法</w:t>
      </w:r>
    </w:p>
    <w:p w14:paraId="1B91F72D">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一、磋商小组</w:t>
      </w:r>
    </w:p>
    <w:p w14:paraId="70CE15A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1.1采购人根据项目的特点依法组建磋商小组。</w:t>
      </w:r>
    </w:p>
    <w:p w14:paraId="4D3390C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1.2磋商小组</w:t>
      </w:r>
    </w:p>
    <w:p w14:paraId="467E1E30">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由采购人代表和评审专家两部分共3人组成，其中由福建省政府采购评审专家库产生的评审专家2人，由采购人派出的采购人代表1人。技术复杂、专业性强的采购项目，评审专家中应当包含1名法律专家。</w:t>
      </w:r>
    </w:p>
    <w:p w14:paraId="3EEBE3FC">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1.3磋商小组负责具体磋商和评审事务，并按照下列原则依法独立履行有关职责：</w:t>
      </w:r>
    </w:p>
    <w:p w14:paraId="512B85BF">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1.3.1评审应保护国家利益、社会公共利益和各方当事人合法权益，提高采购效益，保证项目质量。</w:t>
      </w:r>
    </w:p>
    <w:p w14:paraId="05A9A52C">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1.3.2评审应遵循公平、公正、科学、严谨和择优原则。</w:t>
      </w:r>
    </w:p>
    <w:p w14:paraId="168E4FAA">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1.3.3评审的依据是磋商文件和响应文件，磋商文件中没有规定的评审标准不得作为评审依据。</w:t>
      </w:r>
    </w:p>
    <w:p w14:paraId="6426FD1F">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1.3.4磋商小组应按照磋商文件规定推荐成交候选供应商或根据采购人的授权确定成交人。</w:t>
      </w:r>
    </w:p>
    <w:p w14:paraId="3A211070">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1.3.5评审应遵守下列评审纪律：</w:t>
      </w:r>
    </w:p>
    <w:p w14:paraId="0003984E">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①评审情况不得私自外泄，有关信息由采购人或其委托的代理机构统一对外发布。</w:t>
      </w:r>
    </w:p>
    <w:p w14:paraId="36B76C3E">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②对采购人或供应商提供的要求保密的资料，不得摘记翻印和外传。</w:t>
      </w:r>
    </w:p>
    <w:p w14:paraId="63419B14">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③不得收受供应商或有关人员的任何礼物，不得串联鼓动其他人袒护某供应商。若与供应商存在利害关系，则应主动声明并回避。</w:t>
      </w:r>
    </w:p>
    <w:p w14:paraId="58D69744">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④全体磋商小组成员应按照磋商文件规定进行评审，一切认定事项应查有实据且不得弄虚作假。</w:t>
      </w:r>
    </w:p>
    <w:p w14:paraId="04CF7943">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⑤评审中应充分发扬民主，推荐成交人候选人或根据采购人授权确定成交人后要服从评审报告。</w:t>
      </w:r>
    </w:p>
    <w:p w14:paraId="3ADB2AF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b/>
          <w:sz w:val="24"/>
          <w:szCs w:val="24"/>
        </w:rPr>
        <w:t>※对违反评审纪律的评委，将取消其评委资格，对评审工作造成严重损失者将予以通报批评乃至追究法律责任。</w:t>
      </w:r>
    </w:p>
    <w:p w14:paraId="3D657743">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二、磋商程序</w:t>
      </w:r>
    </w:p>
    <w:p w14:paraId="336AFD9E">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2.1磋商程序按照磋商文件第二章第2节“竞争性磋商须知”第14 条“磋商程序以及评审标准和方法”的相关条款规定执行。</w:t>
      </w:r>
    </w:p>
    <w:p w14:paraId="5763CA2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2.2磋商文件不能详细列明采购标的的技术、服务要求，需经磋商由供应商提供最终设计方案或解决方案的，磋商结束后，磋商小组应当按照少数服从多数的原则投票推荐3家以上供应商的设计方案或者解决方案，并要求其在规定时间内提交最后报价。属于《政府采购竞争性磋商采购方式管理暂行办法》等相关法律法规及财政部门颁布的规范性文件允许的两家供应商进行竞争性磋商采购情形，则提交最后报价的供应商可以为两家。</w:t>
      </w:r>
    </w:p>
    <w:p w14:paraId="7CCB8B20">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无</w:t>
      </w:r>
    </w:p>
    <w:p w14:paraId="084E859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2.3只有资格审查和实质性响应审查均合格且按规定提交最后报价的合格供应商才能参加综合评分。</w:t>
      </w:r>
    </w:p>
    <w:p w14:paraId="6AE341D2">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三、综合评分的标准和方法</w:t>
      </w:r>
    </w:p>
    <w:p w14:paraId="7D13E9AE">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3.1磋商小组将采用综合评分法对提交最后报价的合格供应商的响应文件和最后报价进行综合评分。如果磋商项目有多个采购包，则按相应采购包分别进行，具体综合评分的标准和方法如下：</w:t>
      </w:r>
    </w:p>
    <w:p w14:paraId="2C1B0DC4">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3.3.1磋商小组将对相应采购包提交最后报价的合格供应商从技术、商务及报价部分分别进行评议并评分，并汇总出技术、商务及报价部分的综合得分。各采购包综合得分最高的供应商将被推荐为第一成交候选供应商，综合得分第二高的供应商将被推荐为第二成交候选供应商，综合得分第三高的供应商将被推荐为第三成交候选供应商（属于《政府采购竞争性磋商采购方式管理暂行办法》等相关法律法规及财政部门颁布的规范性文件允许的两家供应商进行竞争性磋商采购情形，则不推荐第三成交候选供应商）。如果出现相同的综合得分，则最后报价低的供应商排序在前优先推荐；如果最后报价仍相同，则技术部分得分高的供应商优先排序在前推荐。</w:t>
      </w:r>
    </w:p>
    <w:p w14:paraId="781EB060">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3.3.2具体评审标准和方法：</w:t>
      </w:r>
    </w:p>
    <w:p w14:paraId="4097536A">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（1） 响应文件满足磋商文件全部实质性要求，且按照评审因素的量化指标综合评审总得分从高到低顺序推荐3名以上成交候选人供应商，其中评审总得分最高的供应商为第一成交候选供应商。</w:t>
      </w:r>
    </w:p>
    <w:p w14:paraId="3D1605F7">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2）每个供应商的评审总得分FA＝F1×A1＋F2×A2＋F3×A3＋F4×A4（若有），其中：F1指价格项评审因素得分、F2指技术项评审因素得分、F3指商务项评审因素得分，A1指价格项评审因素所占的权重、A2指技术项评审因素所占的权重、A3指商务项评审因素所占的权重，A1＋A2＋A3=1、F1×A1＋F2×A2＋F3×A3=100分（满分时），F4×A4为加分项（即优先类节能产品、环境标志产品在采购活动中可享有的加分优惠）。</w:t>
      </w:r>
    </w:p>
    <w:p w14:paraId="20C0CF90">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（3）各项评审因素的设置如下：</w:t>
      </w:r>
    </w:p>
    <w:p w14:paraId="393862AC">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采购包1：综合评分法</w:t>
      </w:r>
    </w:p>
    <w:p w14:paraId="5ED221D0">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各项评审因素的设置如下：</w:t>
      </w:r>
    </w:p>
    <w:p w14:paraId="08C11CD7">
      <w:pPr>
        <w:pStyle w:val="18"/>
        <w:keepNext w:val="0"/>
        <w:keepLines w:val="0"/>
        <w:pageBreakBefore w:val="0"/>
        <w:widowControl/>
        <w:kinsoku/>
        <w:wordWrap/>
        <w:overflowPunct/>
        <w:topLinePunct w:val="0"/>
        <w:autoSpaceDE/>
        <w:autoSpaceDN/>
        <w:bidi w:val="0"/>
        <w:adjustRightInd/>
        <w:snapToGrid/>
        <w:spacing w:line="420" w:lineRule="exact"/>
        <w:textAlignment w:val="auto"/>
        <w:outlineLvl w:val="3"/>
        <w:rPr>
          <w:rFonts w:hint="eastAsia" w:ascii="宋体" w:hAnsi="宋体" w:eastAsia="宋体" w:cs="宋体"/>
          <w:sz w:val="24"/>
          <w:szCs w:val="24"/>
        </w:rPr>
      </w:pPr>
      <w:r>
        <w:rPr>
          <w:rFonts w:hint="eastAsia" w:ascii="宋体" w:hAnsi="宋体" w:eastAsia="宋体" w:cs="宋体"/>
          <w:sz w:val="24"/>
          <w:szCs w:val="24"/>
        </w:rPr>
        <w:t>报价部分评分PF 满分为</w:t>
      </w:r>
      <w:r>
        <w:rPr>
          <w:rFonts w:hint="eastAsia" w:ascii="宋体" w:hAnsi="宋体" w:cs="宋体"/>
          <w:sz w:val="24"/>
          <w:szCs w:val="24"/>
          <w:lang w:val="en-US" w:eastAsia="zh-CN"/>
        </w:rPr>
        <w:t>28</w:t>
      </w:r>
      <w:r>
        <w:rPr>
          <w:rFonts w:hint="eastAsia" w:ascii="宋体" w:hAnsi="宋体" w:eastAsia="宋体" w:cs="宋体"/>
          <w:sz w:val="24"/>
          <w:szCs w:val="24"/>
        </w:rPr>
        <w:t>.00分</w:t>
      </w:r>
    </w:p>
    <w:p w14:paraId="0C167474">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价格分采用低价优先法计算，即满足磋商文件要求且最后报价最低的供应商的价格为磋商基准价，其价格分为满分。其他供应商的价格分统一按照下列公式计算：磋商报价得分=（磋商基准价／最后磋商报价）×价格权值×100。因落实政府采购优惠政策需进行价格扣除的，以扣除后的价格计算磋商基准价和最后磋商报价。</w:t>
      </w:r>
    </w:p>
    <w:p w14:paraId="6B0C9B41">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价格扣除的规则如下：</w:t>
      </w:r>
    </w:p>
    <w:tbl>
      <w:tblPr>
        <w:tblStyle w:val="13"/>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fixed"/>
        <w:tblCellMar>
          <w:top w:w="0" w:type="dxa"/>
          <w:left w:w="108" w:type="dxa"/>
          <w:bottom w:w="0" w:type="dxa"/>
          <w:right w:w="108" w:type="dxa"/>
        </w:tblCellMar>
      </w:tblPr>
      <w:tblGrid>
        <w:gridCol w:w="1135"/>
        <w:gridCol w:w="1042"/>
        <w:gridCol w:w="662"/>
        <w:gridCol w:w="5409"/>
      </w:tblGrid>
      <w:tr w14:paraId="54F29B6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35" w:type="dxa"/>
            <w:noWrap w:val="0"/>
            <w:vAlign w:val="top"/>
          </w:tcPr>
          <w:p w14:paraId="41504478">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项目</w:t>
            </w:r>
          </w:p>
        </w:tc>
        <w:tc>
          <w:tcPr>
            <w:tcW w:w="1042" w:type="dxa"/>
            <w:noWrap w:val="0"/>
            <w:vAlign w:val="top"/>
          </w:tcPr>
          <w:p w14:paraId="57E6E6FD">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适用对象</w:t>
            </w:r>
          </w:p>
        </w:tc>
        <w:tc>
          <w:tcPr>
            <w:tcW w:w="662" w:type="dxa"/>
            <w:noWrap w:val="0"/>
            <w:vAlign w:val="top"/>
          </w:tcPr>
          <w:p w14:paraId="06574F93">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比例</w:t>
            </w:r>
          </w:p>
        </w:tc>
        <w:tc>
          <w:tcPr>
            <w:tcW w:w="5409" w:type="dxa"/>
            <w:noWrap w:val="0"/>
            <w:vAlign w:val="top"/>
          </w:tcPr>
          <w:p w14:paraId="74B66906">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描述</w:t>
            </w:r>
          </w:p>
        </w:tc>
      </w:tr>
      <w:tr w14:paraId="485D41C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248" w:type="dxa"/>
            <w:gridSpan w:val="4"/>
            <w:noWrap w:val="0"/>
            <w:vAlign w:val="top"/>
          </w:tcPr>
          <w:p w14:paraId="7AAB086E">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lang w:val="en-US" w:eastAsia="zh-CN"/>
              </w:rPr>
            </w:pPr>
            <w:r>
              <w:rPr>
                <w:rFonts w:hint="eastAsia" w:ascii="宋体" w:hAnsi="宋体" w:cs="宋体"/>
                <w:sz w:val="24"/>
                <w:szCs w:val="24"/>
                <w:lang w:val="en-US" w:eastAsia="zh-CN"/>
              </w:rPr>
              <w:t>无</w:t>
            </w:r>
          </w:p>
        </w:tc>
      </w:tr>
    </w:tbl>
    <w:p w14:paraId="432B457B">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其他：无</w:t>
      </w:r>
    </w:p>
    <w:p w14:paraId="75502EC6">
      <w:pPr>
        <w:pStyle w:val="18"/>
        <w:keepNext w:val="0"/>
        <w:keepLines w:val="0"/>
        <w:pageBreakBefore w:val="0"/>
        <w:widowControl/>
        <w:kinsoku/>
        <w:wordWrap/>
        <w:overflowPunct/>
        <w:topLinePunct w:val="0"/>
        <w:autoSpaceDE/>
        <w:autoSpaceDN/>
        <w:bidi w:val="0"/>
        <w:adjustRightInd/>
        <w:snapToGrid/>
        <w:spacing w:line="420" w:lineRule="exact"/>
        <w:textAlignment w:val="auto"/>
        <w:outlineLvl w:val="3"/>
        <w:rPr>
          <w:rFonts w:hint="eastAsia" w:ascii="宋体" w:hAnsi="宋体" w:eastAsia="宋体" w:cs="宋体"/>
          <w:color w:val="auto"/>
          <w:sz w:val="24"/>
          <w:szCs w:val="24"/>
        </w:rPr>
      </w:pPr>
      <w:r>
        <w:rPr>
          <w:rFonts w:hint="eastAsia" w:ascii="宋体" w:hAnsi="宋体" w:eastAsia="宋体" w:cs="宋体"/>
          <w:sz w:val="24"/>
          <w:szCs w:val="24"/>
        </w:rPr>
        <w:t xml:space="preserve">技术部分评分PT </w:t>
      </w:r>
      <w:r>
        <w:rPr>
          <w:rFonts w:hint="eastAsia" w:ascii="宋体" w:hAnsi="宋体" w:eastAsia="宋体" w:cs="宋体"/>
          <w:color w:val="auto"/>
          <w:sz w:val="24"/>
          <w:szCs w:val="24"/>
        </w:rPr>
        <w:t>满分为</w:t>
      </w:r>
      <w:r>
        <w:rPr>
          <w:rFonts w:hint="eastAsia" w:ascii="宋体" w:hAnsi="宋体" w:cs="宋体"/>
          <w:color w:val="auto"/>
          <w:sz w:val="24"/>
          <w:szCs w:val="24"/>
          <w:lang w:val="en-US" w:eastAsia="zh-CN"/>
        </w:rPr>
        <w:t>57</w:t>
      </w:r>
      <w:r>
        <w:rPr>
          <w:rFonts w:hint="eastAsia" w:ascii="宋体" w:hAnsi="宋体" w:eastAsia="宋体" w:cs="宋体"/>
          <w:color w:val="auto"/>
          <w:sz w:val="24"/>
          <w:szCs w:val="24"/>
        </w:rPr>
        <w:t>.00分</w:t>
      </w:r>
    </w:p>
    <w:tbl>
      <w:tblPr>
        <w:tblStyle w:val="13"/>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157"/>
        <w:gridCol w:w="660"/>
        <w:gridCol w:w="6705"/>
      </w:tblGrid>
      <w:tr w14:paraId="033BB11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0A84AE7D">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yellow"/>
              </w:rPr>
            </w:pPr>
            <w:bookmarkStart w:id="22" w:name="_GoBack"/>
            <w:r>
              <w:rPr>
                <w:rFonts w:hint="eastAsia" w:ascii="宋体" w:hAnsi="宋体" w:eastAsia="宋体" w:cs="宋体"/>
                <w:color w:val="auto"/>
                <w:sz w:val="24"/>
                <w:szCs w:val="24"/>
                <w:highlight w:val="yellow"/>
              </w:rPr>
              <w:t>项目</w:t>
            </w:r>
          </w:p>
        </w:tc>
        <w:tc>
          <w:tcPr>
            <w:tcW w:w="660" w:type="dxa"/>
            <w:noWrap w:val="0"/>
            <w:vAlign w:val="center"/>
          </w:tcPr>
          <w:p w14:paraId="0AA09ED5">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yellow"/>
              </w:rPr>
            </w:pPr>
            <w:r>
              <w:rPr>
                <w:rFonts w:hint="eastAsia" w:ascii="宋体" w:hAnsi="宋体" w:eastAsia="宋体" w:cs="宋体"/>
                <w:color w:val="auto"/>
                <w:sz w:val="24"/>
                <w:szCs w:val="24"/>
                <w:highlight w:val="yellow"/>
              </w:rPr>
              <w:t>分值</w:t>
            </w:r>
          </w:p>
        </w:tc>
        <w:tc>
          <w:tcPr>
            <w:tcW w:w="6705" w:type="dxa"/>
            <w:noWrap w:val="0"/>
            <w:vAlign w:val="center"/>
          </w:tcPr>
          <w:p w14:paraId="12CB5F08">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yellow"/>
              </w:rPr>
            </w:pPr>
            <w:r>
              <w:rPr>
                <w:rFonts w:hint="eastAsia" w:ascii="宋体" w:hAnsi="宋体" w:eastAsia="宋体" w:cs="宋体"/>
                <w:color w:val="auto"/>
                <w:sz w:val="24"/>
                <w:szCs w:val="24"/>
                <w:highlight w:val="yellow"/>
              </w:rPr>
              <w:t>描述</w:t>
            </w:r>
          </w:p>
        </w:tc>
      </w:tr>
      <w:tr w14:paraId="35F7F7E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05B85C1C">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yellow"/>
                <w:lang w:val="en-US" w:eastAsia="zh-CN"/>
              </w:rPr>
            </w:pPr>
            <w:r>
              <w:rPr>
                <w:rFonts w:hint="eastAsia" w:ascii="宋体" w:hAnsi="宋体" w:eastAsia="宋体" w:cs="宋体"/>
                <w:b w:val="0"/>
                <w:bCs w:val="0"/>
                <w:i w:val="0"/>
                <w:iCs w:val="0"/>
                <w:color w:val="000000"/>
                <w:spacing w:val="0"/>
                <w:w w:val="100"/>
                <w:sz w:val="24"/>
                <w:szCs w:val="24"/>
                <w:highlight w:val="yellow"/>
                <w:vertAlign w:val="baseline"/>
              </w:rPr>
              <w:t>巡查工作</w:t>
            </w:r>
            <w:r>
              <w:rPr>
                <w:rFonts w:hint="eastAsia" w:ascii="宋体" w:hAnsi="宋体" w:cs="宋体"/>
                <w:b w:val="0"/>
                <w:bCs w:val="0"/>
                <w:i w:val="0"/>
                <w:iCs w:val="0"/>
                <w:color w:val="000000"/>
                <w:spacing w:val="0"/>
                <w:w w:val="100"/>
                <w:sz w:val="24"/>
                <w:szCs w:val="24"/>
                <w:highlight w:val="yellow"/>
                <w:vertAlign w:val="baseline"/>
                <w:lang w:val="en-US" w:eastAsia="zh-CN"/>
              </w:rPr>
              <w:t>方案</w:t>
            </w:r>
          </w:p>
        </w:tc>
        <w:tc>
          <w:tcPr>
            <w:tcW w:w="660" w:type="dxa"/>
            <w:noWrap w:val="0"/>
            <w:vAlign w:val="center"/>
          </w:tcPr>
          <w:p w14:paraId="52CB98FF">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yellow"/>
                <w:lang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52CF5EB2">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color w:val="auto"/>
                <w:sz w:val="24"/>
                <w:szCs w:val="24"/>
                <w:highlight w:val="yellow"/>
                <w:lang w:val="en-US" w:eastAsia="zh-CN"/>
              </w:rPr>
            </w:pPr>
            <w:r>
              <w:rPr>
                <w:rFonts w:hint="eastAsia" w:ascii="宋体" w:hAnsi="宋体" w:eastAsia="宋体" w:cs="宋体"/>
                <w:b w:val="0"/>
                <w:bCs w:val="0"/>
                <w:i w:val="0"/>
                <w:iCs w:val="0"/>
                <w:color w:val="000000"/>
                <w:spacing w:val="0"/>
                <w:w w:val="100"/>
                <w:sz w:val="24"/>
                <w:szCs w:val="24"/>
                <w:highlight w:val="yellow"/>
                <w:vertAlign w:val="baseline"/>
              </w:rPr>
              <w:t>根据投标人针对招标文件内容提供巡查工作基本方案情况进行评议，提出的实施方案详细完整合理的，得</w:t>
            </w:r>
            <w:r>
              <w:rPr>
                <w:rFonts w:hint="eastAsia" w:ascii="宋体" w:hAnsi="宋体" w:cs="宋体"/>
                <w:b w:val="0"/>
                <w:bCs w:val="0"/>
                <w:i w:val="0"/>
                <w:iCs w:val="0"/>
                <w:color w:val="000000"/>
                <w:spacing w:val="0"/>
                <w:w w:val="100"/>
                <w:sz w:val="24"/>
                <w:szCs w:val="24"/>
                <w:highlight w:val="yellow"/>
                <w:vertAlign w:val="baseline"/>
                <w:lang w:val="en-US" w:eastAsia="zh-CN"/>
              </w:rPr>
              <w:t>3</w:t>
            </w:r>
            <w:r>
              <w:rPr>
                <w:rFonts w:hint="eastAsia" w:ascii="宋体" w:hAnsi="宋体" w:eastAsia="宋体" w:cs="宋体"/>
                <w:b w:val="0"/>
                <w:bCs w:val="0"/>
                <w:i w:val="0"/>
                <w:iCs w:val="0"/>
                <w:color w:val="000000"/>
                <w:spacing w:val="0"/>
                <w:w w:val="100"/>
                <w:sz w:val="24"/>
                <w:szCs w:val="24"/>
                <w:highlight w:val="yellow"/>
                <w:vertAlign w:val="baseline"/>
              </w:rPr>
              <w:t>分；提出的实施方案基本完整、但内容出现部分偏差的，得</w:t>
            </w:r>
            <w:r>
              <w:rPr>
                <w:rFonts w:hint="eastAsia" w:ascii="宋体" w:hAnsi="宋体" w:cs="宋体"/>
                <w:b w:val="0"/>
                <w:bCs w:val="0"/>
                <w:i w:val="0"/>
                <w:iCs w:val="0"/>
                <w:color w:val="000000"/>
                <w:spacing w:val="0"/>
                <w:w w:val="100"/>
                <w:sz w:val="24"/>
                <w:szCs w:val="24"/>
                <w:highlight w:val="yellow"/>
                <w:vertAlign w:val="baseline"/>
                <w:lang w:val="en-US" w:eastAsia="zh-CN"/>
              </w:rPr>
              <w:t>2</w:t>
            </w:r>
            <w:r>
              <w:rPr>
                <w:rFonts w:hint="eastAsia" w:ascii="宋体" w:hAnsi="宋体" w:eastAsia="宋体" w:cs="宋体"/>
                <w:b w:val="0"/>
                <w:bCs w:val="0"/>
                <w:i w:val="0"/>
                <w:iCs w:val="0"/>
                <w:color w:val="000000"/>
                <w:spacing w:val="0"/>
                <w:w w:val="100"/>
                <w:sz w:val="24"/>
                <w:szCs w:val="24"/>
                <w:highlight w:val="yellow"/>
                <w:vertAlign w:val="baseline"/>
              </w:rPr>
              <w:t>分；提出实施方案简单的，每项得</w:t>
            </w:r>
            <w:r>
              <w:rPr>
                <w:rFonts w:hint="eastAsia" w:ascii="宋体" w:hAnsi="宋体" w:cs="宋体"/>
                <w:b w:val="0"/>
                <w:bCs w:val="0"/>
                <w:i w:val="0"/>
                <w:iCs w:val="0"/>
                <w:color w:val="000000"/>
                <w:spacing w:val="0"/>
                <w:w w:val="100"/>
                <w:sz w:val="24"/>
                <w:szCs w:val="24"/>
                <w:highlight w:val="yellow"/>
                <w:vertAlign w:val="baseline"/>
                <w:lang w:val="en-US" w:eastAsia="zh-CN"/>
              </w:rPr>
              <w:t>1</w:t>
            </w:r>
            <w:r>
              <w:rPr>
                <w:rFonts w:hint="eastAsia" w:ascii="宋体" w:hAnsi="宋体" w:eastAsia="宋体" w:cs="宋体"/>
                <w:b w:val="0"/>
                <w:bCs w:val="0"/>
                <w:i w:val="0"/>
                <w:iCs w:val="0"/>
                <w:color w:val="000000"/>
                <w:spacing w:val="0"/>
                <w:w w:val="100"/>
                <w:sz w:val="24"/>
                <w:szCs w:val="24"/>
                <w:highlight w:val="yellow"/>
                <w:vertAlign w:val="baseline"/>
              </w:rPr>
              <w:t>分；未提供的不得分。</w:t>
            </w:r>
          </w:p>
        </w:tc>
      </w:tr>
      <w:tr w14:paraId="4D4E071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0052190B">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highlight w:val="yellow"/>
                <w:vertAlign w:val="baseline"/>
                <w:lang w:val="en-US" w:eastAsia="zh-CN"/>
              </w:rPr>
            </w:pPr>
            <w:r>
              <w:rPr>
                <w:rFonts w:hint="eastAsia" w:ascii="宋体" w:hAnsi="宋体" w:eastAsia="宋体" w:cs="宋体"/>
                <w:b w:val="0"/>
                <w:bCs w:val="0"/>
                <w:i w:val="0"/>
                <w:iCs w:val="0"/>
                <w:color w:val="000000"/>
                <w:spacing w:val="0"/>
                <w:w w:val="100"/>
                <w:sz w:val="24"/>
                <w:szCs w:val="24"/>
                <w:highlight w:val="yellow"/>
                <w:vertAlign w:val="baseline"/>
              </w:rPr>
              <w:t>检修工作</w:t>
            </w:r>
            <w:r>
              <w:rPr>
                <w:rFonts w:hint="eastAsia" w:ascii="宋体" w:hAnsi="宋体" w:cs="宋体"/>
                <w:b w:val="0"/>
                <w:bCs w:val="0"/>
                <w:i w:val="0"/>
                <w:iCs w:val="0"/>
                <w:color w:val="000000"/>
                <w:spacing w:val="0"/>
                <w:w w:val="100"/>
                <w:sz w:val="24"/>
                <w:szCs w:val="24"/>
                <w:highlight w:val="yellow"/>
                <w:vertAlign w:val="baseline"/>
                <w:lang w:val="en-US" w:eastAsia="zh-CN"/>
              </w:rPr>
              <w:t>方案</w:t>
            </w:r>
          </w:p>
        </w:tc>
        <w:tc>
          <w:tcPr>
            <w:tcW w:w="660" w:type="dxa"/>
            <w:noWrap w:val="0"/>
            <w:vAlign w:val="center"/>
          </w:tcPr>
          <w:p w14:paraId="275F8CAA">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05B2B2ED">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根据投标人针对招标文件内容提供检修工作基本方案情况进行评议，提出的实施方案详细完整合理的，得</w:t>
            </w:r>
            <w:r>
              <w:rPr>
                <w:rFonts w:hint="eastAsia" w:ascii="宋体" w:hAnsi="宋体" w:cs="宋体"/>
                <w:b w:val="0"/>
                <w:bCs w:val="0"/>
                <w:i w:val="0"/>
                <w:iCs w:val="0"/>
                <w:color w:val="000000"/>
                <w:spacing w:val="0"/>
                <w:w w:val="100"/>
                <w:sz w:val="24"/>
                <w:szCs w:val="24"/>
                <w:highlight w:val="yellow"/>
                <w:vertAlign w:val="baseline"/>
                <w:lang w:val="en-US" w:eastAsia="zh-CN"/>
              </w:rPr>
              <w:t>3</w:t>
            </w:r>
            <w:r>
              <w:rPr>
                <w:rFonts w:hint="eastAsia" w:ascii="宋体" w:hAnsi="宋体" w:eastAsia="宋体" w:cs="宋体"/>
                <w:b w:val="0"/>
                <w:bCs w:val="0"/>
                <w:i w:val="0"/>
                <w:iCs w:val="0"/>
                <w:color w:val="000000"/>
                <w:spacing w:val="0"/>
                <w:w w:val="100"/>
                <w:sz w:val="24"/>
                <w:szCs w:val="24"/>
                <w:highlight w:val="yellow"/>
                <w:vertAlign w:val="baseline"/>
              </w:rPr>
              <w:t>分；提出的实施方案基本完整、但内容出现部分偏差的，得</w:t>
            </w:r>
            <w:r>
              <w:rPr>
                <w:rFonts w:hint="eastAsia" w:ascii="宋体" w:hAnsi="宋体" w:cs="宋体"/>
                <w:b w:val="0"/>
                <w:bCs w:val="0"/>
                <w:i w:val="0"/>
                <w:iCs w:val="0"/>
                <w:color w:val="000000"/>
                <w:spacing w:val="0"/>
                <w:w w:val="100"/>
                <w:sz w:val="24"/>
                <w:szCs w:val="24"/>
                <w:highlight w:val="yellow"/>
                <w:vertAlign w:val="baseline"/>
                <w:lang w:val="en-US" w:eastAsia="zh-CN"/>
              </w:rPr>
              <w:t>2</w:t>
            </w:r>
            <w:r>
              <w:rPr>
                <w:rFonts w:hint="eastAsia" w:ascii="宋体" w:hAnsi="宋体" w:eastAsia="宋体" w:cs="宋体"/>
                <w:b w:val="0"/>
                <w:bCs w:val="0"/>
                <w:i w:val="0"/>
                <w:iCs w:val="0"/>
                <w:color w:val="000000"/>
                <w:spacing w:val="0"/>
                <w:w w:val="100"/>
                <w:sz w:val="24"/>
                <w:szCs w:val="24"/>
                <w:highlight w:val="yellow"/>
                <w:vertAlign w:val="baseline"/>
              </w:rPr>
              <w:t>分；提出实施方案简单的，每项得</w:t>
            </w:r>
            <w:r>
              <w:rPr>
                <w:rFonts w:hint="eastAsia" w:ascii="宋体" w:hAnsi="宋体" w:cs="宋体"/>
                <w:b w:val="0"/>
                <w:bCs w:val="0"/>
                <w:i w:val="0"/>
                <w:iCs w:val="0"/>
                <w:color w:val="000000"/>
                <w:spacing w:val="0"/>
                <w:w w:val="100"/>
                <w:sz w:val="24"/>
                <w:szCs w:val="24"/>
                <w:highlight w:val="yellow"/>
                <w:vertAlign w:val="baseline"/>
                <w:lang w:val="en-US" w:eastAsia="zh-CN"/>
              </w:rPr>
              <w:t>1</w:t>
            </w:r>
            <w:r>
              <w:rPr>
                <w:rFonts w:hint="eastAsia" w:ascii="宋体" w:hAnsi="宋体" w:eastAsia="宋体" w:cs="宋体"/>
                <w:b w:val="0"/>
                <w:bCs w:val="0"/>
                <w:i w:val="0"/>
                <w:iCs w:val="0"/>
                <w:color w:val="000000"/>
                <w:spacing w:val="0"/>
                <w:w w:val="100"/>
                <w:sz w:val="24"/>
                <w:szCs w:val="24"/>
                <w:highlight w:val="yellow"/>
                <w:vertAlign w:val="baseline"/>
              </w:rPr>
              <w:t>分；未提供的不得分。</w:t>
            </w:r>
          </w:p>
        </w:tc>
      </w:tr>
      <w:tr w14:paraId="580E30D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248A11D0">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保养工作</w:t>
            </w:r>
            <w:r>
              <w:rPr>
                <w:rFonts w:hint="eastAsia" w:ascii="宋体" w:hAnsi="宋体" w:cs="宋体"/>
                <w:b w:val="0"/>
                <w:bCs w:val="0"/>
                <w:i w:val="0"/>
                <w:iCs w:val="0"/>
                <w:color w:val="000000"/>
                <w:spacing w:val="0"/>
                <w:w w:val="100"/>
                <w:sz w:val="24"/>
                <w:szCs w:val="24"/>
                <w:highlight w:val="yellow"/>
                <w:vertAlign w:val="baseline"/>
                <w:lang w:val="en-US" w:eastAsia="zh-CN"/>
              </w:rPr>
              <w:t>方案</w:t>
            </w:r>
          </w:p>
        </w:tc>
        <w:tc>
          <w:tcPr>
            <w:tcW w:w="660" w:type="dxa"/>
            <w:noWrap w:val="0"/>
            <w:vAlign w:val="center"/>
          </w:tcPr>
          <w:p w14:paraId="41A1B435">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4DEC9E7F">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根据投标人针对招标文件内容提供保养工作基本方案情况进行评议，提出的实施方案详细完整合理的，得</w:t>
            </w:r>
            <w:r>
              <w:rPr>
                <w:rFonts w:hint="eastAsia" w:ascii="宋体" w:hAnsi="宋体" w:cs="宋体"/>
                <w:b w:val="0"/>
                <w:bCs w:val="0"/>
                <w:i w:val="0"/>
                <w:iCs w:val="0"/>
                <w:color w:val="000000"/>
                <w:spacing w:val="0"/>
                <w:w w:val="100"/>
                <w:sz w:val="24"/>
                <w:szCs w:val="24"/>
                <w:highlight w:val="yellow"/>
                <w:vertAlign w:val="baseline"/>
                <w:lang w:val="en-US" w:eastAsia="zh-CN"/>
              </w:rPr>
              <w:t>3</w:t>
            </w:r>
            <w:r>
              <w:rPr>
                <w:rFonts w:hint="eastAsia" w:ascii="宋体" w:hAnsi="宋体" w:eastAsia="宋体" w:cs="宋体"/>
                <w:b w:val="0"/>
                <w:bCs w:val="0"/>
                <w:i w:val="0"/>
                <w:iCs w:val="0"/>
                <w:color w:val="000000"/>
                <w:spacing w:val="0"/>
                <w:w w:val="100"/>
                <w:sz w:val="24"/>
                <w:szCs w:val="24"/>
                <w:highlight w:val="yellow"/>
                <w:vertAlign w:val="baseline"/>
              </w:rPr>
              <w:t>分；提出的实施方案基本完整、但内容出现部分偏差的，得</w:t>
            </w:r>
            <w:r>
              <w:rPr>
                <w:rFonts w:hint="eastAsia" w:ascii="宋体" w:hAnsi="宋体" w:cs="宋体"/>
                <w:b w:val="0"/>
                <w:bCs w:val="0"/>
                <w:i w:val="0"/>
                <w:iCs w:val="0"/>
                <w:color w:val="000000"/>
                <w:spacing w:val="0"/>
                <w:w w:val="100"/>
                <w:sz w:val="24"/>
                <w:szCs w:val="24"/>
                <w:highlight w:val="yellow"/>
                <w:vertAlign w:val="baseline"/>
                <w:lang w:val="en-US" w:eastAsia="zh-CN"/>
              </w:rPr>
              <w:t>2</w:t>
            </w:r>
            <w:r>
              <w:rPr>
                <w:rFonts w:hint="eastAsia" w:ascii="宋体" w:hAnsi="宋体" w:eastAsia="宋体" w:cs="宋体"/>
                <w:b w:val="0"/>
                <w:bCs w:val="0"/>
                <w:i w:val="0"/>
                <w:iCs w:val="0"/>
                <w:color w:val="000000"/>
                <w:spacing w:val="0"/>
                <w:w w:val="100"/>
                <w:sz w:val="24"/>
                <w:szCs w:val="24"/>
                <w:highlight w:val="yellow"/>
                <w:vertAlign w:val="baseline"/>
              </w:rPr>
              <w:t>分；提出实施方案简单的，每项得</w:t>
            </w:r>
            <w:r>
              <w:rPr>
                <w:rFonts w:hint="eastAsia" w:ascii="宋体" w:hAnsi="宋体" w:cs="宋体"/>
                <w:b w:val="0"/>
                <w:bCs w:val="0"/>
                <w:i w:val="0"/>
                <w:iCs w:val="0"/>
                <w:color w:val="000000"/>
                <w:spacing w:val="0"/>
                <w:w w:val="100"/>
                <w:sz w:val="24"/>
                <w:szCs w:val="24"/>
                <w:highlight w:val="yellow"/>
                <w:vertAlign w:val="baseline"/>
                <w:lang w:val="en-US" w:eastAsia="zh-CN"/>
              </w:rPr>
              <w:t>1</w:t>
            </w:r>
            <w:r>
              <w:rPr>
                <w:rFonts w:hint="eastAsia" w:ascii="宋体" w:hAnsi="宋体" w:eastAsia="宋体" w:cs="宋体"/>
                <w:b w:val="0"/>
                <w:bCs w:val="0"/>
                <w:i w:val="0"/>
                <w:iCs w:val="0"/>
                <w:color w:val="000000"/>
                <w:spacing w:val="0"/>
                <w:w w:val="100"/>
                <w:sz w:val="24"/>
                <w:szCs w:val="24"/>
                <w:highlight w:val="yellow"/>
                <w:vertAlign w:val="baseline"/>
              </w:rPr>
              <w:t>分；未提供的不得分。</w:t>
            </w:r>
          </w:p>
        </w:tc>
      </w:tr>
      <w:tr w14:paraId="7CA0172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2F61A245">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服务流程</w:t>
            </w:r>
            <w:r>
              <w:rPr>
                <w:rFonts w:hint="eastAsia" w:ascii="宋体" w:hAnsi="宋体" w:cs="宋体"/>
                <w:b w:val="0"/>
                <w:bCs w:val="0"/>
                <w:i w:val="0"/>
                <w:iCs w:val="0"/>
                <w:color w:val="000000"/>
                <w:spacing w:val="0"/>
                <w:w w:val="100"/>
                <w:sz w:val="24"/>
                <w:szCs w:val="24"/>
                <w:highlight w:val="yellow"/>
                <w:vertAlign w:val="baseline"/>
                <w:lang w:val="en-US" w:eastAsia="zh-CN"/>
              </w:rPr>
              <w:t>方案</w:t>
            </w:r>
          </w:p>
        </w:tc>
        <w:tc>
          <w:tcPr>
            <w:tcW w:w="660" w:type="dxa"/>
            <w:noWrap w:val="0"/>
            <w:vAlign w:val="center"/>
          </w:tcPr>
          <w:p w14:paraId="34F3E9B9">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2CB28DB6">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根据投标人针对招标文件内容提供服务流程基本方案情况进行评议，提出的实施方案详细完整合理的，得</w:t>
            </w:r>
            <w:r>
              <w:rPr>
                <w:rFonts w:hint="eastAsia" w:ascii="宋体" w:hAnsi="宋体" w:cs="宋体"/>
                <w:b w:val="0"/>
                <w:bCs w:val="0"/>
                <w:i w:val="0"/>
                <w:iCs w:val="0"/>
                <w:color w:val="000000"/>
                <w:spacing w:val="0"/>
                <w:w w:val="100"/>
                <w:sz w:val="24"/>
                <w:szCs w:val="24"/>
                <w:highlight w:val="yellow"/>
                <w:vertAlign w:val="baseline"/>
                <w:lang w:val="en-US" w:eastAsia="zh-CN"/>
              </w:rPr>
              <w:t>3</w:t>
            </w:r>
            <w:r>
              <w:rPr>
                <w:rFonts w:hint="eastAsia" w:ascii="宋体" w:hAnsi="宋体" w:eastAsia="宋体" w:cs="宋体"/>
                <w:b w:val="0"/>
                <w:bCs w:val="0"/>
                <w:i w:val="0"/>
                <w:iCs w:val="0"/>
                <w:color w:val="000000"/>
                <w:spacing w:val="0"/>
                <w:w w:val="100"/>
                <w:sz w:val="24"/>
                <w:szCs w:val="24"/>
                <w:highlight w:val="yellow"/>
                <w:vertAlign w:val="baseline"/>
              </w:rPr>
              <w:t>分；提出的实施方案基本完整、但内容出现部分偏差的，得</w:t>
            </w:r>
            <w:r>
              <w:rPr>
                <w:rFonts w:hint="eastAsia" w:ascii="宋体" w:hAnsi="宋体" w:cs="宋体"/>
                <w:b w:val="0"/>
                <w:bCs w:val="0"/>
                <w:i w:val="0"/>
                <w:iCs w:val="0"/>
                <w:color w:val="000000"/>
                <w:spacing w:val="0"/>
                <w:w w:val="100"/>
                <w:sz w:val="24"/>
                <w:szCs w:val="24"/>
                <w:highlight w:val="yellow"/>
                <w:vertAlign w:val="baseline"/>
                <w:lang w:val="en-US" w:eastAsia="zh-CN"/>
              </w:rPr>
              <w:t>2</w:t>
            </w:r>
            <w:r>
              <w:rPr>
                <w:rFonts w:hint="eastAsia" w:ascii="宋体" w:hAnsi="宋体" w:eastAsia="宋体" w:cs="宋体"/>
                <w:b w:val="0"/>
                <w:bCs w:val="0"/>
                <w:i w:val="0"/>
                <w:iCs w:val="0"/>
                <w:color w:val="000000"/>
                <w:spacing w:val="0"/>
                <w:w w:val="100"/>
                <w:sz w:val="24"/>
                <w:szCs w:val="24"/>
                <w:highlight w:val="yellow"/>
                <w:vertAlign w:val="baseline"/>
              </w:rPr>
              <w:t>分；提出实施方案简单的，每项得</w:t>
            </w:r>
            <w:r>
              <w:rPr>
                <w:rFonts w:hint="eastAsia" w:ascii="宋体" w:hAnsi="宋体" w:cs="宋体"/>
                <w:b w:val="0"/>
                <w:bCs w:val="0"/>
                <w:i w:val="0"/>
                <w:iCs w:val="0"/>
                <w:color w:val="000000"/>
                <w:spacing w:val="0"/>
                <w:w w:val="100"/>
                <w:sz w:val="24"/>
                <w:szCs w:val="24"/>
                <w:highlight w:val="yellow"/>
                <w:vertAlign w:val="baseline"/>
                <w:lang w:val="en-US" w:eastAsia="zh-CN"/>
              </w:rPr>
              <w:t>1</w:t>
            </w:r>
            <w:r>
              <w:rPr>
                <w:rFonts w:hint="eastAsia" w:ascii="宋体" w:hAnsi="宋体" w:eastAsia="宋体" w:cs="宋体"/>
                <w:b w:val="0"/>
                <w:bCs w:val="0"/>
                <w:i w:val="0"/>
                <w:iCs w:val="0"/>
                <w:color w:val="000000"/>
                <w:spacing w:val="0"/>
                <w:w w:val="100"/>
                <w:sz w:val="24"/>
                <w:szCs w:val="24"/>
                <w:highlight w:val="yellow"/>
                <w:vertAlign w:val="baseline"/>
              </w:rPr>
              <w:t>分；未提供的不得分。</w:t>
            </w:r>
          </w:p>
        </w:tc>
      </w:tr>
      <w:tr w14:paraId="39E95F2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186B8F4C">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eastAsia="宋体" w:cs="宋体"/>
                <w:color w:val="auto"/>
                <w:sz w:val="24"/>
                <w:szCs w:val="24"/>
                <w:highlight w:val="yellow"/>
                <w:lang w:val="en-US"/>
              </w:rPr>
            </w:pPr>
            <w:r>
              <w:rPr>
                <w:rFonts w:hint="eastAsia" w:ascii="宋体" w:hAnsi="宋体" w:eastAsia="宋体" w:cs="宋体"/>
                <w:b w:val="0"/>
                <w:bCs w:val="0"/>
                <w:i w:val="0"/>
                <w:iCs w:val="0"/>
                <w:color w:val="000000"/>
                <w:spacing w:val="0"/>
                <w:w w:val="100"/>
                <w:sz w:val="24"/>
                <w:szCs w:val="24"/>
                <w:highlight w:val="yellow"/>
                <w:vertAlign w:val="baseline"/>
              </w:rPr>
              <w:t>高级技术水平</w:t>
            </w:r>
          </w:p>
        </w:tc>
        <w:tc>
          <w:tcPr>
            <w:tcW w:w="660" w:type="dxa"/>
            <w:noWrap w:val="0"/>
            <w:vAlign w:val="center"/>
          </w:tcPr>
          <w:p w14:paraId="2FD7B0F8">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yellow"/>
                <w:lang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04C36CEB">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color w:val="auto"/>
                <w:sz w:val="24"/>
                <w:szCs w:val="24"/>
                <w:highlight w:val="yellow"/>
              </w:rPr>
            </w:pPr>
            <w:r>
              <w:rPr>
                <w:rFonts w:hint="eastAsia" w:ascii="宋体" w:hAnsi="宋体" w:eastAsia="宋体" w:cs="宋体"/>
                <w:b w:val="0"/>
                <w:bCs w:val="0"/>
                <w:i w:val="0"/>
                <w:iCs w:val="0"/>
                <w:color w:val="000000"/>
                <w:spacing w:val="0"/>
                <w:w w:val="100"/>
                <w:sz w:val="24"/>
                <w:szCs w:val="24"/>
                <w:highlight w:val="yellow"/>
                <w:vertAlign w:val="baseline"/>
              </w:rPr>
              <w:t>根据投标人拥有的高级技术人员数量进行评价：取得一级注册消防工程师资格证书并且注册于本单位人员数量大等于12人得3分，大等于9人小于12人的得2分，大等于5人小于9人的得1分，其余不得分；须提供社会消防技术服务信息系统平台相关证明截图并加盖公章，以及相关证书复印件及供应商近六个月（不含提交响应文件的当月）任意月度为其缴交社保的证明。（所提供证书真实合法有效并加盖投标人公章，未提供或提供不全者不得分）</w:t>
            </w:r>
          </w:p>
        </w:tc>
      </w:tr>
      <w:tr w14:paraId="0090398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51529D75">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yellow"/>
                <w:lang w:val="en-US" w:eastAsia="zh-CN"/>
              </w:rPr>
            </w:pPr>
            <w:r>
              <w:rPr>
                <w:rFonts w:hint="eastAsia" w:ascii="宋体" w:hAnsi="宋体" w:eastAsia="宋体" w:cs="宋体"/>
                <w:b w:val="0"/>
                <w:bCs w:val="0"/>
                <w:i w:val="0"/>
                <w:iCs w:val="0"/>
                <w:color w:val="000000"/>
                <w:spacing w:val="0"/>
                <w:w w:val="100"/>
                <w:sz w:val="24"/>
                <w:szCs w:val="24"/>
                <w:highlight w:val="yellow"/>
                <w:vertAlign w:val="baseline"/>
              </w:rPr>
              <w:t>安全教育培训与演练</w:t>
            </w:r>
            <w:r>
              <w:rPr>
                <w:rFonts w:hint="eastAsia" w:ascii="宋体" w:hAnsi="宋体" w:cs="宋体"/>
                <w:b w:val="0"/>
                <w:bCs w:val="0"/>
                <w:i w:val="0"/>
                <w:iCs w:val="0"/>
                <w:color w:val="000000"/>
                <w:spacing w:val="0"/>
                <w:w w:val="100"/>
                <w:sz w:val="24"/>
                <w:szCs w:val="24"/>
                <w:highlight w:val="yellow"/>
                <w:vertAlign w:val="baseline"/>
                <w:lang w:val="en-US" w:eastAsia="zh-CN"/>
              </w:rPr>
              <w:t>方案</w:t>
            </w:r>
          </w:p>
        </w:tc>
        <w:tc>
          <w:tcPr>
            <w:tcW w:w="660" w:type="dxa"/>
            <w:noWrap w:val="0"/>
            <w:vAlign w:val="center"/>
          </w:tcPr>
          <w:p w14:paraId="374F4841">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yellow"/>
                <w:lang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6F4A5C86">
            <w:pPr>
              <w:keepNext w:val="0"/>
              <w:keepLines w:val="0"/>
              <w:pageBreakBefore w:val="0"/>
              <w:kinsoku/>
              <w:wordWrap/>
              <w:overflowPunct/>
              <w:topLinePunct w:val="0"/>
              <w:autoSpaceDE/>
              <w:autoSpaceDN/>
              <w:bidi w:val="0"/>
              <w:adjustRightInd/>
              <w:snapToGrid/>
              <w:spacing w:line="420" w:lineRule="exact"/>
              <w:textAlignment w:val="auto"/>
              <w:rPr>
                <w:rFonts w:hint="default" w:ascii="宋体" w:hAnsi="宋体" w:eastAsia="宋体" w:cs="宋体"/>
                <w:color w:val="auto"/>
                <w:sz w:val="24"/>
                <w:szCs w:val="24"/>
                <w:highlight w:val="yellow"/>
                <w:lang w:val="en-US" w:eastAsia="zh-CN"/>
              </w:rPr>
            </w:pPr>
            <w:r>
              <w:rPr>
                <w:rFonts w:hint="eastAsia" w:ascii="宋体" w:hAnsi="宋体" w:eastAsia="宋体" w:cs="宋体"/>
                <w:b w:val="0"/>
                <w:bCs w:val="0"/>
                <w:i w:val="0"/>
                <w:iCs w:val="0"/>
                <w:color w:val="000000"/>
                <w:spacing w:val="0"/>
                <w:w w:val="100"/>
                <w:sz w:val="24"/>
                <w:szCs w:val="24"/>
                <w:highlight w:val="yellow"/>
                <w:vertAlign w:val="baseline"/>
              </w:rPr>
              <w:t>根据投标人针对安全教育培训与演练制定的管理规章制度进行评议，提出的制度方案详细完整合理的，每项得</w:t>
            </w:r>
            <w:r>
              <w:rPr>
                <w:rFonts w:hint="eastAsia" w:ascii="宋体" w:hAnsi="宋体" w:cs="宋体"/>
                <w:b w:val="0"/>
                <w:bCs w:val="0"/>
                <w:i w:val="0"/>
                <w:iCs w:val="0"/>
                <w:color w:val="000000"/>
                <w:spacing w:val="0"/>
                <w:w w:val="100"/>
                <w:sz w:val="24"/>
                <w:szCs w:val="24"/>
                <w:highlight w:val="yellow"/>
                <w:vertAlign w:val="baseline"/>
                <w:lang w:val="en-US" w:eastAsia="zh-CN"/>
              </w:rPr>
              <w:t>3</w:t>
            </w:r>
            <w:r>
              <w:rPr>
                <w:rFonts w:hint="eastAsia" w:ascii="宋体" w:hAnsi="宋体" w:eastAsia="宋体" w:cs="宋体"/>
                <w:b w:val="0"/>
                <w:bCs w:val="0"/>
                <w:i w:val="0"/>
                <w:iCs w:val="0"/>
                <w:color w:val="000000"/>
                <w:spacing w:val="0"/>
                <w:w w:val="100"/>
                <w:sz w:val="24"/>
                <w:szCs w:val="24"/>
                <w:highlight w:val="yellow"/>
                <w:vertAlign w:val="baseline"/>
              </w:rPr>
              <w:t>分；提出的制度方案基本完整、但内容出现部分偏差的，每项得</w:t>
            </w:r>
            <w:r>
              <w:rPr>
                <w:rFonts w:hint="eastAsia" w:ascii="宋体" w:hAnsi="宋体" w:cs="宋体"/>
                <w:b w:val="0"/>
                <w:bCs w:val="0"/>
                <w:i w:val="0"/>
                <w:iCs w:val="0"/>
                <w:color w:val="000000"/>
                <w:spacing w:val="0"/>
                <w:w w:val="100"/>
                <w:sz w:val="24"/>
                <w:szCs w:val="24"/>
                <w:highlight w:val="yellow"/>
                <w:vertAlign w:val="baseline"/>
                <w:lang w:val="en-US" w:eastAsia="zh-CN"/>
              </w:rPr>
              <w:t>2</w:t>
            </w:r>
            <w:r>
              <w:rPr>
                <w:rFonts w:hint="eastAsia" w:ascii="宋体" w:hAnsi="宋体" w:eastAsia="宋体" w:cs="宋体"/>
                <w:b w:val="0"/>
                <w:bCs w:val="0"/>
                <w:i w:val="0"/>
                <w:iCs w:val="0"/>
                <w:color w:val="000000"/>
                <w:spacing w:val="0"/>
                <w:w w:val="100"/>
                <w:sz w:val="24"/>
                <w:szCs w:val="24"/>
                <w:highlight w:val="yellow"/>
                <w:vertAlign w:val="baseline"/>
              </w:rPr>
              <w:t>分；提出的制度方案简单的，每项得</w:t>
            </w:r>
            <w:r>
              <w:rPr>
                <w:rFonts w:hint="eastAsia" w:ascii="宋体" w:hAnsi="宋体" w:cs="宋体"/>
                <w:b w:val="0"/>
                <w:bCs w:val="0"/>
                <w:i w:val="0"/>
                <w:iCs w:val="0"/>
                <w:color w:val="000000"/>
                <w:spacing w:val="0"/>
                <w:w w:val="100"/>
                <w:sz w:val="24"/>
                <w:szCs w:val="24"/>
                <w:highlight w:val="yellow"/>
                <w:vertAlign w:val="baseline"/>
                <w:lang w:val="en-US" w:eastAsia="zh-CN"/>
              </w:rPr>
              <w:t>1</w:t>
            </w:r>
            <w:r>
              <w:rPr>
                <w:rFonts w:hint="eastAsia" w:ascii="宋体" w:hAnsi="宋体" w:eastAsia="宋体" w:cs="宋体"/>
                <w:b w:val="0"/>
                <w:bCs w:val="0"/>
                <w:i w:val="0"/>
                <w:iCs w:val="0"/>
                <w:color w:val="000000"/>
                <w:spacing w:val="0"/>
                <w:w w:val="100"/>
                <w:sz w:val="24"/>
                <w:szCs w:val="24"/>
                <w:highlight w:val="yellow"/>
                <w:vertAlign w:val="baseline"/>
              </w:rPr>
              <w:t>分；未提供的不得分。</w:t>
            </w:r>
          </w:p>
        </w:tc>
      </w:tr>
      <w:tr w14:paraId="39ED307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74D5B608">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消防器材保养及流程质控</w:t>
            </w:r>
            <w:r>
              <w:rPr>
                <w:rFonts w:hint="eastAsia" w:ascii="宋体" w:hAnsi="宋体" w:cs="宋体"/>
                <w:b w:val="0"/>
                <w:bCs w:val="0"/>
                <w:i w:val="0"/>
                <w:iCs w:val="0"/>
                <w:color w:val="000000"/>
                <w:spacing w:val="0"/>
                <w:w w:val="100"/>
                <w:sz w:val="24"/>
                <w:szCs w:val="24"/>
                <w:highlight w:val="yellow"/>
                <w:vertAlign w:val="baseline"/>
                <w:lang w:val="en-US" w:eastAsia="zh-CN"/>
              </w:rPr>
              <w:t>方案</w:t>
            </w:r>
          </w:p>
        </w:tc>
        <w:tc>
          <w:tcPr>
            <w:tcW w:w="660" w:type="dxa"/>
            <w:noWrap w:val="0"/>
            <w:vAlign w:val="center"/>
          </w:tcPr>
          <w:p w14:paraId="29EE6E9C">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48913120">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根据投标人针对消防器材保养及流程质控制定的管理规章制度进行评议，提出的制度方案详细完整合理的，每项得</w:t>
            </w:r>
            <w:r>
              <w:rPr>
                <w:rFonts w:hint="eastAsia" w:ascii="宋体" w:hAnsi="宋体" w:cs="宋体"/>
                <w:b w:val="0"/>
                <w:bCs w:val="0"/>
                <w:i w:val="0"/>
                <w:iCs w:val="0"/>
                <w:color w:val="000000"/>
                <w:spacing w:val="0"/>
                <w:w w:val="100"/>
                <w:sz w:val="24"/>
                <w:szCs w:val="24"/>
                <w:highlight w:val="yellow"/>
                <w:vertAlign w:val="baseline"/>
                <w:lang w:val="en-US" w:eastAsia="zh-CN"/>
              </w:rPr>
              <w:t>3</w:t>
            </w:r>
            <w:r>
              <w:rPr>
                <w:rFonts w:hint="eastAsia" w:ascii="宋体" w:hAnsi="宋体" w:eastAsia="宋体" w:cs="宋体"/>
                <w:b w:val="0"/>
                <w:bCs w:val="0"/>
                <w:i w:val="0"/>
                <w:iCs w:val="0"/>
                <w:color w:val="000000"/>
                <w:spacing w:val="0"/>
                <w:w w:val="100"/>
                <w:sz w:val="24"/>
                <w:szCs w:val="24"/>
                <w:highlight w:val="yellow"/>
                <w:vertAlign w:val="baseline"/>
              </w:rPr>
              <w:t>分；提出的制度方案基本完整、但内容出现部分偏差的，每项得</w:t>
            </w:r>
            <w:r>
              <w:rPr>
                <w:rFonts w:hint="eastAsia" w:ascii="宋体" w:hAnsi="宋体" w:cs="宋体"/>
                <w:b w:val="0"/>
                <w:bCs w:val="0"/>
                <w:i w:val="0"/>
                <w:iCs w:val="0"/>
                <w:color w:val="000000"/>
                <w:spacing w:val="0"/>
                <w:w w:val="100"/>
                <w:sz w:val="24"/>
                <w:szCs w:val="24"/>
                <w:highlight w:val="yellow"/>
                <w:vertAlign w:val="baseline"/>
                <w:lang w:val="en-US" w:eastAsia="zh-CN"/>
              </w:rPr>
              <w:t>2</w:t>
            </w:r>
            <w:r>
              <w:rPr>
                <w:rFonts w:hint="eastAsia" w:ascii="宋体" w:hAnsi="宋体" w:eastAsia="宋体" w:cs="宋体"/>
                <w:b w:val="0"/>
                <w:bCs w:val="0"/>
                <w:i w:val="0"/>
                <w:iCs w:val="0"/>
                <w:color w:val="000000"/>
                <w:spacing w:val="0"/>
                <w:w w:val="100"/>
                <w:sz w:val="24"/>
                <w:szCs w:val="24"/>
                <w:highlight w:val="yellow"/>
                <w:vertAlign w:val="baseline"/>
              </w:rPr>
              <w:t>分；提出的制度方案简单的，每项得</w:t>
            </w:r>
            <w:r>
              <w:rPr>
                <w:rFonts w:hint="eastAsia" w:ascii="宋体" w:hAnsi="宋体" w:cs="宋体"/>
                <w:b w:val="0"/>
                <w:bCs w:val="0"/>
                <w:i w:val="0"/>
                <w:iCs w:val="0"/>
                <w:color w:val="000000"/>
                <w:spacing w:val="0"/>
                <w:w w:val="100"/>
                <w:sz w:val="24"/>
                <w:szCs w:val="24"/>
                <w:highlight w:val="yellow"/>
                <w:vertAlign w:val="baseline"/>
                <w:lang w:val="en-US" w:eastAsia="zh-CN"/>
              </w:rPr>
              <w:t>1</w:t>
            </w:r>
            <w:r>
              <w:rPr>
                <w:rFonts w:hint="eastAsia" w:ascii="宋体" w:hAnsi="宋体" w:eastAsia="宋体" w:cs="宋体"/>
                <w:b w:val="0"/>
                <w:bCs w:val="0"/>
                <w:i w:val="0"/>
                <w:iCs w:val="0"/>
                <w:color w:val="000000"/>
                <w:spacing w:val="0"/>
                <w:w w:val="100"/>
                <w:sz w:val="24"/>
                <w:szCs w:val="24"/>
                <w:highlight w:val="yellow"/>
                <w:vertAlign w:val="baseline"/>
              </w:rPr>
              <w:t>分；未提供的不得分。</w:t>
            </w:r>
          </w:p>
        </w:tc>
      </w:tr>
      <w:tr w14:paraId="19A86F9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123128C0">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消防维保执业及安全奖惩</w:t>
            </w:r>
            <w:r>
              <w:rPr>
                <w:rFonts w:hint="eastAsia" w:ascii="宋体" w:hAnsi="宋体" w:cs="宋体"/>
                <w:b w:val="0"/>
                <w:bCs w:val="0"/>
                <w:i w:val="0"/>
                <w:iCs w:val="0"/>
                <w:color w:val="000000"/>
                <w:spacing w:val="0"/>
                <w:w w:val="100"/>
                <w:sz w:val="24"/>
                <w:szCs w:val="24"/>
                <w:highlight w:val="yellow"/>
                <w:vertAlign w:val="baseline"/>
                <w:lang w:val="en-US" w:eastAsia="zh-CN"/>
              </w:rPr>
              <w:t>方案</w:t>
            </w:r>
          </w:p>
        </w:tc>
        <w:tc>
          <w:tcPr>
            <w:tcW w:w="660" w:type="dxa"/>
            <w:noWrap w:val="0"/>
            <w:vAlign w:val="center"/>
          </w:tcPr>
          <w:p w14:paraId="5B10FCC6">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451D493D">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根据投标人针对消防维保执业及安全奖惩制定的管理规章制度进行评议，提出的制度方案详细完整合理的，每项得</w:t>
            </w:r>
            <w:r>
              <w:rPr>
                <w:rFonts w:hint="eastAsia" w:ascii="宋体" w:hAnsi="宋体" w:cs="宋体"/>
                <w:b w:val="0"/>
                <w:bCs w:val="0"/>
                <w:i w:val="0"/>
                <w:iCs w:val="0"/>
                <w:color w:val="000000"/>
                <w:spacing w:val="0"/>
                <w:w w:val="100"/>
                <w:sz w:val="24"/>
                <w:szCs w:val="24"/>
                <w:highlight w:val="yellow"/>
                <w:vertAlign w:val="baseline"/>
                <w:lang w:val="en-US" w:eastAsia="zh-CN"/>
              </w:rPr>
              <w:t>3</w:t>
            </w:r>
            <w:r>
              <w:rPr>
                <w:rFonts w:hint="eastAsia" w:ascii="宋体" w:hAnsi="宋体" w:eastAsia="宋体" w:cs="宋体"/>
                <w:b w:val="0"/>
                <w:bCs w:val="0"/>
                <w:i w:val="0"/>
                <w:iCs w:val="0"/>
                <w:color w:val="000000"/>
                <w:spacing w:val="0"/>
                <w:w w:val="100"/>
                <w:sz w:val="24"/>
                <w:szCs w:val="24"/>
                <w:highlight w:val="yellow"/>
                <w:vertAlign w:val="baseline"/>
              </w:rPr>
              <w:t>分；提出的制度方案基本完整、但内容出现部分偏差的，每项得</w:t>
            </w:r>
            <w:r>
              <w:rPr>
                <w:rFonts w:hint="eastAsia" w:ascii="宋体" w:hAnsi="宋体" w:cs="宋体"/>
                <w:b w:val="0"/>
                <w:bCs w:val="0"/>
                <w:i w:val="0"/>
                <w:iCs w:val="0"/>
                <w:color w:val="000000"/>
                <w:spacing w:val="0"/>
                <w:w w:val="100"/>
                <w:sz w:val="24"/>
                <w:szCs w:val="24"/>
                <w:highlight w:val="yellow"/>
                <w:vertAlign w:val="baseline"/>
                <w:lang w:val="en-US" w:eastAsia="zh-CN"/>
              </w:rPr>
              <w:t>2</w:t>
            </w:r>
            <w:r>
              <w:rPr>
                <w:rFonts w:hint="eastAsia" w:ascii="宋体" w:hAnsi="宋体" w:eastAsia="宋体" w:cs="宋体"/>
                <w:b w:val="0"/>
                <w:bCs w:val="0"/>
                <w:i w:val="0"/>
                <w:iCs w:val="0"/>
                <w:color w:val="000000"/>
                <w:spacing w:val="0"/>
                <w:w w:val="100"/>
                <w:sz w:val="24"/>
                <w:szCs w:val="24"/>
                <w:highlight w:val="yellow"/>
                <w:vertAlign w:val="baseline"/>
              </w:rPr>
              <w:t>分；提出的制度方案简单的，每项得</w:t>
            </w:r>
            <w:r>
              <w:rPr>
                <w:rFonts w:hint="eastAsia" w:ascii="宋体" w:hAnsi="宋体" w:cs="宋体"/>
                <w:b w:val="0"/>
                <w:bCs w:val="0"/>
                <w:i w:val="0"/>
                <w:iCs w:val="0"/>
                <w:color w:val="000000"/>
                <w:spacing w:val="0"/>
                <w:w w:val="100"/>
                <w:sz w:val="24"/>
                <w:szCs w:val="24"/>
                <w:highlight w:val="yellow"/>
                <w:vertAlign w:val="baseline"/>
                <w:lang w:val="en-US" w:eastAsia="zh-CN"/>
              </w:rPr>
              <w:t>1</w:t>
            </w:r>
            <w:r>
              <w:rPr>
                <w:rFonts w:hint="eastAsia" w:ascii="宋体" w:hAnsi="宋体" w:eastAsia="宋体" w:cs="宋体"/>
                <w:b w:val="0"/>
                <w:bCs w:val="0"/>
                <w:i w:val="0"/>
                <w:iCs w:val="0"/>
                <w:color w:val="000000"/>
                <w:spacing w:val="0"/>
                <w:w w:val="100"/>
                <w:sz w:val="24"/>
                <w:szCs w:val="24"/>
                <w:highlight w:val="yellow"/>
                <w:vertAlign w:val="baseline"/>
              </w:rPr>
              <w:t>分；未提供的不得分。</w:t>
            </w:r>
          </w:p>
        </w:tc>
      </w:tr>
      <w:tr w14:paraId="169E53A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1A4DC18F">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工作交接与会商</w:t>
            </w:r>
            <w:r>
              <w:rPr>
                <w:rFonts w:hint="eastAsia" w:ascii="宋体" w:hAnsi="宋体" w:cs="宋体"/>
                <w:b w:val="0"/>
                <w:bCs w:val="0"/>
                <w:i w:val="0"/>
                <w:iCs w:val="0"/>
                <w:color w:val="000000"/>
                <w:spacing w:val="0"/>
                <w:w w:val="100"/>
                <w:sz w:val="24"/>
                <w:szCs w:val="24"/>
                <w:highlight w:val="yellow"/>
                <w:vertAlign w:val="baseline"/>
                <w:lang w:val="en-US" w:eastAsia="zh-CN"/>
              </w:rPr>
              <w:t>方案</w:t>
            </w:r>
          </w:p>
        </w:tc>
        <w:tc>
          <w:tcPr>
            <w:tcW w:w="660" w:type="dxa"/>
            <w:noWrap w:val="0"/>
            <w:vAlign w:val="center"/>
          </w:tcPr>
          <w:p w14:paraId="4A16B9E3">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3A95721D">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根据投标人针对工作交接与会商制定的管理规章制度进行评议，提出的制度方案详细完整合理的，每项得</w:t>
            </w:r>
            <w:r>
              <w:rPr>
                <w:rFonts w:hint="eastAsia" w:ascii="宋体" w:hAnsi="宋体" w:cs="宋体"/>
                <w:b w:val="0"/>
                <w:bCs w:val="0"/>
                <w:i w:val="0"/>
                <w:iCs w:val="0"/>
                <w:color w:val="000000"/>
                <w:spacing w:val="0"/>
                <w:w w:val="100"/>
                <w:sz w:val="24"/>
                <w:szCs w:val="24"/>
                <w:highlight w:val="yellow"/>
                <w:vertAlign w:val="baseline"/>
                <w:lang w:val="en-US" w:eastAsia="zh-CN"/>
              </w:rPr>
              <w:t>3</w:t>
            </w:r>
            <w:r>
              <w:rPr>
                <w:rFonts w:hint="eastAsia" w:ascii="宋体" w:hAnsi="宋体" w:eastAsia="宋体" w:cs="宋体"/>
                <w:b w:val="0"/>
                <w:bCs w:val="0"/>
                <w:i w:val="0"/>
                <w:iCs w:val="0"/>
                <w:color w:val="000000"/>
                <w:spacing w:val="0"/>
                <w:w w:val="100"/>
                <w:sz w:val="24"/>
                <w:szCs w:val="24"/>
                <w:highlight w:val="yellow"/>
                <w:vertAlign w:val="baseline"/>
              </w:rPr>
              <w:t>分；提出的制度方案基本完整、但内容出现部分偏差的，每项得</w:t>
            </w:r>
            <w:r>
              <w:rPr>
                <w:rFonts w:hint="eastAsia" w:ascii="宋体" w:hAnsi="宋体" w:cs="宋体"/>
                <w:b w:val="0"/>
                <w:bCs w:val="0"/>
                <w:i w:val="0"/>
                <w:iCs w:val="0"/>
                <w:color w:val="000000"/>
                <w:spacing w:val="0"/>
                <w:w w:val="100"/>
                <w:sz w:val="24"/>
                <w:szCs w:val="24"/>
                <w:highlight w:val="yellow"/>
                <w:vertAlign w:val="baseline"/>
                <w:lang w:val="en-US" w:eastAsia="zh-CN"/>
              </w:rPr>
              <w:t>2</w:t>
            </w:r>
            <w:r>
              <w:rPr>
                <w:rFonts w:hint="eastAsia" w:ascii="宋体" w:hAnsi="宋体" w:eastAsia="宋体" w:cs="宋体"/>
                <w:b w:val="0"/>
                <w:bCs w:val="0"/>
                <w:i w:val="0"/>
                <w:iCs w:val="0"/>
                <w:color w:val="000000"/>
                <w:spacing w:val="0"/>
                <w:w w:val="100"/>
                <w:sz w:val="24"/>
                <w:szCs w:val="24"/>
                <w:highlight w:val="yellow"/>
                <w:vertAlign w:val="baseline"/>
              </w:rPr>
              <w:t>分；提出的制度方案简单的，每项得</w:t>
            </w:r>
            <w:r>
              <w:rPr>
                <w:rFonts w:hint="eastAsia" w:ascii="宋体" w:hAnsi="宋体" w:cs="宋体"/>
                <w:b w:val="0"/>
                <w:bCs w:val="0"/>
                <w:i w:val="0"/>
                <w:iCs w:val="0"/>
                <w:color w:val="000000"/>
                <w:spacing w:val="0"/>
                <w:w w:val="100"/>
                <w:sz w:val="24"/>
                <w:szCs w:val="24"/>
                <w:highlight w:val="yellow"/>
                <w:vertAlign w:val="baseline"/>
                <w:lang w:val="en-US" w:eastAsia="zh-CN"/>
              </w:rPr>
              <w:t>1</w:t>
            </w:r>
            <w:r>
              <w:rPr>
                <w:rFonts w:hint="eastAsia" w:ascii="宋体" w:hAnsi="宋体" w:eastAsia="宋体" w:cs="宋体"/>
                <w:b w:val="0"/>
                <w:bCs w:val="0"/>
                <w:i w:val="0"/>
                <w:iCs w:val="0"/>
                <w:color w:val="000000"/>
                <w:spacing w:val="0"/>
                <w:w w:val="100"/>
                <w:sz w:val="24"/>
                <w:szCs w:val="24"/>
                <w:highlight w:val="yellow"/>
                <w:vertAlign w:val="baseline"/>
              </w:rPr>
              <w:t>分；未提供的不得分。</w:t>
            </w:r>
          </w:p>
        </w:tc>
      </w:tr>
      <w:tr w14:paraId="7A30E21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4AD16807">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highlight w:val="yellow"/>
                <w:vertAlign w:val="baseline"/>
                <w:lang w:val="en-US" w:eastAsia="zh-CN"/>
              </w:rPr>
            </w:pPr>
            <w:r>
              <w:rPr>
                <w:rFonts w:hint="eastAsia" w:ascii="宋体" w:hAnsi="宋体" w:eastAsia="宋体" w:cs="宋体"/>
                <w:b w:val="0"/>
                <w:bCs w:val="0"/>
                <w:i w:val="0"/>
                <w:iCs w:val="0"/>
                <w:color w:val="000000"/>
                <w:spacing w:val="0"/>
                <w:w w:val="100"/>
                <w:sz w:val="24"/>
                <w:szCs w:val="24"/>
                <w:highlight w:val="yellow"/>
                <w:vertAlign w:val="baseline"/>
              </w:rPr>
              <w:t>员工内部管理</w:t>
            </w:r>
            <w:r>
              <w:rPr>
                <w:rFonts w:hint="eastAsia" w:ascii="宋体" w:hAnsi="宋体" w:cs="宋体"/>
                <w:b w:val="0"/>
                <w:bCs w:val="0"/>
                <w:i w:val="0"/>
                <w:iCs w:val="0"/>
                <w:color w:val="000000"/>
                <w:spacing w:val="0"/>
                <w:w w:val="100"/>
                <w:sz w:val="24"/>
                <w:szCs w:val="24"/>
                <w:highlight w:val="yellow"/>
                <w:vertAlign w:val="baseline"/>
                <w:lang w:val="en-US" w:eastAsia="zh-CN"/>
              </w:rPr>
              <w:t>方案</w:t>
            </w:r>
          </w:p>
        </w:tc>
        <w:tc>
          <w:tcPr>
            <w:tcW w:w="660" w:type="dxa"/>
            <w:noWrap w:val="0"/>
            <w:vAlign w:val="center"/>
          </w:tcPr>
          <w:p w14:paraId="32AF3E4F">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6D2D9808">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根据投标人针对员工内部管理的规章制度进行评议，提出的制度方案详细完整合理的，每项得</w:t>
            </w:r>
            <w:r>
              <w:rPr>
                <w:rFonts w:hint="eastAsia" w:ascii="宋体" w:hAnsi="宋体" w:cs="宋体"/>
                <w:b w:val="0"/>
                <w:bCs w:val="0"/>
                <w:i w:val="0"/>
                <w:iCs w:val="0"/>
                <w:color w:val="000000"/>
                <w:spacing w:val="0"/>
                <w:w w:val="100"/>
                <w:sz w:val="24"/>
                <w:szCs w:val="24"/>
                <w:highlight w:val="yellow"/>
                <w:vertAlign w:val="baseline"/>
                <w:lang w:val="en-US" w:eastAsia="zh-CN"/>
              </w:rPr>
              <w:t>3</w:t>
            </w:r>
            <w:r>
              <w:rPr>
                <w:rFonts w:hint="eastAsia" w:ascii="宋体" w:hAnsi="宋体" w:eastAsia="宋体" w:cs="宋体"/>
                <w:b w:val="0"/>
                <w:bCs w:val="0"/>
                <w:i w:val="0"/>
                <w:iCs w:val="0"/>
                <w:color w:val="000000"/>
                <w:spacing w:val="0"/>
                <w:w w:val="100"/>
                <w:sz w:val="24"/>
                <w:szCs w:val="24"/>
                <w:highlight w:val="yellow"/>
                <w:vertAlign w:val="baseline"/>
              </w:rPr>
              <w:t>分；提出的制度方案基本完整、但内容出现部分偏差的，每项得</w:t>
            </w:r>
            <w:r>
              <w:rPr>
                <w:rFonts w:hint="eastAsia" w:ascii="宋体" w:hAnsi="宋体" w:cs="宋体"/>
                <w:b w:val="0"/>
                <w:bCs w:val="0"/>
                <w:i w:val="0"/>
                <w:iCs w:val="0"/>
                <w:color w:val="000000"/>
                <w:spacing w:val="0"/>
                <w:w w:val="100"/>
                <w:sz w:val="24"/>
                <w:szCs w:val="24"/>
                <w:highlight w:val="yellow"/>
                <w:vertAlign w:val="baseline"/>
                <w:lang w:val="en-US" w:eastAsia="zh-CN"/>
              </w:rPr>
              <w:t>2</w:t>
            </w:r>
            <w:r>
              <w:rPr>
                <w:rFonts w:hint="eastAsia" w:ascii="宋体" w:hAnsi="宋体" w:eastAsia="宋体" w:cs="宋体"/>
                <w:b w:val="0"/>
                <w:bCs w:val="0"/>
                <w:i w:val="0"/>
                <w:iCs w:val="0"/>
                <w:color w:val="000000"/>
                <w:spacing w:val="0"/>
                <w:w w:val="100"/>
                <w:sz w:val="24"/>
                <w:szCs w:val="24"/>
                <w:highlight w:val="yellow"/>
                <w:vertAlign w:val="baseline"/>
              </w:rPr>
              <w:t>分；提出的制度方案简单的，每项得</w:t>
            </w:r>
            <w:r>
              <w:rPr>
                <w:rFonts w:hint="eastAsia" w:ascii="宋体" w:hAnsi="宋体" w:cs="宋体"/>
                <w:b w:val="0"/>
                <w:bCs w:val="0"/>
                <w:i w:val="0"/>
                <w:iCs w:val="0"/>
                <w:color w:val="000000"/>
                <w:spacing w:val="0"/>
                <w:w w:val="100"/>
                <w:sz w:val="24"/>
                <w:szCs w:val="24"/>
                <w:highlight w:val="yellow"/>
                <w:vertAlign w:val="baseline"/>
                <w:lang w:val="en-US" w:eastAsia="zh-CN"/>
              </w:rPr>
              <w:t>1</w:t>
            </w:r>
            <w:r>
              <w:rPr>
                <w:rFonts w:hint="eastAsia" w:ascii="宋体" w:hAnsi="宋体" w:eastAsia="宋体" w:cs="宋体"/>
                <w:b w:val="0"/>
                <w:bCs w:val="0"/>
                <w:i w:val="0"/>
                <w:iCs w:val="0"/>
                <w:color w:val="000000"/>
                <w:spacing w:val="0"/>
                <w:w w:val="100"/>
                <w:sz w:val="24"/>
                <w:szCs w:val="24"/>
                <w:highlight w:val="yellow"/>
                <w:vertAlign w:val="baseline"/>
              </w:rPr>
              <w:t>分；未提供的不得分。</w:t>
            </w:r>
          </w:p>
        </w:tc>
      </w:tr>
      <w:tr w14:paraId="014EE9C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0E557B37">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highlight w:val="yellow"/>
                <w:vertAlign w:val="baseline"/>
                <w:lang w:val="en-US" w:eastAsia="zh-CN"/>
              </w:rPr>
            </w:pPr>
            <w:r>
              <w:rPr>
                <w:rFonts w:hint="eastAsia" w:ascii="宋体" w:hAnsi="宋体" w:eastAsia="宋体" w:cs="宋体"/>
                <w:b w:val="0"/>
                <w:bCs w:val="0"/>
                <w:i w:val="0"/>
                <w:iCs w:val="0"/>
                <w:color w:val="000000"/>
                <w:spacing w:val="0"/>
                <w:w w:val="100"/>
                <w:sz w:val="24"/>
                <w:szCs w:val="24"/>
                <w:highlight w:val="yellow"/>
                <w:vertAlign w:val="baseline"/>
              </w:rPr>
              <w:t>消防档案管理</w:t>
            </w:r>
            <w:r>
              <w:rPr>
                <w:rFonts w:hint="eastAsia" w:ascii="宋体" w:hAnsi="宋体" w:cs="宋体"/>
                <w:b w:val="0"/>
                <w:bCs w:val="0"/>
                <w:i w:val="0"/>
                <w:iCs w:val="0"/>
                <w:color w:val="000000"/>
                <w:spacing w:val="0"/>
                <w:w w:val="100"/>
                <w:sz w:val="24"/>
                <w:szCs w:val="24"/>
                <w:highlight w:val="yellow"/>
                <w:vertAlign w:val="baseline"/>
                <w:lang w:val="en-US" w:eastAsia="zh-CN"/>
              </w:rPr>
              <w:t>方案</w:t>
            </w:r>
          </w:p>
        </w:tc>
        <w:tc>
          <w:tcPr>
            <w:tcW w:w="660" w:type="dxa"/>
            <w:noWrap w:val="0"/>
            <w:vAlign w:val="center"/>
          </w:tcPr>
          <w:p w14:paraId="2D6FE1B6">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0503330B">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根据投标人针对消防档案管理的规章制度进行评议，提出的制度方案详细完整合理的，每项得</w:t>
            </w:r>
            <w:r>
              <w:rPr>
                <w:rFonts w:hint="eastAsia" w:ascii="宋体" w:hAnsi="宋体" w:cs="宋体"/>
                <w:b w:val="0"/>
                <w:bCs w:val="0"/>
                <w:i w:val="0"/>
                <w:iCs w:val="0"/>
                <w:color w:val="000000"/>
                <w:spacing w:val="0"/>
                <w:w w:val="100"/>
                <w:sz w:val="24"/>
                <w:szCs w:val="24"/>
                <w:highlight w:val="yellow"/>
                <w:vertAlign w:val="baseline"/>
                <w:lang w:val="en-US" w:eastAsia="zh-CN"/>
              </w:rPr>
              <w:t>3</w:t>
            </w:r>
            <w:r>
              <w:rPr>
                <w:rFonts w:hint="eastAsia" w:ascii="宋体" w:hAnsi="宋体" w:eastAsia="宋体" w:cs="宋体"/>
                <w:b w:val="0"/>
                <w:bCs w:val="0"/>
                <w:i w:val="0"/>
                <w:iCs w:val="0"/>
                <w:color w:val="000000"/>
                <w:spacing w:val="0"/>
                <w:w w:val="100"/>
                <w:sz w:val="24"/>
                <w:szCs w:val="24"/>
                <w:highlight w:val="yellow"/>
                <w:vertAlign w:val="baseline"/>
              </w:rPr>
              <w:t>分；提出的制度方案基本完整、但内容出现部分偏差的，每项得</w:t>
            </w:r>
            <w:r>
              <w:rPr>
                <w:rFonts w:hint="eastAsia" w:ascii="宋体" w:hAnsi="宋体" w:cs="宋体"/>
                <w:b w:val="0"/>
                <w:bCs w:val="0"/>
                <w:i w:val="0"/>
                <w:iCs w:val="0"/>
                <w:color w:val="000000"/>
                <w:spacing w:val="0"/>
                <w:w w:val="100"/>
                <w:sz w:val="24"/>
                <w:szCs w:val="24"/>
                <w:highlight w:val="yellow"/>
                <w:vertAlign w:val="baseline"/>
                <w:lang w:val="en-US" w:eastAsia="zh-CN"/>
              </w:rPr>
              <w:t>2</w:t>
            </w:r>
            <w:r>
              <w:rPr>
                <w:rFonts w:hint="eastAsia" w:ascii="宋体" w:hAnsi="宋体" w:eastAsia="宋体" w:cs="宋体"/>
                <w:b w:val="0"/>
                <w:bCs w:val="0"/>
                <w:i w:val="0"/>
                <w:iCs w:val="0"/>
                <w:color w:val="000000"/>
                <w:spacing w:val="0"/>
                <w:w w:val="100"/>
                <w:sz w:val="24"/>
                <w:szCs w:val="24"/>
                <w:highlight w:val="yellow"/>
                <w:vertAlign w:val="baseline"/>
              </w:rPr>
              <w:t>分；提出的制度方案简单的，每项得</w:t>
            </w:r>
            <w:r>
              <w:rPr>
                <w:rFonts w:hint="eastAsia" w:ascii="宋体" w:hAnsi="宋体" w:cs="宋体"/>
                <w:b w:val="0"/>
                <w:bCs w:val="0"/>
                <w:i w:val="0"/>
                <w:iCs w:val="0"/>
                <w:color w:val="000000"/>
                <w:spacing w:val="0"/>
                <w:w w:val="100"/>
                <w:sz w:val="24"/>
                <w:szCs w:val="24"/>
                <w:highlight w:val="yellow"/>
                <w:vertAlign w:val="baseline"/>
                <w:lang w:val="en-US" w:eastAsia="zh-CN"/>
              </w:rPr>
              <w:t>1</w:t>
            </w:r>
            <w:r>
              <w:rPr>
                <w:rFonts w:hint="eastAsia" w:ascii="宋体" w:hAnsi="宋体" w:eastAsia="宋体" w:cs="宋体"/>
                <w:b w:val="0"/>
                <w:bCs w:val="0"/>
                <w:i w:val="0"/>
                <w:iCs w:val="0"/>
                <w:color w:val="000000"/>
                <w:spacing w:val="0"/>
                <w:w w:val="100"/>
                <w:sz w:val="24"/>
                <w:szCs w:val="24"/>
                <w:highlight w:val="yellow"/>
                <w:vertAlign w:val="baseline"/>
              </w:rPr>
              <w:t>分；未提供的不得分。</w:t>
            </w:r>
          </w:p>
        </w:tc>
      </w:tr>
      <w:tr w14:paraId="42A05FBA">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0A9B7C62">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eastAsia="宋体" w:cs="宋体"/>
                <w:color w:val="auto"/>
                <w:sz w:val="24"/>
                <w:szCs w:val="24"/>
                <w:highlight w:val="yellow"/>
                <w:lang w:val="en-US"/>
              </w:rPr>
            </w:pPr>
            <w:r>
              <w:rPr>
                <w:rFonts w:hint="eastAsia" w:ascii="宋体" w:hAnsi="宋体" w:eastAsia="宋体" w:cs="宋体"/>
                <w:b w:val="0"/>
                <w:bCs w:val="0"/>
                <w:i w:val="0"/>
                <w:iCs w:val="0"/>
                <w:color w:val="000000"/>
                <w:spacing w:val="0"/>
                <w:w w:val="100"/>
                <w:sz w:val="24"/>
                <w:szCs w:val="24"/>
                <w:highlight w:val="yellow"/>
                <w:vertAlign w:val="baseline"/>
              </w:rPr>
              <w:t>应急处置预案</w:t>
            </w:r>
          </w:p>
        </w:tc>
        <w:tc>
          <w:tcPr>
            <w:tcW w:w="660" w:type="dxa"/>
            <w:noWrap w:val="0"/>
            <w:vAlign w:val="center"/>
          </w:tcPr>
          <w:p w14:paraId="7524E753">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yellow"/>
                <w:lang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2D8A3C5C">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color w:val="auto"/>
                <w:sz w:val="24"/>
                <w:szCs w:val="24"/>
                <w:highlight w:val="yellow"/>
              </w:rPr>
            </w:pPr>
            <w:r>
              <w:rPr>
                <w:rFonts w:hint="eastAsia" w:ascii="宋体" w:hAnsi="宋体" w:eastAsia="宋体" w:cs="宋体"/>
                <w:b w:val="0"/>
                <w:bCs w:val="0"/>
                <w:i w:val="0"/>
                <w:iCs w:val="0"/>
                <w:color w:val="000000"/>
                <w:spacing w:val="0"/>
                <w:w w:val="100"/>
                <w:sz w:val="24"/>
                <w:szCs w:val="24"/>
                <w:highlight w:val="yellow"/>
                <w:vertAlign w:val="baseline"/>
              </w:rPr>
              <w:t>根据投标人针对本项目制定的应急处理预案（A应急物资储备、B应急力量准备、C应急预案体系（应包含相关部门检查、设备设施损坏、灾害消防等方面）、D事故风险性分析、E预警及信息报告、F应急处置流程）的合理性、可操作性由评委会进行评分，上述6项内容全部涉及到位且针对性提出的实施方案详细完整合理的，每项得0.5分：上述内容全部涉及、针对性提出的实施方案基本完整、但内容出现部分偏差的，每项得0.3分；上述内容未全部涉及、针对性提出的实施方案简单的，每项得0.1分；未提供的不得分。</w:t>
            </w:r>
          </w:p>
        </w:tc>
      </w:tr>
      <w:tr w14:paraId="116F25D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76A543F2">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eastAsia="宋体" w:cs="宋体"/>
                <w:color w:val="auto"/>
                <w:sz w:val="24"/>
                <w:szCs w:val="24"/>
                <w:highlight w:val="yellow"/>
                <w:lang w:val="en-US" w:eastAsia="zh-CN"/>
              </w:rPr>
            </w:pPr>
            <w:r>
              <w:rPr>
                <w:rFonts w:hint="eastAsia" w:ascii="宋体" w:hAnsi="宋体" w:eastAsia="宋体" w:cs="宋体"/>
                <w:b w:val="0"/>
                <w:bCs w:val="0"/>
                <w:i w:val="0"/>
                <w:iCs w:val="0"/>
                <w:color w:val="000000"/>
                <w:spacing w:val="0"/>
                <w:w w:val="100"/>
                <w:sz w:val="24"/>
                <w:szCs w:val="24"/>
                <w:highlight w:val="yellow"/>
                <w:vertAlign w:val="baseline"/>
              </w:rPr>
              <w:t>消防培训方案</w:t>
            </w:r>
          </w:p>
        </w:tc>
        <w:tc>
          <w:tcPr>
            <w:tcW w:w="660" w:type="dxa"/>
            <w:noWrap w:val="0"/>
            <w:vAlign w:val="center"/>
          </w:tcPr>
          <w:p w14:paraId="131905CA">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yellow"/>
                <w:lang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47E44276">
            <w:pPr>
              <w:keepNext w:val="0"/>
              <w:keepLines w:val="0"/>
              <w:pageBreakBefore w:val="0"/>
              <w:kinsoku/>
              <w:wordWrap/>
              <w:overflowPunct/>
              <w:topLinePunct w:val="0"/>
              <w:autoSpaceDE/>
              <w:autoSpaceDN/>
              <w:bidi w:val="0"/>
              <w:adjustRightInd/>
              <w:snapToGrid/>
              <w:spacing w:line="420" w:lineRule="exact"/>
              <w:textAlignment w:val="auto"/>
              <w:rPr>
                <w:rFonts w:hint="default" w:ascii="宋体" w:hAnsi="宋体" w:eastAsia="宋体" w:cs="宋体"/>
                <w:color w:val="auto"/>
                <w:sz w:val="24"/>
                <w:szCs w:val="24"/>
                <w:highlight w:val="yellow"/>
                <w:lang w:val="en-US" w:eastAsia="zh-CN"/>
              </w:rPr>
            </w:pPr>
            <w:r>
              <w:rPr>
                <w:rFonts w:hint="eastAsia" w:ascii="宋体" w:hAnsi="宋体" w:eastAsia="宋体" w:cs="宋体"/>
                <w:b w:val="0"/>
                <w:bCs w:val="0"/>
                <w:i w:val="0"/>
                <w:iCs w:val="0"/>
                <w:color w:val="000000"/>
                <w:spacing w:val="0"/>
                <w:w w:val="100"/>
                <w:sz w:val="24"/>
                <w:szCs w:val="24"/>
                <w:highlight w:val="yellow"/>
                <w:vertAlign w:val="baseline"/>
              </w:rPr>
              <w:t>根据投标人提供的应用培训和管理技术培训方案的（A课程内容、B培训教材、C师资力量、D培训设备、E培训时间安排）等内容，由评委进行评议。上述5项内容全部涉及到位且针对性提出的实施方案详细完整合理的，每项得0.6分：上述内容全部涉及、针对性提出的实施方案基本完整、但内容出现部分偏差的，每项得0.4分；上述内容未全部涉及、针对性提出的实施方案简单的，每项得0.2分；未提供的不得分。</w:t>
            </w:r>
          </w:p>
        </w:tc>
      </w:tr>
      <w:tr w14:paraId="399A545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398D034D">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yellow"/>
                <w:lang w:eastAsia="zh-CN"/>
              </w:rPr>
            </w:pPr>
            <w:r>
              <w:rPr>
                <w:rFonts w:hint="eastAsia" w:ascii="宋体" w:hAnsi="宋体" w:eastAsia="宋体" w:cs="宋体"/>
                <w:b w:val="0"/>
                <w:bCs w:val="0"/>
                <w:i w:val="0"/>
                <w:iCs w:val="0"/>
                <w:color w:val="000000"/>
                <w:spacing w:val="0"/>
                <w:w w:val="100"/>
                <w:sz w:val="24"/>
                <w:szCs w:val="24"/>
                <w:highlight w:val="yellow"/>
                <w:vertAlign w:val="baseline"/>
              </w:rPr>
              <w:t>维保质量保障</w:t>
            </w:r>
          </w:p>
        </w:tc>
        <w:tc>
          <w:tcPr>
            <w:tcW w:w="660" w:type="dxa"/>
            <w:noWrap w:val="0"/>
            <w:vAlign w:val="center"/>
          </w:tcPr>
          <w:p w14:paraId="5ED6186F">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1C155317">
            <w:pPr>
              <w:keepNext w:val="0"/>
              <w:keepLines w:val="0"/>
              <w:pageBreakBefore w:val="0"/>
              <w:kinsoku/>
              <w:wordWrap/>
              <w:overflowPunct/>
              <w:topLinePunct w:val="0"/>
              <w:autoSpaceDE/>
              <w:autoSpaceDN/>
              <w:bidi w:val="0"/>
              <w:adjustRightInd/>
              <w:snapToGrid/>
              <w:spacing w:line="420" w:lineRule="exact"/>
              <w:textAlignment w:val="auto"/>
              <w:rPr>
                <w:rFonts w:hint="eastAsia" w:ascii="Calibri" w:hAnsi="Calibri" w:eastAsia="宋体" w:cs="Times New Roman"/>
                <w:sz w:val="24"/>
                <w:szCs w:val="24"/>
                <w:highlight w:val="yellow"/>
              </w:rPr>
            </w:pPr>
            <w:r>
              <w:rPr>
                <w:rFonts w:hint="eastAsia" w:ascii="宋体" w:hAnsi="宋体" w:eastAsia="宋体" w:cs="宋体"/>
                <w:b w:val="0"/>
                <w:bCs w:val="0"/>
                <w:i w:val="0"/>
                <w:iCs w:val="0"/>
                <w:color w:val="000000"/>
                <w:spacing w:val="0"/>
                <w:w w:val="100"/>
                <w:sz w:val="24"/>
                <w:szCs w:val="24"/>
                <w:highlight w:val="yellow"/>
                <w:vertAlign w:val="baseline"/>
              </w:rPr>
              <w:t>根据投标人提供的针对本项目制定的质量保障方案，包括（A服务质量标准、B维修维护记录表、C质量控制方案（至少含检查测试、故障处理、维保人员等质量控制措施））等情况进行评议，上述3项内容全部涉及到位且针对性提出的实施方案详细完整合理的，每项得1分；上述内容全部涉及、针对性提出的实施方案基本完整、但内容出现部分偏差的，每项得0.6分；上述内容未全部涉及、针对性提出的实施方案简单的，每项得0.3分；未提供的不得分。</w:t>
            </w:r>
          </w:p>
        </w:tc>
      </w:tr>
      <w:tr w14:paraId="7ADA70B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7AC68731">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消防检测方案</w:t>
            </w:r>
          </w:p>
        </w:tc>
        <w:tc>
          <w:tcPr>
            <w:tcW w:w="660" w:type="dxa"/>
            <w:noWrap w:val="0"/>
            <w:vAlign w:val="center"/>
          </w:tcPr>
          <w:p w14:paraId="70A79AC1">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047120E2">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根据投标人提供的针对本项目制定的消防设备设施功能检测方案包括（A拟投入检查检测设备清单、B各系统功能检查测试方法、C消防系统相关功能测试总体方案）内容进行评议，上述3项内容全部涉及到位且针对性提出的实施方案详细完整合理的，每项得1分；上述内容全部涉及、针对性提出的实施方案基本完整、但内容出现部分偏差的，每项得0.6分；上述内容未全部涉及、针对性提出的实施方案简单的，每项得0.3分；未提供的不得分。</w:t>
            </w:r>
          </w:p>
        </w:tc>
      </w:tr>
      <w:tr w14:paraId="5609A25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00ED4CB1">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安全防范保障</w:t>
            </w:r>
          </w:p>
        </w:tc>
        <w:tc>
          <w:tcPr>
            <w:tcW w:w="660" w:type="dxa"/>
            <w:noWrap w:val="0"/>
            <w:vAlign w:val="center"/>
          </w:tcPr>
          <w:p w14:paraId="779EA6B3">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0D15DE7F">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根据投标人提供的针对本项目制定的（A维保工作安全防范、B场所安全管理与防范建议方案、C消防设施设备安全防范措施）内容进行评议，上述3项内容全部涉及到位且针对性提出的实施方案详细完整合理的，每项得1分；上述内容全部涉及、针对性提出的实施方案基本完整、但内容出现部分偏差的，每项得0.6分；上述内容未全部涉及、针对性提出的实施方案简单的，每项得0.3分；未提供的不得分。</w:t>
            </w:r>
          </w:p>
        </w:tc>
      </w:tr>
      <w:tr w14:paraId="6158B98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63C6EDFA">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安全提升建议</w:t>
            </w:r>
          </w:p>
        </w:tc>
        <w:tc>
          <w:tcPr>
            <w:tcW w:w="660" w:type="dxa"/>
            <w:noWrap w:val="0"/>
            <w:vAlign w:val="center"/>
          </w:tcPr>
          <w:p w14:paraId="0A2DAF91">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58A5EFBF">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根据投标人提供的针对本项目制定的消防安全工作提升建议内容进行评议，有助于消防安全管理工作的提升建议条款并可适用于本次采购项目最多最优秀的得3分，有助于消防安全管理工作的提升并可适用于本次采购项目的建议条款一般良好的得2分，有助于消防安全管理工作的提升并可适用于本次采购项目的建议条款较少较差的得1分，其他不得分。</w:t>
            </w:r>
          </w:p>
        </w:tc>
      </w:tr>
      <w:tr w14:paraId="4857AB2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7EDC16E6">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组织机构设置</w:t>
            </w:r>
          </w:p>
        </w:tc>
        <w:tc>
          <w:tcPr>
            <w:tcW w:w="660" w:type="dxa"/>
            <w:noWrap w:val="0"/>
            <w:vAlign w:val="center"/>
          </w:tcPr>
          <w:p w14:paraId="10946EFB">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65E85C0C">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根据投标人提供针对本项目的项目总体组织机构资质层级情况：技术负责人1名具备一级注册消防工程师证书且同时具备注册安全工程师证书的得1分；项目负责人1名具备一级注册消防师证书且同时具备机电工程专业一级建造师证书的得1分；维保技术员2名具备一级注册消防工程师证书且同时具备维保检测方向的中级消防设施操作员证书的得1分；提供相关证书复印件、消防服务信息平台有效截图、近六个月（不含提交响应文件的当月）任意月度为其缴交社保的证明等相关证明材料并加盖公章，未提供或提供不全的对应项不得分。</w:t>
            </w:r>
          </w:p>
        </w:tc>
      </w:tr>
      <w:tr w14:paraId="4BE3334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57" w:type="dxa"/>
            <w:noWrap w:val="0"/>
            <w:vAlign w:val="center"/>
          </w:tcPr>
          <w:p w14:paraId="79285326">
            <w:pPr>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售后服务方案</w:t>
            </w:r>
          </w:p>
        </w:tc>
        <w:tc>
          <w:tcPr>
            <w:tcW w:w="660" w:type="dxa"/>
            <w:noWrap w:val="0"/>
            <w:vAlign w:val="center"/>
          </w:tcPr>
          <w:p w14:paraId="3C95A696">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sz w:val="24"/>
                <w:szCs w:val="24"/>
                <w:highlight w:val="yellow"/>
                <w:lang w:val="en-US" w:eastAsia="zh-CN"/>
              </w:rPr>
            </w:pPr>
            <w:r>
              <w:rPr>
                <w:rFonts w:hint="eastAsia" w:ascii="宋体" w:hAnsi="宋体" w:cs="宋体"/>
                <w:color w:val="auto"/>
                <w:sz w:val="24"/>
                <w:szCs w:val="24"/>
                <w:highlight w:val="yellow"/>
                <w:lang w:val="en-US" w:eastAsia="zh-CN"/>
              </w:rPr>
              <w:t>3</w:t>
            </w:r>
          </w:p>
        </w:tc>
        <w:tc>
          <w:tcPr>
            <w:tcW w:w="6705" w:type="dxa"/>
            <w:noWrap w:val="0"/>
            <w:vAlign w:val="center"/>
          </w:tcPr>
          <w:p w14:paraId="4C21BF4C">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highlight w:val="yellow"/>
                <w:vertAlign w:val="baseline"/>
              </w:rPr>
            </w:pPr>
            <w:r>
              <w:rPr>
                <w:rFonts w:hint="eastAsia" w:ascii="宋体" w:hAnsi="宋体" w:eastAsia="宋体" w:cs="宋体"/>
                <w:b w:val="0"/>
                <w:bCs w:val="0"/>
                <w:i w:val="0"/>
                <w:iCs w:val="0"/>
                <w:color w:val="000000"/>
                <w:spacing w:val="0"/>
                <w:w w:val="100"/>
                <w:sz w:val="24"/>
                <w:szCs w:val="24"/>
                <w:highlight w:val="yellow"/>
                <w:vertAlign w:val="baseline"/>
              </w:rPr>
              <w:t>根据投标人提供的售后服务承诺，包含：售后服务内容、故障响应时间、响应方式、质量保证、备品备件等情况，由评标委员会进行评审：完整合理可行性高，清晰阐述以上基本内容同时增加有利于项目实施的方案的得3分；较完整合理可行、仅阐述以上基本内容的得2分；方案简单，未完整提供以上基本内容的得1分；未提供的不得分。</w:t>
            </w:r>
          </w:p>
        </w:tc>
      </w:tr>
      <w:bookmarkEnd w:id="22"/>
    </w:tbl>
    <w:p w14:paraId="17AFAB77">
      <w:pPr>
        <w:pStyle w:val="18"/>
        <w:keepNext w:val="0"/>
        <w:keepLines w:val="0"/>
        <w:pageBreakBefore w:val="0"/>
        <w:widowControl/>
        <w:kinsoku/>
        <w:wordWrap/>
        <w:overflowPunct/>
        <w:topLinePunct w:val="0"/>
        <w:autoSpaceDE/>
        <w:autoSpaceDN/>
        <w:bidi w:val="0"/>
        <w:adjustRightInd/>
        <w:snapToGrid/>
        <w:spacing w:line="420" w:lineRule="exact"/>
        <w:textAlignment w:val="auto"/>
        <w:outlineLvl w:val="3"/>
        <w:rPr>
          <w:rFonts w:hint="eastAsia" w:ascii="宋体" w:hAnsi="宋体" w:eastAsia="宋体" w:cs="宋体"/>
          <w:sz w:val="24"/>
          <w:szCs w:val="24"/>
        </w:rPr>
      </w:pPr>
    </w:p>
    <w:p w14:paraId="35E57E53">
      <w:pPr>
        <w:spacing w:line="400" w:lineRule="exact"/>
        <w:rPr>
          <w:rFonts w:ascii="宋体" w:hAnsi="宋体"/>
          <w:b/>
          <w:bCs/>
          <w:color w:val="auto"/>
          <w:sz w:val="24"/>
          <w:highlight w:val="none"/>
          <w:shd w:val="pct10" w:color="auto" w:fill="FFFFFF"/>
        </w:rPr>
      </w:pPr>
      <w:r>
        <w:rPr>
          <w:rFonts w:hint="eastAsia" w:ascii="宋体" w:hAnsi="宋体"/>
          <w:b/>
          <w:bCs/>
          <w:color w:val="auto"/>
          <w:sz w:val="24"/>
          <w:highlight w:val="none"/>
          <w:shd w:val="pct10" w:color="auto" w:fill="FFFFFF"/>
        </w:rPr>
        <w:t>说明：</w:t>
      </w:r>
    </w:p>
    <w:p w14:paraId="7019EC17">
      <w:pPr>
        <w:spacing w:line="400" w:lineRule="exact"/>
        <w:ind w:firstLine="708" w:firstLineChars="294"/>
        <w:rPr>
          <w:rFonts w:ascii="宋体" w:hAnsi="宋体"/>
          <w:b/>
          <w:bCs/>
          <w:color w:val="auto"/>
          <w:sz w:val="24"/>
          <w:highlight w:val="none"/>
          <w:shd w:val="pct10" w:color="auto" w:fill="FFFFFF"/>
        </w:rPr>
      </w:pPr>
      <w:r>
        <w:rPr>
          <w:rFonts w:hint="eastAsia" w:ascii="宋体" w:hAnsi="宋体"/>
          <w:b/>
          <w:bCs/>
          <w:color w:val="auto"/>
          <w:sz w:val="24"/>
          <w:highlight w:val="none"/>
          <w:shd w:val="pct10" w:color="auto" w:fill="FFFFFF"/>
        </w:rPr>
        <w:t>①、响应人对有要求提供证明材料进行佐证的，响应人应在响应文件中提供佐证材料（在对应处作好标记）予以证明，并在《技术规格和商务偏离表》中备注佐证材料所在页码。</w:t>
      </w:r>
    </w:p>
    <w:p w14:paraId="71C1B03C">
      <w:pPr>
        <w:pStyle w:val="18"/>
        <w:keepNext w:val="0"/>
        <w:keepLines w:val="0"/>
        <w:pageBreakBefore w:val="0"/>
        <w:widowControl/>
        <w:kinsoku/>
        <w:wordWrap/>
        <w:overflowPunct/>
        <w:topLinePunct w:val="0"/>
        <w:autoSpaceDE/>
        <w:autoSpaceDN/>
        <w:bidi w:val="0"/>
        <w:adjustRightInd/>
        <w:snapToGrid/>
        <w:spacing w:line="420" w:lineRule="exact"/>
        <w:textAlignment w:val="auto"/>
        <w:outlineLvl w:val="3"/>
        <w:rPr>
          <w:rFonts w:hint="eastAsia" w:ascii="宋体" w:hAnsi="宋体"/>
          <w:b/>
          <w:bCs/>
          <w:color w:val="auto"/>
          <w:sz w:val="24"/>
          <w:highlight w:val="none"/>
          <w:shd w:val="pct10" w:color="auto" w:fill="FFFFFF"/>
        </w:rPr>
      </w:pPr>
      <w:r>
        <w:rPr>
          <w:rFonts w:hint="eastAsia" w:ascii="宋体" w:hAnsi="宋体"/>
          <w:b/>
          <w:bCs/>
          <w:color w:val="auto"/>
          <w:sz w:val="24"/>
          <w:highlight w:val="none"/>
          <w:shd w:val="pct10" w:color="auto" w:fill="FFFFFF"/>
        </w:rPr>
        <w:t>②、响应文件中《技术规格和商务偏离表》应答内容与响应人提供的佐证材料【如国家行政部门颁发的证书、检测报告、样品（样机，如有）或产品彩页等（佐证材料相互不一致的，以此先后顺序判定，排序在前的优先认定）】不一致时，以响应人提供的佐证材料为判定依据。</w:t>
      </w:r>
    </w:p>
    <w:p w14:paraId="4E12C8DD">
      <w:pPr>
        <w:pStyle w:val="18"/>
        <w:keepNext w:val="0"/>
        <w:keepLines w:val="0"/>
        <w:pageBreakBefore w:val="0"/>
        <w:widowControl/>
        <w:kinsoku/>
        <w:wordWrap/>
        <w:overflowPunct/>
        <w:topLinePunct w:val="0"/>
        <w:autoSpaceDE/>
        <w:autoSpaceDN/>
        <w:bidi w:val="0"/>
        <w:adjustRightInd/>
        <w:snapToGrid/>
        <w:spacing w:line="420" w:lineRule="exact"/>
        <w:textAlignment w:val="auto"/>
        <w:outlineLvl w:val="3"/>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商务部分评分PB 满分为</w:t>
      </w:r>
      <w:r>
        <w:rPr>
          <w:rFonts w:hint="eastAsia" w:ascii="宋体" w:hAnsi="宋体" w:cs="宋体"/>
          <w:color w:val="auto"/>
          <w:sz w:val="24"/>
          <w:szCs w:val="24"/>
          <w:highlight w:val="none"/>
          <w:u w:val="none"/>
          <w:lang w:val="en-US" w:eastAsia="zh-CN"/>
        </w:rPr>
        <w:t>15</w:t>
      </w:r>
      <w:r>
        <w:rPr>
          <w:rFonts w:hint="eastAsia" w:ascii="宋体" w:hAnsi="宋体" w:eastAsia="宋体" w:cs="宋体"/>
          <w:color w:val="auto"/>
          <w:sz w:val="24"/>
          <w:szCs w:val="24"/>
          <w:highlight w:val="none"/>
          <w:u w:val="none"/>
        </w:rPr>
        <w:t>分</w:t>
      </w:r>
    </w:p>
    <w:tbl>
      <w:tblPr>
        <w:tblStyle w:val="13"/>
        <w:tblW w:w="0" w:type="auto"/>
        <w:tblInd w:w="-159"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66"/>
        <w:gridCol w:w="576"/>
        <w:gridCol w:w="7239"/>
      </w:tblGrid>
      <w:tr w14:paraId="32CCB3E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71" w:type="dxa"/>
            <w:noWrap w:val="0"/>
            <w:vAlign w:val="center"/>
          </w:tcPr>
          <w:p w14:paraId="4D12DEBD">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项目</w:t>
            </w:r>
          </w:p>
        </w:tc>
        <w:tc>
          <w:tcPr>
            <w:tcW w:w="507" w:type="dxa"/>
            <w:noWrap w:val="0"/>
            <w:vAlign w:val="center"/>
          </w:tcPr>
          <w:p w14:paraId="688FC471">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分值</w:t>
            </w:r>
          </w:p>
        </w:tc>
        <w:tc>
          <w:tcPr>
            <w:tcW w:w="7303" w:type="dxa"/>
            <w:noWrap w:val="0"/>
            <w:vAlign w:val="center"/>
          </w:tcPr>
          <w:p w14:paraId="60FD6D3E">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color w:val="auto"/>
                <w:sz w:val="24"/>
                <w:szCs w:val="24"/>
                <w:highlight w:val="none"/>
                <w:u w:val="none"/>
              </w:rPr>
              <w:t>描述</w:t>
            </w:r>
          </w:p>
        </w:tc>
      </w:tr>
      <w:tr w14:paraId="369B43C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71" w:type="dxa"/>
            <w:noWrap w:val="0"/>
            <w:vAlign w:val="center"/>
          </w:tcPr>
          <w:p w14:paraId="68EAC10C">
            <w:pPr>
              <w:pStyle w:val="3"/>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b w:val="0"/>
                <w:bCs w:val="0"/>
                <w:i w:val="0"/>
                <w:iCs w:val="0"/>
                <w:color w:val="000000"/>
                <w:spacing w:val="0"/>
                <w:w w:val="100"/>
                <w:sz w:val="24"/>
                <w:szCs w:val="24"/>
                <w:vertAlign w:val="baseline"/>
              </w:rPr>
              <w:t>基础业绩证明</w:t>
            </w:r>
          </w:p>
        </w:tc>
        <w:tc>
          <w:tcPr>
            <w:tcW w:w="507" w:type="dxa"/>
            <w:noWrap w:val="0"/>
            <w:vAlign w:val="center"/>
          </w:tcPr>
          <w:p w14:paraId="0CA6E401">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eastAsia="宋体" w:cs="宋体"/>
                <w:color w:val="auto"/>
                <w:sz w:val="24"/>
                <w:szCs w:val="24"/>
                <w:highlight w:val="none"/>
                <w:u w:val="none"/>
                <w:lang w:val="en-US" w:eastAsia="zh-CN"/>
              </w:rPr>
            </w:pPr>
            <w:r>
              <w:rPr>
                <w:rFonts w:hint="eastAsia" w:ascii="宋体" w:hAnsi="宋体" w:cs="宋体"/>
                <w:color w:val="auto"/>
                <w:kern w:val="0"/>
                <w:sz w:val="24"/>
                <w:szCs w:val="24"/>
                <w:highlight w:val="none"/>
                <w:u w:val="none"/>
                <w:lang w:val="en-US" w:eastAsia="zh-CN"/>
              </w:rPr>
              <w:t>1.5</w:t>
            </w:r>
          </w:p>
        </w:tc>
        <w:tc>
          <w:tcPr>
            <w:tcW w:w="7303" w:type="dxa"/>
            <w:noWrap w:val="0"/>
            <w:vAlign w:val="top"/>
          </w:tcPr>
          <w:p w14:paraId="163BBE48">
            <w:pPr>
              <w:pStyle w:val="10"/>
              <w:keepNext w:val="0"/>
              <w:keepLines w:val="0"/>
              <w:pageBreakBefore w:val="0"/>
              <w:widowControl/>
              <w:suppressLineNumbers w:val="0"/>
              <w:kinsoku/>
              <w:wordWrap/>
              <w:overflowPunct/>
              <w:topLinePunct w:val="0"/>
              <w:autoSpaceDE/>
              <w:autoSpaceDN/>
              <w:bidi w:val="0"/>
              <w:adjustRightInd/>
              <w:snapToGrid/>
              <w:spacing w:before="0" w:beforeAutospacing="0" w:after="157" w:afterLines="50" w:afterAutospacing="0" w:line="276" w:lineRule="auto"/>
              <w:ind w:left="63" w:leftChars="30" w:right="63" w:rightChars="30"/>
              <w:jc w:val="left"/>
              <w:textAlignment w:val="auto"/>
              <w:rPr>
                <w:rFonts w:hint="eastAsia" w:ascii="宋体" w:hAnsi="宋体" w:eastAsia="宋体" w:cs="宋体"/>
                <w:color w:val="auto"/>
                <w:sz w:val="24"/>
                <w:szCs w:val="24"/>
                <w:highlight w:val="none"/>
                <w:u w:val="none"/>
              </w:rPr>
            </w:pPr>
            <w:r>
              <w:rPr>
                <w:rFonts w:hint="eastAsia" w:ascii="宋体" w:hAnsi="宋体" w:eastAsia="宋体" w:cs="宋体"/>
                <w:b w:val="0"/>
                <w:bCs w:val="0"/>
                <w:i w:val="0"/>
                <w:iCs w:val="0"/>
                <w:color w:val="000000"/>
                <w:spacing w:val="0"/>
                <w:w w:val="100"/>
                <w:sz w:val="24"/>
                <w:szCs w:val="24"/>
                <w:vertAlign w:val="baseline"/>
              </w:rPr>
              <w:t>根据投标人提交2021年迄今承接的同类型规模的消防维保服务项目的业绩（项目总面积20万㎡以上），每提供一项得</w:t>
            </w:r>
            <w:r>
              <w:rPr>
                <w:rFonts w:hint="eastAsia" w:ascii="宋体" w:hAnsi="宋体" w:eastAsia="宋体" w:cs="宋体"/>
                <w:b w:val="0"/>
                <w:bCs w:val="0"/>
                <w:i w:val="0"/>
                <w:iCs w:val="0"/>
                <w:color w:val="000000"/>
                <w:spacing w:val="0"/>
                <w:w w:val="100"/>
                <w:sz w:val="24"/>
                <w:szCs w:val="24"/>
                <w:vertAlign w:val="baseline"/>
                <w:lang w:val="en-US" w:eastAsia="zh-CN"/>
              </w:rPr>
              <w:t>0.5</w:t>
            </w:r>
            <w:r>
              <w:rPr>
                <w:rFonts w:hint="eastAsia" w:ascii="宋体" w:hAnsi="宋体" w:eastAsia="宋体" w:cs="宋体"/>
                <w:b w:val="0"/>
                <w:bCs w:val="0"/>
                <w:i w:val="0"/>
                <w:iCs w:val="0"/>
                <w:color w:val="000000"/>
                <w:spacing w:val="0"/>
                <w:w w:val="100"/>
                <w:sz w:val="24"/>
                <w:szCs w:val="24"/>
                <w:vertAlign w:val="baseline"/>
              </w:rPr>
              <w:t>分，最高</w:t>
            </w:r>
            <w:r>
              <w:rPr>
                <w:rFonts w:hint="eastAsia" w:ascii="宋体" w:hAnsi="宋体" w:eastAsia="宋体" w:cs="宋体"/>
                <w:b w:val="0"/>
                <w:bCs w:val="0"/>
                <w:i w:val="0"/>
                <w:iCs w:val="0"/>
                <w:color w:val="000000"/>
                <w:spacing w:val="0"/>
                <w:w w:val="100"/>
                <w:sz w:val="24"/>
                <w:szCs w:val="24"/>
                <w:vertAlign w:val="baseline"/>
                <w:lang w:val="en-US" w:eastAsia="zh-CN"/>
              </w:rPr>
              <w:t>1.5</w:t>
            </w:r>
            <w:r>
              <w:rPr>
                <w:rFonts w:hint="eastAsia" w:ascii="宋体" w:hAnsi="宋体" w:eastAsia="宋体" w:cs="宋体"/>
                <w:b w:val="0"/>
                <w:bCs w:val="0"/>
                <w:i w:val="0"/>
                <w:iCs w:val="0"/>
                <w:color w:val="000000"/>
                <w:spacing w:val="0"/>
                <w:w w:val="100"/>
                <w:sz w:val="24"/>
                <w:szCs w:val="24"/>
                <w:vertAlign w:val="baseline"/>
              </w:rPr>
              <w:t>分。投标人须提供该业绩项目的合同文本以及能够证明该业绩项目已经采购单位验收合格的相关证明文件扫描件，并罗列业绩清单（业绩认定时间以合同签订时间为准）。未能提供业绩的或业绩资料提供不齐全，不得分。注：已履行完合同的项目在本评分项方可计分。本评分项与商务评分项“服务满意度”所涉及的项目不得重复，否则该项目不得分。同一采购人的多个不同合同文本只计一个项目，不得累加计</w:t>
            </w:r>
            <w:r>
              <w:rPr>
                <w:rFonts w:hint="eastAsia" w:cs="宋体"/>
                <w:b w:val="0"/>
                <w:bCs w:val="0"/>
                <w:i w:val="0"/>
                <w:iCs w:val="0"/>
                <w:color w:val="000000"/>
                <w:spacing w:val="0"/>
                <w:w w:val="100"/>
                <w:sz w:val="24"/>
                <w:szCs w:val="24"/>
                <w:vertAlign w:val="baseline"/>
                <w:lang w:val="en-US" w:eastAsia="zh-CN"/>
              </w:rPr>
              <w:t>加分。</w:t>
            </w:r>
          </w:p>
        </w:tc>
      </w:tr>
      <w:tr w14:paraId="450A11E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71" w:type="dxa"/>
            <w:noWrap w:val="0"/>
            <w:vAlign w:val="center"/>
          </w:tcPr>
          <w:p w14:paraId="3CB9D643">
            <w:pPr>
              <w:pStyle w:val="3"/>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sz w:val="24"/>
                <w:szCs w:val="24"/>
                <w:highlight w:val="none"/>
                <w:u w:val="none"/>
              </w:rPr>
            </w:pPr>
            <w:r>
              <w:rPr>
                <w:rFonts w:hint="eastAsia" w:ascii="宋体" w:hAnsi="宋体" w:eastAsia="宋体" w:cs="宋体"/>
                <w:b w:val="0"/>
                <w:bCs w:val="0"/>
                <w:i w:val="0"/>
                <w:iCs w:val="0"/>
                <w:color w:val="000000"/>
                <w:spacing w:val="0"/>
                <w:w w:val="100"/>
                <w:sz w:val="24"/>
                <w:szCs w:val="24"/>
                <w:vertAlign w:val="baseline"/>
              </w:rPr>
              <w:t>客户服务满意度</w:t>
            </w:r>
          </w:p>
        </w:tc>
        <w:tc>
          <w:tcPr>
            <w:tcW w:w="507" w:type="dxa"/>
            <w:noWrap w:val="0"/>
            <w:vAlign w:val="center"/>
          </w:tcPr>
          <w:p w14:paraId="45C6BC91">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eastAsia="宋体" w:cs="宋体"/>
                <w:color w:val="auto"/>
                <w:sz w:val="24"/>
                <w:szCs w:val="24"/>
                <w:highlight w:val="none"/>
                <w:u w:val="none"/>
                <w:lang w:val="en-US"/>
              </w:rPr>
            </w:pPr>
            <w:r>
              <w:rPr>
                <w:rFonts w:hint="eastAsia" w:ascii="宋体" w:hAnsi="宋体" w:cs="宋体"/>
                <w:color w:val="auto"/>
                <w:kern w:val="0"/>
                <w:sz w:val="24"/>
                <w:szCs w:val="24"/>
                <w:highlight w:val="none"/>
                <w:u w:val="none"/>
                <w:lang w:val="en-US" w:eastAsia="zh-CN"/>
              </w:rPr>
              <w:t>1.5</w:t>
            </w:r>
          </w:p>
        </w:tc>
        <w:tc>
          <w:tcPr>
            <w:tcW w:w="7303" w:type="dxa"/>
            <w:noWrap w:val="0"/>
            <w:vAlign w:val="top"/>
          </w:tcPr>
          <w:p w14:paraId="6BC78295">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vertAlign w:val="baseline"/>
                <w:lang w:eastAsia="zh-CN"/>
              </w:rPr>
            </w:pPr>
            <w:r>
              <w:rPr>
                <w:rFonts w:hint="eastAsia" w:ascii="宋体" w:hAnsi="宋体" w:eastAsia="宋体" w:cs="宋体"/>
                <w:b w:val="0"/>
                <w:bCs w:val="0"/>
                <w:i w:val="0"/>
                <w:iCs w:val="0"/>
                <w:color w:val="000000"/>
                <w:spacing w:val="0"/>
                <w:w w:val="100"/>
                <w:sz w:val="24"/>
                <w:szCs w:val="24"/>
                <w:vertAlign w:val="baseline"/>
              </w:rPr>
              <w:t>根据投标人提交2021年迄今服务过的同类型消防维保服务项目合</w:t>
            </w:r>
          </w:p>
          <w:p w14:paraId="56BE2BEA">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color w:val="auto"/>
                <w:sz w:val="24"/>
                <w:szCs w:val="24"/>
                <w:highlight w:val="none"/>
                <w:u w:val="none"/>
              </w:rPr>
            </w:pPr>
            <w:r>
              <w:rPr>
                <w:rFonts w:hint="eastAsia" w:ascii="宋体" w:hAnsi="宋体" w:eastAsia="宋体" w:cs="宋体"/>
                <w:b w:val="0"/>
                <w:bCs w:val="0"/>
                <w:i w:val="0"/>
                <w:iCs w:val="0"/>
                <w:color w:val="000000"/>
                <w:spacing w:val="0"/>
                <w:w w:val="100"/>
                <w:sz w:val="24"/>
                <w:szCs w:val="24"/>
                <w:vertAlign w:val="baseline"/>
              </w:rPr>
              <w:t>同，提供本项目投标截止时间止由投标人自身所完成的消防维保服务项目满意度评价情况进行评分：投标人得到合同服务单位提供的满意度评价证明的，每提供一份业主单位评价为正面（满意、良好或优秀或合格）的得</w:t>
            </w:r>
            <w:r>
              <w:rPr>
                <w:rFonts w:hint="eastAsia" w:ascii="宋体" w:hAnsi="宋体" w:eastAsia="宋体" w:cs="宋体"/>
                <w:b w:val="0"/>
                <w:bCs w:val="0"/>
                <w:i w:val="0"/>
                <w:iCs w:val="0"/>
                <w:color w:val="000000"/>
                <w:spacing w:val="0"/>
                <w:w w:val="100"/>
                <w:sz w:val="24"/>
                <w:szCs w:val="24"/>
                <w:vertAlign w:val="baseline"/>
                <w:lang w:val="en-US" w:eastAsia="zh-CN"/>
              </w:rPr>
              <w:t>0.5</w:t>
            </w:r>
            <w:r>
              <w:rPr>
                <w:rFonts w:hint="eastAsia" w:ascii="宋体" w:hAnsi="宋体" w:eastAsia="宋体" w:cs="宋体"/>
                <w:b w:val="0"/>
                <w:bCs w:val="0"/>
                <w:i w:val="0"/>
                <w:iCs w:val="0"/>
                <w:color w:val="000000"/>
                <w:spacing w:val="0"/>
                <w:w w:val="100"/>
                <w:sz w:val="24"/>
                <w:szCs w:val="24"/>
                <w:vertAlign w:val="baseline"/>
              </w:rPr>
              <w:t>分，满分</w:t>
            </w:r>
            <w:r>
              <w:rPr>
                <w:rFonts w:hint="eastAsia" w:ascii="宋体" w:hAnsi="宋体" w:eastAsia="宋体" w:cs="宋体"/>
                <w:b w:val="0"/>
                <w:bCs w:val="0"/>
                <w:i w:val="0"/>
                <w:iCs w:val="0"/>
                <w:color w:val="000000"/>
                <w:spacing w:val="0"/>
                <w:w w:val="100"/>
                <w:sz w:val="24"/>
                <w:szCs w:val="24"/>
                <w:vertAlign w:val="baseline"/>
                <w:lang w:val="en-US" w:eastAsia="zh-CN"/>
              </w:rPr>
              <w:t>1.5</w:t>
            </w:r>
            <w:r>
              <w:rPr>
                <w:rFonts w:hint="eastAsia" w:ascii="宋体" w:hAnsi="宋体" w:eastAsia="宋体" w:cs="宋体"/>
                <w:b w:val="0"/>
                <w:bCs w:val="0"/>
                <w:i w:val="0"/>
                <w:iCs w:val="0"/>
                <w:color w:val="000000"/>
                <w:spacing w:val="0"/>
                <w:w w:val="100"/>
                <w:sz w:val="24"/>
                <w:szCs w:val="24"/>
                <w:vertAlign w:val="baseline"/>
              </w:rPr>
              <w:t>分。投标人需提供合同文本扫描件及业主单位加盖公章的满意度评价证明材料扫描件，每份评价明材料提供不全者不得分。提供同一家业主单位出具的多份满意度调查只能算一份。注：已完成项目和正在履约项目在本评分项均可计分。本评分项与商务评分项“企业业绩”所涉及的项目不得重复，否则该项目不得分。同一采购人的多个不同合同文本只计一个项目，不得累加计分。</w:t>
            </w:r>
          </w:p>
        </w:tc>
      </w:tr>
      <w:tr w14:paraId="0EEBAFA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71" w:type="dxa"/>
            <w:noWrap w:val="0"/>
            <w:vAlign w:val="center"/>
          </w:tcPr>
          <w:p w14:paraId="11A472A6">
            <w:pPr>
              <w:pStyle w:val="3"/>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color w:val="auto"/>
                <w:kern w:val="0"/>
                <w:sz w:val="24"/>
                <w:szCs w:val="24"/>
                <w:highlight w:val="none"/>
                <w:u w:val="none"/>
                <w:lang w:val="en-US" w:eastAsia="zh-CN" w:bidi="ar"/>
              </w:rPr>
            </w:pPr>
            <w:r>
              <w:rPr>
                <w:rFonts w:hint="eastAsia" w:ascii="宋体" w:hAnsi="宋体" w:eastAsia="宋体" w:cs="宋体"/>
                <w:b w:val="0"/>
                <w:bCs w:val="0"/>
                <w:i w:val="0"/>
                <w:iCs w:val="0"/>
                <w:color w:val="000000"/>
                <w:spacing w:val="0"/>
                <w:w w:val="100"/>
                <w:sz w:val="24"/>
                <w:szCs w:val="24"/>
                <w:vertAlign w:val="baseline"/>
              </w:rPr>
              <w:t>管理体系证书</w:t>
            </w:r>
          </w:p>
        </w:tc>
        <w:tc>
          <w:tcPr>
            <w:tcW w:w="507" w:type="dxa"/>
            <w:noWrap w:val="0"/>
            <w:vAlign w:val="center"/>
          </w:tcPr>
          <w:p w14:paraId="0B26BF0E">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kern w:val="0"/>
                <w:sz w:val="24"/>
                <w:szCs w:val="24"/>
                <w:highlight w:val="none"/>
                <w:u w:val="none"/>
                <w:lang w:val="en-US" w:eastAsia="zh-CN"/>
              </w:rPr>
            </w:pPr>
            <w:r>
              <w:rPr>
                <w:rFonts w:hint="eastAsia" w:ascii="宋体" w:hAnsi="宋体" w:cs="宋体"/>
                <w:color w:val="auto"/>
                <w:kern w:val="0"/>
                <w:sz w:val="24"/>
                <w:szCs w:val="24"/>
                <w:highlight w:val="none"/>
                <w:u w:val="none"/>
                <w:lang w:val="en-US" w:eastAsia="zh-CN"/>
              </w:rPr>
              <w:t>1.5</w:t>
            </w:r>
          </w:p>
        </w:tc>
        <w:tc>
          <w:tcPr>
            <w:tcW w:w="7303" w:type="dxa"/>
            <w:noWrap w:val="0"/>
            <w:vAlign w:val="top"/>
          </w:tcPr>
          <w:p w14:paraId="0B55310F">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color w:val="auto"/>
                <w:kern w:val="0"/>
                <w:sz w:val="24"/>
                <w:szCs w:val="24"/>
                <w:highlight w:val="none"/>
                <w:u w:val="none"/>
                <w:lang w:val="en-US" w:eastAsia="zh-CN" w:bidi="ar"/>
              </w:rPr>
            </w:pPr>
            <w:r>
              <w:rPr>
                <w:rFonts w:hint="eastAsia" w:ascii="宋体" w:hAnsi="宋体" w:eastAsia="宋体" w:cs="宋体"/>
                <w:b w:val="0"/>
                <w:bCs w:val="0"/>
                <w:i w:val="0"/>
                <w:iCs w:val="0"/>
                <w:color w:val="000000"/>
                <w:spacing w:val="0"/>
                <w:w w:val="100"/>
                <w:sz w:val="24"/>
                <w:szCs w:val="24"/>
                <w:vertAlign w:val="baseline"/>
              </w:rPr>
              <w:t>投标人获得质量管理体系、环境管理体系、职业健康安全管理体系且在有效期内的，每提供一项得</w:t>
            </w:r>
            <w:r>
              <w:rPr>
                <w:rFonts w:hint="eastAsia" w:ascii="宋体" w:hAnsi="宋体" w:eastAsia="宋体" w:cs="宋体"/>
                <w:b w:val="0"/>
                <w:bCs w:val="0"/>
                <w:i w:val="0"/>
                <w:iCs w:val="0"/>
                <w:color w:val="000000"/>
                <w:spacing w:val="0"/>
                <w:w w:val="100"/>
                <w:sz w:val="24"/>
                <w:szCs w:val="24"/>
                <w:vertAlign w:val="baseline"/>
                <w:lang w:val="en-US" w:eastAsia="zh-CN"/>
              </w:rPr>
              <w:t>0.5</w:t>
            </w:r>
            <w:r>
              <w:rPr>
                <w:rFonts w:hint="eastAsia" w:ascii="宋体" w:hAnsi="宋体" w:eastAsia="宋体" w:cs="宋体"/>
                <w:b w:val="0"/>
                <w:bCs w:val="0"/>
                <w:i w:val="0"/>
                <w:iCs w:val="0"/>
                <w:color w:val="000000"/>
                <w:spacing w:val="0"/>
                <w:w w:val="100"/>
                <w:sz w:val="24"/>
                <w:szCs w:val="24"/>
                <w:vertAlign w:val="baseline"/>
              </w:rPr>
              <w:t>分，满分</w:t>
            </w:r>
            <w:r>
              <w:rPr>
                <w:rFonts w:hint="eastAsia" w:ascii="宋体" w:hAnsi="宋体" w:eastAsia="宋体" w:cs="宋体"/>
                <w:b w:val="0"/>
                <w:bCs w:val="0"/>
                <w:i w:val="0"/>
                <w:iCs w:val="0"/>
                <w:color w:val="000000"/>
                <w:spacing w:val="0"/>
                <w:w w:val="100"/>
                <w:sz w:val="24"/>
                <w:szCs w:val="24"/>
                <w:vertAlign w:val="baseline"/>
                <w:lang w:val="en-US" w:eastAsia="zh-CN"/>
              </w:rPr>
              <w:t>1.5</w:t>
            </w:r>
            <w:r>
              <w:rPr>
                <w:rFonts w:hint="eastAsia" w:ascii="宋体" w:hAnsi="宋体" w:eastAsia="宋体" w:cs="宋体"/>
                <w:b w:val="0"/>
                <w:bCs w:val="0"/>
                <w:i w:val="0"/>
                <w:iCs w:val="0"/>
                <w:color w:val="000000"/>
                <w:spacing w:val="0"/>
                <w:w w:val="100"/>
                <w:sz w:val="24"/>
                <w:szCs w:val="24"/>
                <w:vertAlign w:val="baseline"/>
              </w:rPr>
              <w:t>分（须提供证书复印件加盖投标人公章，同时提供认证证书复印件及全国认证认可信息公共服务平台（网址：http：//cx.cnca.cn/）查询结果打印件，否则不得分。）</w:t>
            </w:r>
          </w:p>
        </w:tc>
      </w:tr>
      <w:tr w14:paraId="418724B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71" w:type="dxa"/>
            <w:noWrap w:val="0"/>
            <w:vAlign w:val="center"/>
          </w:tcPr>
          <w:p w14:paraId="55323EB4">
            <w:pPr>
              <w:pStyle w:val="3"/>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vertAlign w:val="baseline"/>
              </w:rPr>
            </w:pPr>
            <w:r>
              <w:rPr>
                <w:rFonts w:hint="eastAsia" w:ascii="宋体" w:hAnsi="宋体" w:eastAsia="宋体" w:cs="宋体"/>
                <w:b w:val="0"/>
                <w:bCs w:val="0"/>
                <w:i w:val="0"/>
                <w:iCs w:val="0"/>
                <w:color w:val="000000"/>
                <w:spacing w:val="0"/>
                <w:w w:val="100"/>
                <w:sz w:val="24"/>
                <w:szCs w:val="24"/>
                <w:vertAlign w:val="baseline"/>
              </w:rPr>
              <w:t>供应商资质</w:t>
            </w:r>
          </w:p>
        </w:tc>
        <w:tc>
          <w:tcPr>
            <w:tcW w:w="507" w:type="dxa"/>
            <w:noWrap w:val="0"/>
            <w:vAlign w:val="center"/>
          </w:tcPr>
          <w:p w14:paraId="43FC4730">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kern w:val="0"/>
                <w:sz w:val="24"/>
                <w:szCs w:val="24"/>
                <w:highlight w:val="none"/>
                <w:u w:val="none"/>
                <w:lang w:val="en-US" w:eastAsia="zh-CN"/>
              </w:rPr>
            </w:pPr>
            <w:r>
              <w:rPr>
                <w:rFonts w:hint="eastAsia" w:ascii="宋体" w:hAnsi="宋体" w:cs="宋体"/>
                <w:color w:val="auto"/>
                <w:kern w:val="0"/>
                <w:sz w:val="24"/>
                <w:szCs w:val="24"/>
                <w:highlight w:val="none"/>
                <w:u w:val="none"/>
                <w:lang w:val="en-US" w:eastAsia="zh-CN"/>
              </w:rPr>
              <w:t>3</w:t>
            </w:r>
          </w:p>
        </w:tc>
        <w:tc>
          <w:tcPr>
            <w:tcW w:w="7303" w:type="dxa"/>
            <w:noWrap w:val="0"/>
            <w:vAlign w:val="top"/>
          </w:tcPr>
          <w:p w14:paraId="280715A9">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vertAlign w:val="baseline"/>
                <w:lang w:eastAsia="zh-CN"/>
              </w:rPr>
            </w:pPr>
            <w:r>
              <w:rPr>
                <w:rFonts w:hint="eastAsia" w:ascii="宋体" w:hAnsi="宋体" w:eastAsia="宋体" w:cs="宋体"/>
                <w:b w:val="0"/>
                <w:bCs w:val="0"/>
                <w:i w:val="0"/>
                <w:iCs w:val="0"/>
                <w:color w:val="000000"/>
                <w:spacing w:val="0"/>
                <w:w w:val="100"/>
                <w:sz w:val="24"/>
                <w:szCs w:val="24"/>
                <w:vertAlign w:val="baseline"/>
              </w:rPr>
              <w:t>根据《福建省消防技术服务机构从业管理规定（试行）》的规定，投标人在福建消防技术服务信息平台的机构列表消防维护保养检测能力达到四星级的基础上：A质量管理体系认证含消防设施维护、保养、</w:t>
            </w:r>
          </w:p>
          <w:p w14:paraId="182AB0CC">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vertAlign w:val="baseline"/>
              </w:rPr>
            </w:pPr>
            <w:r>
              <w:rPr>
                <w:rFonts w:hint="eastAsia" w:ascii="宋体" w:hAnsi="宋体" w:eastAsia="宋体" w:cs="宋体"/>
                <w:b w:val="0"/>
                <w:bCs w:val="0"/>
                <w:i w:val="0"/>
                <w:iCs w:val="0"/>
                <w:color w:val="000000"/>
                <w:spacing w:val="0"/>
                <w:w w:val="100"/>
                <w:sz w:val="24"/>
                <w:szCs w:val="24"/>
                <w:vertAlign w:val="baseline"/>
              </w:rPr>
              <w:t>检测的得0.5分、含消防安全评估的得0.5分、含电气安全防火检测的得0.5分：B投标人取得检验检测机构认定证书（CMA）且证书在有效期内的得0.5分；C投标人具有消防工程设计资质的得0.5分：D投标人具有消防工程施工资质的得0.5分。（投标人须提供相关证明材料，包括但不限于证书复印件、官网截图证明等，并出具承诺函承诺提供信息真实有效，招标人将对相关情况复验，若发现有篡改的，将视为虚假响应）</w:t>
            </w:r>
          </w:p>
        </w:tc>
      </w:tr>
      <w:tr w14:paraId="7D6DAE3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71" w:type="dxa"/>
            <w:noWrap w:val="0"/>
            <w:vAlign w:val="center"/>
          </w:tcPr>
          <w:p w14:paraId="5DDE6D41">
            <w:pPr>
              <w:pStyle w:val="3"/>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vertAlign w:val="baseline"/>
              </w:rPr>
            </w:pPr>
            <w:r>
              <w:rPr>
                <w:rFonts w:hint="eastAsia" w:ascii="宋体" w:hAnsi="宋体" w:eastAsia="宋体" w:cs="宋体"/>
                <w:b w:val="0"/>
                <w:bCs w:val="0"/>
                <w:i w:val="0"/>
                <w:iCs w:val="0"/>
                <w:color w:val="000000"/>
                <w:spacing w:val="0"/>
                <w:w w:val="100"/>
                <w:sz w:val="24"/>
                <w:szCs w:val="24"/>
                <w:vertAlign w:val="baseline"/>
                <w:lang w:val="en-US" w:eastAsia="zh-CN"/>
              </w:rPr>
              <w:t>基础技术人员</w:t>
            </w:r>
          </w:p>
        </w:tc>
        <w:tc>
          <w:tcPr>
            <w:tcW w:w="507" w:type="dxa"/>
            <w:noWrap w:val="0"/>
            <w:vAlign w:val="center"/>
          </w:tcPr>
          <w:p w14:paraId="6B4A3934">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kern w:val="0"/>
                <w:sz w:val="24"/>
                <w:szCs w:val="24"/>
                <w:highlight w:val="none"/>
                <w:u w:val="none"/>
                <w:lang w:val="en-US" w:eastAsia="zh-CN"/>
              </w:rPr>
            </w:pPr>
            <w:r>
              <w:rPr>
                <w:rFonts w:hint="eastAsia" w:ascii="宋体" w:hAnsi="宋体" w:cs="宋体"/>
                <w:color w:val="auto"/>
                <w:kern w:val="0"/>
                <w:sz w:val="24"/>
                <w:szCs w:val="24"/>
                <w:highlight w:val="none"/>
                <w:u w:val="none"/>
                <w:lang w:val="en-US" w:eastAsia="zh-CN"/>
              </w:rPr>
              <w:t>3</w:t>
            </w:r>
          </w:p>
        </w:tc>
        <w:tc>
          <w:tcPr>
            <w:tcW w:w="7303" w:type="dxa"/>
            <w:noWrap w:val="0"/>
            <w:vAlign w:val="top"/>
          </w:tcPr>
          <w:p w14:paraId="65E83554">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vertAlign w:val="baseline"/>
              </w:rPr>
            </w:pPr>
            <w:r>
              <w:rPr>
                <w:rFonts w:hint="eastAsia" w:ascii="宋体" w:hAnsi="宋体" w:eastAsia="宋体" w:cs="宋体"/>
                <w:b w:val="0"/>
                <w:bCs w:val="0"/>
                <w:i w:val="0"/>
                <w:iCs w:val="0"/>
                <w:color w:val="000000"/>
                <w:spacing w:val="0"/>
                <w:w w:val="100"/>
                <w:sz w:val="24"/>
                <w:szCs w:val="24"/>
                <w:vertAlign w:val="baseline"/>
              </w:rPr>
              <w:t>根据投标人拥有基础的维保检测技术人员技术水平进行评价:取得消防设施操作员四级及以上证书(工种/职业方向为消防设施检测维修保养)，同时持有特种作业操作证(作业类别:低压电工或低压电工作业)的情况进行评价:人数大等于10人的得3分，人数大等于8人小于10人的得2分，人数大等于6人小于8人的得1分，其余不得分。须提供相关证书复印件等相关证明材料及近六个月(不含提交响应文件的当月)任意月度为其缴交社保的证明，并加盖公章。</w:t>
            </w:r>
          </w:p>
        </w:tc>
      </w:tr>
      <w:tr w14:paraId="39CE339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71" w:type="dxa"/>
            <w:noWrap w:val="0"/>
            <w:vAlign w:val="center"/>
          </w:tcPr>
          <w:p w14:paraId="1FF3310C">
            <w:pPr>
              <w:pStyle w:val="3"/>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vertAlign w:val="baseline"/>
                <w:lang w:val="en-US" w:eastAsia="zh-CN"/>
              </w:rPr>
            </w:pPr>
            <w:r>
              <w:rPr>
                <w:rFonts w:hint="eastAsia" w:ascii="宋体" w:hAnsi="宋体" w:eastAsia="宋体" w:cs="宋体"/>
                <w:b w:val="0"/>
                <w:bCs w:val="0"/>
                <w:i w:val="0"/>
                <w:iCs w:val="0"/>
                <w:color w:val="000000"/>
                <w:spacing w:val="0"/>
                <w:w w:val="100"/>
                <w:sz w:val="24"/>
                <w:szCs w:val="24"/>
                <w:vertAlign w:val="baseline"/>
              </w:rPr>
              <w:t>信用资质等级</w:t>
            </w:r>
          </w:p>
        </w:tc>
        <w:tc>
          <w:tcPr>
            <w:tcW w:w="507" w:type="dxa"/>
            <w:noWrap w:val="0"/>
            <w:vAlign w:val="center"/>
          </w:tcPr>
          <w:p w14:paraId="5AEE712B">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kern w:val="0"/>
                <w:sz w:val="24"/>
                <w:szCs w:val="24"/>
                <w:highlight w:val="none"/>
                <w:u w:val="none"/>
                <w:lang w:val="en-US" w:eastAsia="zh-CN"/>
              </w:rPr>
            </w:pPr>
            <w:r>
              <w:rPr>
                <w:rFonts w:hint="eastAsia" w:ascii="宋体" w:hAnsi="宋体" w:cs="宋体"/>
                <w:color w:val="auto"/>
                <w:kern w:val="0"/>
                <w:sz w:val="24"/>
                <w:szCs w:val="24"/>
                <w:highlight w:val="none"/>
                <w:u w:val="none"/>
                <w:lang w:val="en-US" w:eastAsia="zh-CN"/>
              </w:rPr>
              <w:t>1.5</w:t>
            </w:r>
          </w:p>
        </w:tc>
        <w:tc>
          <w:tcPr>
            <w:tcW w:w="7303" w:type="dxa"/>
            <w:noWrap w:val="0"/>
            <w:vAlign w:val="top"/>
          </w:tcPr>
          <w:p w14:paraId="15CD92A3">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vertAlign w:val="baseline"/>
              </w:rPr>
            </w:pPr>
            <w:r>
              <w:rPr>
                <w:rFonts w:hint="eastAsia" w:ascii="宋体" w:hAnsi="宋体" w:eastAsia="宋体" w:cs="宋体"/>
                <w:b w:val="0"/>
                <w:bCs w:val="0"/>
                <w:i w:val="0"/>
                <w:iCs w:val="0"/>
                <w:color w:val="000000"/>
                <w:spacing w:val="0"/>
                <w:w w:val="100"/>
                <w:sz w:val="24"/>
                <w:szCs w:val="24"/>
                <w:vertAlign w:val="baseline"/>
              </w:rPr>
              <w:t>根据投标人企业信用证书情况进行评价：投标人企业信用等级为AAA级得</w:t>
            </w:r>
            <w:r>
              <w:rPr>
                <w:rFonts w:hint="eastAsia" w:ascii="宋体" w:hAnsi="宋体" w:eastAsia="宋体" w:cs="宋体"/>
                <w:b w:val="0"/>
                <w:bCs w:val="0"/>
                <w:i w:val="0"/>
                <w:iCs w:val="0"/>
                <w:color w:val="000000"/>
                <w:spacing w:val="0"/>
                <w:w w:val="100"/>
                <w:sz w:val="24"/>
                <w:szCs w:val="24"/>
                <w:vertAlign w:val="baseline"/>
                <w:lang w:val="en-US" w:eastAsia="zh-CN"/>
              </w:rPr>
              <w:t>0.5</w:t>
            </w:r>
            <w:r>
              <w:rPr>
                <w:rFonts w:hint="eastAsia" w:ascii="宋体" w:hAnsi="宋体" w:eastAsia="宋体" w:cs="宋体"/>
                <w:b w:val="0"/>
                <w:bCs w:val="0"/>
                <w:i w:val="0"/>
                <w:iCs w:val="0"/>
                <w:color w:val="000000"/>
                <w:spacing w:val="0"/>
                <w:w w:val="100"/>
                <w:sz w:val="24"/>
                <w:szCs w:val="24"/>
                <w:vertAlign w:val="baseline"/>
              </w:rPr>
              <w:t>分，企业为重合同守信用AAA级得</w:t>
            </w:r>
            <w:r>
              <w:rPr>
                <w:rFonts w:hint="eastAsia" w:ascii="宋体" w:hAnsi="宋体" w:eastAsia="宋体" w:cs="宋体"/>
                <w:b w:val="0"/>
                <w:bCs w:val="0"/>
                <w:i w:val="0"/>
                <w:iCs w:val="0"/>
                <w:color w:val="000000"/>
                <w:spacing w:val="0"/>
                <w:w w:val="100"/>
                <w:sz w:val="24"/>
                <w:szCs w:val="24"/>
                <w:vertAlign w:val="baseline"/>
                <w:lang w:val="en-US" w:eastAsia="zh-CN"/>
              </w:rPr>
              <w:t>0.5</w:t>
            </w:r>
            <w:r>
              <w:rPr>
                <w:rFonts w:hint="eastAsia" w:ascii="宋体" w:hAnsi="宋体" w:eastAsia="宋体" w:cs="宋体"/>
                <w:b w:val="0"/>
                <w:bCs w:val="0"/>
                <w:i w:val="0"/>
                <w:iCs w:val="0"/>
                <w:color w:val="000000"/>
                <w:spacing w:val="0"/>
                <w:w w:val="100"/>
                <w:sz w:val="24"/>
                <w:szCs w:val="24"/>
                <w:vertAlign w:val="baseline"/>
              </w:rPr>
              <w:t>分，企业资信等级为AAA级得</w:t>
            </w:r>
            <w:r>
              <w:rPr>
                <w:rFonts w:hint="eastAsia" w:ascii="宋体" w:hAnsi="宋体" w:eastAsia="宋体" w:cs="宋体"/>
                <w:b w:val="0"/>
                <w:bCs w:val="0"/>
                <w:i w:val="0"/>
                <w:iCs w:val="0"/>
                <w:color w:val="000000"/>
                <w:spacing w:val="0"/>
                <w:w w:val="100"/>
                <w:sz w:val="24"/>
                <w:szCs w:val="24"/>
                <w:vertAlign w:val="baseline"/>
                <w:lang w:val="en-US" w:eastAsia="zh-CN"/>
              </w:rPr>
              <w:t>0.5</w:t>
            </w:r>
            <w:r>
              <w:rPr>
                <w:rFonts w:hint="eastAsia" w:ascii="宋体" w:hAnsi="宋体" w:eastAsia="宋体" w:cs="宋体"/>
                <w:b w:val="0"/>
                <w:bCs w:val="0"/>
                <w:i w:val="0"/>
                <w:iCs w:val="0"/>
                <w:color w:val="000000"/>
                <w:spacing w:val="0"/>
                <w:w w:val="100"/>
                <w:sz w:val="24"/>
                <w:szCs w:val="24"/>
                <w:vertAlign w:val="baseline"/>
              </w:rPr>
              <w:t>分。（须提供证书复印件并加盖公章，同时出具信息真实承诺函加盖公章，否则不得分）</w:t>
            </w:r>
          </w:p>
        </w:tc>
      </w:tr>
      <w:tr w14:paraId="339DA1F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71" w:type="dxa"/>
            <w:noWrap w:val="0"/>
            <w:vAlign w:val="center"/>
          </w:tcPr>
          <w:p w14:paraId="1C39E11D">
            <w:pPr>
              <w:pStyle w:val="3"/>
              <w:keepNext w:val="0"/>
              <w:keepLines w:val="0"/>
              <w:pageBreakBefore w:val="0"/>
              <w:kinsoku/>
              <w:wordWrap/>
              <w:overflowPunct/>
              <w:topLinePunct w:val="0"/>
              <w:autoSpaceDE/>
              <w:autoSpaceDN/>
              <w:bidi w:val="0"/>
              <w:adjustRightInd/>
              <w:snapToGrid/>
              <w:spacing w:line="420" w:lineRule="exact"/>
              <w:jc w:val="center"/>
              <w:textAlignment w:val="auto"/>
              <w:rPr>
                <w:rFonts w:hint="eastAsia" w:ascii="宋体" w:hAnsi="宋体" w:eastAsia="宋体" w:cs="宋体"/>
                <w:b w:val="0"/>
                <w:bCs w:val="0"/>
                <w:i w:val="0"/>
                <w:iCs w:val="0"/>
                <w:color w:val="000000"/>
                <w:spacing w:val="0"/>
                <w:w w:val="100"/>
                <w:sz w:val="24"/>
                <w:szCs w:val="24"/>
                <w:vertAlign w:val="baseline"/>
              </w:rPr>
            </w:pPr>
            <w:r>
              <w:rPr>
                <w:rFonts w:hint="eastAsia" w:ascii="宋体" w:hAnsi="宋体" w:eastAsia="宋体" w:cs="宋体"/>
                <w:b w:val="0"/>
                <w:bCs w:val="0"/>
                <w:i w:val="0"/>
                <w:iCs w:val="0"/>
                <w:color w:val="000000"/>
                <w:spacing w:val="0"/>
                <w:w w:val="100"/>
                <w:sz w:val="24"/>
                <w:szCs w:val="24"/>
                <w:vertAlign w:val="baseline"/>
              </w:rPr>
              <w:t>优质项目业绩</w:t>
            </w:r>
          </w:p>
        </w:tc>
        <w:tc>
          <w:tcPr>
            <w:tcW w:w="507" w:type="dxa"/>
            <w:noWrap w:val="0"/>
            <w:vAlign w:val="center"/>
          </w:tcPr>
          <w:p w14:paraId="6BEA7363">
            <w:pPr>
              <w:keepNext w:val="0"/>
              <w:keepLines w:val="0"/>
              <w:pageBreakBefore w:val="0"/>
              <w:kinsoku/>
              <w:wordWrap/>
              <w:overflowPunct/>
              <w:topLinePunct w:val="0"/>
              <w:autoSpaceDE/>
              <w:autoSpaceDN/>
              <w:bidi w:val="0"/>
              <w:adjustRightInd/>
              <w:snapToGrid/>
              <w:spacing w:line="420" w:lineRule="exact"/>
              <w:jc w:val="center"/>
              <w:textAlignment w:val="auto"/>
              <w:rPr>
                <w:rFonts w:hint="default" w:ascii="宋体" w:hAnsi="宋体" w:cs="宋体"/>
                <w:color w:val="auto"/>
                <w:kern w:val="0"/>
                <w:sz w:val="24"/>
                <w:szCs w:val="24"/>
                <w:highlight w:val="none"/>
                <w:u w:val="none"/>
                <w:lang w:val="en-US" w:eastAsia="zh-CN"/>
              </w:rPr>
            </w:pPr>
            <w:r>
              <w:rPr>
                <w:rFonts w:hint="eastAsia" w:ascii="宋体" w:hAnsi="宋体" w:cs="宋体"/>
                <w:color w:val="auto"/>
                <w:kern w:val="0"/>
                <w:sz w:val="24"/>
                <w:szCs w:val="24"/>
                <w:highlight w:val="none"/>
                <w:u w:val="none"/>
                <w:lang w:val="en-US" w:eastAsia="zh-CN"/>
              </w:rPr>
              <w:t>3</w:t>
            </w:r>
          </w:p>
        </w:tc>
        <w:tc>
          <w:tcPr>
            <w:tcW w:w="7303" w:type="dxa"/>
            <w:noWrap w:val="0"/>
            <w:vAlign w:val="top"/>
          </w:tcPr>
          <w:p w14:paraId="52D4FD7C">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vertAlign w:val="baseline"/>
                <w:lang w:eastAsia="zh-CN"/>
              </w:rPr>
            </w:pPr>
            <w:r>
              <w:rPr>
                <w:rFonts w:hint="eastAsia" w:ascii="宋体" w:hAnsi="宋体" w:eastAsia="宋体" w:cs="宋体"/>
                <w:b w:val="0"/>
                <w:bCs w:val="0"/>
                <w:i w:val="0"/>
                <w:iCs w:val="0"/>
                <w:color w:val="000000"/>
                <w:spacing w:val="0"/>
                <w:w w:val="100"/>
                <w:sz w:val="24"/>
                <w:szCs w:val="24"/>
                <w:vertAlign w:val="baseline"/>
              </w:rPr>
              <w:t>类似业绩</w:t>
            </w:r>
            <w:r>
              <w:rPr>
                <w:rFonts w:hint="eastAsia" w:cs="宋体"/>
                <w:b w:val="0"/>
                <w:bCs w:val="0"/>
                <w:i w:val="0"/>
                <w:iCs w:val="0"/>
                <w:color w:val="000000"/>
                <w:spacing w:val="0"/>
                <w:w w:val="100"/>
                <w:sz w:val="24"/>
                <w:szCs w:val="24"/>
                <w:vertAlign w:val="baseline"/>
                <w:lang w:eastAsia="zh-CN"/>
              </w:rPr>
              <w:t>：</w:t>
            </w:r>
            <w:r>
              <w:rPr>
                <w:rFonts w:hint="eastAsia" w:ascii="宋体" w:hAnsi="宋体" w:eastAsia="宋体" w:cs="宋体"/>
                <w:b w:val="0"/>
                <w:bCs w:val="0"/>
                <w:i w:val="0"/>
                <w:iCs w:val="0"/>
                <w:color w:val="000000"/>
                <w:spacing w:val="0"/>
                <w:w w:val="100"/>
                <w:sz w:val="24"/>
                <w:szCs w:val="24"/>
                <w:vertAlign w:val="baseline"/>
              </w:rPr>
              <w:t>根据投标人自2020年1月1日起至投标截止时间为止（以</w:t>
            </w:r>
          </w:p>
          <w:p w14:paraId="2CB0436C">
            <w:pPr>
              <w:keepNext w:val="0"/>
              <w:keepLines w:val="0"/>
              <w:pageBreakBefore w:val="0"/>
              <w:kinsoku/>
              <w:wordWrap/>
              <w:overflowPunct/>
              <w:topLinePunct w:val="0"/>
              <w:autoSpaceDE/>
              <w:autoSpaceDN/>
              <w:bidi w:val="0"/>
              <w:adjustRightInd/>
              <w:snapToGrid/>
              <w:spacing w:line="420" w:lineRule="exact"/>
              <w:textAlignment w:val="auto"/>
              <w:rPr>
                <w:rFonts w:hint="eastAsia" w:ascii="宋体" w:hAnsi="宋体" w:eastAsia="宋体" w:cs="宋体"/>
                <w:b w:val="0"/>
                <w:bCs w:val="0"/>
                <w:i w:val="0"/>
                <w:iCs w:val="0"/>
                <w:color w:val="000000"/>
                <w:spacing w:val="0"/>
                <w:w w:val="100"/>
                <w:sz w:val="24"/>
                <w:szCs w:val="24"/>
                <w:vertAlign w:val="baseline"/>
              </w:rPr>
            </w:pPr>
            <w:r>
              <w:rPr>
                <w:rFonts w:hint="eastAsia" w:ascii="宋体" w:hAnsi="宋体" w:eastAsia="宋体" w:cs="宋体"/>
                <w:b w:val="0"/>
                <w:bCs w:val="0"/>
                <w:i w:val="0"/>
                <w:iCs w:val="0"/>
                <w:color w:val="000000"/>
                <w:spacing w:val="0"/>
                <w:w w:val="100"/>
                <w:sz w:val="24"/>
                <w:szCs w:val="24"/>
                <w:vertAlign w:val="baseline"/>
              </w:rPr>
              <w:t>合同签订时间为准），在境内（除港澳台地区）每增加1个单项合同金额不少于100万元的消防设施维保业绩的得1分，满分3分。业绩以合同复印件为证明材料，合同要求体现合同双方、合同期限、合同金额、服务内容、项目概况、双方签署盖章等。证明材料均须提供复印件加盖公章。未提供任何证明材料或提供的证明材料无法满足上述要求时，业绩无效，不予计分。</w:t>
            </w:r>
          </w:p>
        </w:tc>
      </w:tr>
    </w:tbl>
    <w:p w14:paraId="78A8F234">
      <w:pPr>
        <w:pStyle w:val="18"/>
        <w:keepNext w:val="0"/>
        <w:keepLines w:val="0"/>
        <w:pageBreakBefore w:val="0"/>
        <w:widowControl/>
        <w:kinsoku/>
        <w:wordWrap/>
        <w:overflowPunct/>
        <w:topLinePunct w:val="0"/>
        <w:autoSpaceDE/>
        <w:autoSpaceDN/>
        <w:bidi w:val="0"/>
        <w:adjustRightInd/>
        <w:snapToGrid/>
        <w:spacing w:line="420" w:lineRule="exact"/>
        <w:textAlignment w:val="auto"/>
        <w:outlineLvl w:val="3"/>
        <w:rPr>
          <w:rFonts w:hint="eastAsia" w:ascii="宋体" w:hAnsi="宋体" w:eastAsia="宋体" w:cs="宋体"/>
          <w:color w:val="auto"/>
          <w:sz w:val="24"/>
          <w:szCs w:val="24"/>
          <w:highlight w:val="none"/>
          <w:u w:val="none"/>
        </w:rPr>
      </w:pPr>
    </w:p>
    <w:p w14:paraId="245C1AD3">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color w:val="000000" w:themeColor="text1"/>
          <w:sz w:val="24"/>
          <w:szCs w:val="24"/>
          <w14:textFill>
            <w14:solidFill>
              <w14:schemeClr w14:val="tx1"/>
            </w14:solidFill>
          </w14:textFill>
        </w:rPr>
      </w:pPr>
      <w:r>
        <w:rPr>
          <w:rFonts w:hint="eastAsia" w:ascii="宋体" w:hAnsi="宋体" w:eastAsia="宋体" w:cs="宋体"/>
          <w:color w:val="000000" w:themeColor="text1"/>
          <w:sz w:val="24"/>
          <w:szCs w:val="24"/>
          <w14:textFill>
            <w14:solidFill>
              <w14:schemeClr w14:val="tx1"/>
            </w14:solidFill>
          </w14:textFill>
        </w:rPr>
        <w:t>根据政府采购政策可享有的加分优惠评分PE</w:t>
      </w:r>
    </w:p>
    <w:p w14:paraId="56465DC7">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优先类节能产品、环境标志产品：</w:t>
      </w:r>
    </w:p>
    <w:tbl>
      <w:tblPr>
        <w:tblStyle w:val="13"/>
        <w:tblW w:w="4998"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2838"/>
        <w:gridCol w:w="2839"/>
        <w:gridCol w:w="2842"/>
      </w:tblGrid>
      <w:tr w14:paraId="1EB5C46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666" w:type="pct"/>
            <w:noWrap w:val="0"/>
            <w:vAlign w:val="top"/>
          </w:tcPr>
          <w:p w14:paraId="78A9B3AA">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项目</w:t>
            </w:r>
          </w:p>
        </w:tc>
        <w:tc>
          <w:tcPr>
            <w:tcW w:w="1666" w:type="pct"/>
            <w:noWrap w:val="0"/>
            <w:vAlign w:val="top"/>
          </w:tcPr>
          <w:p w14:paraId="4D8C2E1B">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分值</w:t>
            </w:r>
          </w:p>
        </w:tc>
        <w:tc>
          <w:tcPr>
            <w:tcW w:w="1666" w:type="pct"/>
            <w:noWrap w:val="0"/>
            <w:vAlign w:val="top"/>
          </w:tcPr>
          <w:p w14:paraId="3FA164E2">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描述</w:t>
            </w:r>
          </w:p>
        </w:tc>
      </w:tr>
      <w:tr w14:paraId="5EC5B18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5000" w:type="pct"/>
            <w:gridSpan w:val="3"/>
            <w:noWrap w:val="0"/>
            <w:vAlign w:val="top"/>
          </w:tcPr>
          <w:p w14:paraId="6B7068ED">
            <w:pPr>
              <w:pStyle w:val="18"/>
              <w:keepNext w:val="0"/>
              <w:keepLines w:val="0"/>
              <w:pageBreakBefore w:val="0"/>
              <w:widowControl/>
              <w:kinsoku/>
              <w:wordWrap/>
              <w:overflowPunct/>
              <w:topLinePunct w:val="0"/>
              <w:autoSpaceDE/>
              <w:autoSpaceDN/>
              <w:bidi w:val="0"/>
              <w:adjustRightInd/>
              <w:snapToGrid/>
              <w:spacing w:line="420" w:lineRule="exact"/>
              <w:jc w:val="left"/>
              <w:textAlignment w:val="auto"/>
              <w:rPr>
                <w:rFonts w:hint="eastAsia" w:ascii="宋体" w:hAnsi="宋体" w:eastAsia="宋体" w:cs="宋体"/>
                <w:sz w:val="24"/>
                <w:szCs w:val="24"/>
                <w:lang w:val="en-US" w:eastAsia="zh-CN"/>
              </w:rPr>
            </w:pPr>
            <w:r>
              <w:rPr>
                <w:rFonts w:hint="eastAsia" w:ascii="宋体" w:hAnsi="宋体" w:cs="宋体"/>
                <w:sz w:val="24"/>
                <w:szCs w:val="24"/>
                <w:lang w:val="en-US" w:eastAsia="zh-CN"/>
              </w:rPr>
              <w:t>无</w:t>
            </w:r>
          </w:p>
        </w:tc>
      </w:tr>
    </w:tbl>
    <w:p w14:paraId="32327079">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（4）成交候选供应商排列规则顺序和并列相同时的处理约定如下：</w:t>
      </w:r>
    </w:p>
    <w:p w14:paraId="29212AAE">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a.成交候选供应商按照综合评审总得分（FA）由高到低顺序排列推荐。</w:t>
      </w:r>
    </w:p>
    <w:p w14:paraId="367D891C">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b.综合评审总得分（FA）相同的，按照经评审最后磋商报价（即经政府采购优惠政策进行价格扣除后的最后报价）由低到高顺序推荐。</w:t>
      </w:r>
    </w:p>
    <w:p w14:paraId="57444429">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c.综合评审总得分（FA）且经评审最后磋商报价（即经政府采购优惠政策进行价格扣除后的最后报价）仍然相同的，按照技术指标优劣顺序推荐。</w:t>
      </w:r>
    </w:p>
    <w:p w14:paraId="7894B040">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d.经前述顺序处理仍然并列相同的，则通过随机抽取方式确定优先顺序推荐。</w:t>
      </w:r>
    </w:p>
    <w:p w14:paraId="278F7B9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无</w:t>
      </w:r>
    </w:p>
    <w:p w14:paraId="43459C9C">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四、评审报告</w:t>
      </w:r>
    </w:p>
    <w:p w14:paraId="67040FB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4.1磋商小组完成评审后，应当编写评审报告并提交给采购人。</w:t>
      </w:r>
    </w:p>
    <w:p w14:paraId="7B1AF74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4.2评审报告应当包括以下主要内容：</w:t>
      </w:r>
    </w:p>
    <w:p w14:paraId="24D30B7A">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（一）邀请供应商参加采购活动的具体方式和相关情况；</w:t>
      </w:r>
    </w:p>
    <w:p w14:paraId="65C37700">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（二）响应文件开启日期和地点；</w:t>
      </w:r>
    </w:p>
    <w:p w14:paraId="0ED66F6A">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（三）获取磋商文件的供应商名单和磋商小组成员名单；</w:t>
      </w:r>
    </w:p>
    <w:p w14:paraId="5F10FB9F">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（四）评审情况记录和说明，包括对供应商的资格审查情况、供应商响应文件评审情况、磋商情况、报价情况等；</w:t>
      </w:r>
    </w:p>
    <w:p w14:paraId="1C95BCBE">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（五）提出的成交候选供应商的排序名单及理由。</w:t>
      </w:r>
    </w:p>
    <w:p w14:paraId="378A04C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4.3评审报告应当由磋商小组全体人员签字认可。磋商小组成员对评审报告有异议的，磋商小组按照少数服从多数的原则推荐成交候选供应商，采购程序继续进行。对评审报告有异议的磋商小组成员，应当在报告上签署不同意见并说明理由，由磋商小组书面记录相关情况。磋商小组成员拒绝在报告上签字又不书面说明其不同意见和理由的，视为同意评审报告。</w:t>
      </w:r>
    </w:p>
    <w:p w14:paraId="0F73140B">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五、其他规定</w:t>
      </w:r>
    </w:p>
    <w:p w14:paraId="42F6A12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5.1其他规定</w:t>
      </w:r>
    </w:p>
    <w:p w14:paraId="625B4C9B">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5.1.1评审应全程保密且不得透露给任一供应商或与评审工作无关的人员。</w:t>
      </w:r>
    </w:p>
    <w:p w14:paraId="58956482">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5.1.2评审将进行全程实时录音录像，录音录像资料随采购文件一并存档。</w:t>
      </w:r>
    </w:p>
    <w:p w14:paraId="6654A3E6">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5.1.3若供应商有任何试图干扰具体评审事务，影响磋商小组独立履行职责的行为，其响应无效且不予退还磋商保证金或通过保函进行索赔。情节严重的，由财政部门列入不良行为记录。</w:t>
      </w:r>
    </w:p>
    <w:p w14:paraId="57FC8B59">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5.1.4根据采购项目的特点和需要，需要加以详细说明的其他磋商程序规定、要求等内容：</w:t>
      </w:r>
    </w:p>
    <w:p w14:paraId="6ED0F293">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无</w:t>
      </w:r>
    </w:p>
    <w:p w14:paraId="1C2150D4">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第2节 竞争性磋商须知</w:t>
      </w:r>
    </w:p>
    <w:p w14:paraId="148525C3">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一、总则</w:t>
      </w:r>
    </w:p>
    <w:p w14:paraId="7487D711">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1.适用范围：</w:t>
      </w:r>
    </w:p>
    <w:p w14:paraId="52ABD41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1.1适用于磋商文件载明项目的采购活动（以下简称：“本次采购活动”）。</w:t>
      </w:r>
    </w:p>
    <w:p w14:paraId="3DD37F91">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2.定义及要求：</w:t>
      </w:r>
    </w:p>
    <w:p w14:paraId="5EA85F0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2.1“采购标的”指磋商文件载明的需要采购的货物、服务、工程。</w:t>
      </w:r>
    </w:p>
    <w:p w14:paraId="3562497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2.2“采购人”指本次采购项目的买方、或业主方、或甲方，具体见磋商文件第一章；“采购代理机构”系指接受采购人委托，组织开展竞争性磋商采购活动的代理机构，具体见磋商文件第一章。</w:t>
      </w:r>
    </w:p>
    <w:p w14:paraId="68839F63">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2.3“潜在供应商”按照磋商文件第一章规定进行获取文件，且有意向参加本项目响应磋商的供应商。</w:t>
      </w:r>
    </w:p>
    <w:p w14:paraId="7A0B7E5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2.4“供应商”指按照磋商文件第一章规定进行获取文件，且已经提交响应文件的法人或其他组织或自然人。只有适合自然人参与和承接的政府采购项目，供应商才可以是自然人。</w:t>
      </w:r>
    </w:p>
    <w:p w14:paraId="538DCF8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2.5“单位负责人”指单位法定代表人（供应商为法人的）或法律、法规规定代表单位行使职权的主要负责人（供应商为其他组织的）。</w:t>
      </w:r>
    </w:p>
    <w:p w14:paraId="325A7D7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2.6“供应商代表”指供应商（为法人或其他组织的）的单位负责人或由其授权的委托代理人，即单位负责人授权书中载明的接受授权方。供应商为自然人的，由本人签字并附身份证明。</w:t>
      </w:r>
    </w:p>
    <w:p w14:paraId="40FD2134">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3.合格的供应商：</w:t>
      </w:r>
    </w:p>
    <w:p w14:paraId="097A59B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3.1一般规定</w:t>
      </w:r>
    </w:p>
    <w:p w14:paraId="29F756D0">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3.1.1供应商除了应遵守政府采购法及实施条例、政府采购非招标采购方式管理办法及财政部、福建省财政厅有关政府采购文件的规定外，还应遵守《中华人民共和国劳动合同法》有关规定和《中华人民共和国妇女权益保障法 》中关于“劳动和社会保障权益”的有关要求以及其他有关法律、法规和规章的强制性规定。</w:t>
      </w:r>
    </w:p>
    <w:p w14:paraId="5FC9FFA0">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3.1.2为采购项目提供整体设计、规范编制或项目管理、监理、检测等服务的供应商，不得再参加该采购项目除整体设计、规范编制和项目管理、监理、检测等服务之外的其他采购活动。</w:t>
      </w:r>
    </w:p>
    <w:p w14:paraId="0DBD44D2">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3.1.3列入失信被执行人、重大税收违法案件当事人名单、政府采购严重违法失信行为记录名单及其他不符合《中华人民共和国政府采购法》第二十二条规定条件的供应商，不得参加政府采购活动。</w:t>
      </w:r>
    </w:p>
    <w:p w14:paraId="43243C40">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b/>
          <w:sz w:val="24"/>
          <w:szCs w:val="24"/>
        </w:rPr>
        <w:t>供应商有责任检查自身情况，在响应文件中对是否违反以上一般规定做出如实声明，否则其响应文件将被否决。</w:t>
      </w:r>
    </w:p>
    <w:p w14:paraId="0D8754F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3.2特别规定</w:t>
      </w:r>
    </w:p>
    <w:p w14:paraId="2FB78CBC">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3.2.1供应商的资格要求：详见竞争性磋商须知前附表第1项。</w:t>
      </w:r>
    </w:p>
    <w:p w14:paraId="586323E8">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3.2.2是否接受联合体形式的响应磋商：详见竞争性磋商须知前附表第2项。若接受联合体形式且供应商为联合体，则联合体各方除了应遵守本章第3.1条规定外，还应遵守下列规定：</w:t>
      </w:r>
    </w:p>
    <w:p w14:paraId="3550521B">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（1）联合体各方应提交联合体协议，联合体协议应符合磋商文件规定。</w:t>
      </w:r>
    </w:p>
    <w:p w14:paraId="4B765416">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（2）联合体各方不得再单独参加或与其他供应商另外组成联合体参加同一合同项下的响应磋商。</w:t>
      </w:r>
    </w:p>
    <w:p w14:paraId="78459EB5">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（3）联合体各方应共同与采购人签订政府采购合同，就政府采购合同约定的事项对采购人承担连带责任。</w:t>
      </w:r>
    </w:p>
    <w:p w14:paraId="5CC2FFE5">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4）项目如涉及资质要求，该部分工作内容应由联合体中符合该资质要求的供应商承担，联合体协议及签订的采购合同应符合这一要求；联合体中有同类资质的供应商按照联合体分工承担相同工作的，应当按照资质等级较低的供应商确定资质等级。</w:t>
      </w:r>
    </w:p>
    <w:p w14:paraId="2F5FD578">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（5）联合体一方放弃成交的，视为联合体整体放弃成交，联合体各方承担连带责任。</w:t>
      </w:r>
    </w:p>
    <w:p w14:paraId="5F066CEF">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（6）如本项目不接受联合体报价而供应商为联合体的，或者本项目接受联合体报价但供应商组成的联合体不符合本章第3.2条规定的，其报价无效。</w:t>
      </w:r>
    </w:p>
    <w:p w14:paraId="7A2CAC7B">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3.2.3若接受联合体形式，单位负责人为同一人或者存在直接控股、管理关系的不同供应商可以组成一个联合体，以一个供应商的身份参加政府采购活动。若不接受联合体形式，则单位负责人为同一人或者存在直接控股、管理关系的不同供应商，不得参加同一合同项下的政府采购活动。</w:t>
      </w:r>
    </w:p>
    <w:p w14:paraId="5CEC948A">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4.参与竞争性磋商费用：</w:t>
      </w:r>
    </w:p>
    <w:p w14:paraId="6E62CFC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4.1除法律法规或采购文件另有规定之外，供应商应自行承担其准备与参加竞争性磋商所涉及的一切费用。</w:t>
      </w:r>
    </w:p>
    <w:p w14:paraId="36628FB3">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二、竞争性磋商文件</w:t>
      </w:r>
    </w:p>
    <w:p w14:paraId="4585E855">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5.竞争性磋商文件的组成：</w:t>
      </w:r>
    </w:p>
    <w:p w14:paraId="45CE4BA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5.1竞争性磋商文件由下述部分组成：</w:t>
      </w:r>
    </w:p>
    <w:p w14:paraId="7B66A43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第一章 采购公告（或采购邀请书）</w:t>
      </w:r>
    </w:p>
    <w:p w14:paraId="527C6D8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第二章 竞争性磋商须知</w:t>
      </w:r>
    </w:p>
    <w:p w14:paraId="1217F42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第三章 采购内容及要求</w:t>
      </w:r>
    </w:p>
    <w:p w14:paraId="0A5B06AE">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第四章 合同主要条款及格式</w:t>
      </w:r>
    </w:p>
    <w:p w14:paraId="4BD5ED3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第五章 首次响应文件格式</w:t>
      </w:r>
    </w:p>
    <w:p w14:paraId="66F0BF2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5.2除上述内容以外，采购人、采购代理机构或者磋商小组在采购过程期间对磋商文件所作的澄清、修改或补充，均构成磋商文件的组成部分，对采购人和供应商具有约束力。</w:t>
      </w:r>
    </w:p>
    <w:p w14:paraId="6C024C40">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6.竞争性磋商文件的澄清、补充、修改及现场考察等：</w:t>
      </w:r>
    </w:p>
    <w:p w14:paraId="0EC8817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6.1提交首次响应文件截止之日前，采购人、采购代理机构或者磋商小组可以对已发出的磋商文件进行必要的澄清、补充或者修改，澄清、补充或者修改的内容作为磋商文件的组成部分。澄清、补充或者修改的内容可能影响响应文件编制的，采购人、采购代理机构或者磋商小组将在提交首次响应文件截止时间5个日历日前，以书面形式通知所有获取磋商文件的潜在供应商，不足5个日历日的，采购人、采购代理机构或磋商小组将顺延提交首次响应文件的截止时间。</w:t>
      </w:r>
    </w:p>
    <w:p w14:paraId="66A14FBE">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6.2提交首次响应文件截止时间前，若采购人发布更正公告，则更正公告及其所发布的内容或信息（包括但不限于竞争性磋商文件的澄清、补充或修改等）作为磋商文件组成部分，对采购人和供应商具有约束力。更正公告作为采购人、采购代理机构或磋商小组通知所有潜在供应商的书面形式，潜在供应商务必随时关注磋商文件中载明的指定媒体，以免遗漏。</w:t>
      </w:r>
    </w:p>
    <w:p w14:paraId="3322F01C">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6.3采购人、采购代理机构可以视采购项目的具体情况，组织供应商进行现场考察或召开磋商前答疑会，是否组织现场考察或召开磋商前答疑会详见竞争性磋商须知前附表第3项。</w:t>
      </w:r>
    </w:p>
    <w:p w14:paraId="6F2020CF">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三、响应文件编制</w:t>
      </w:r>
    </w:p>
    <w:p w14:paraId="04D2517F">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7.应标要求</w:t>
      </w:r>
    </w:p>
    <w:p w14:paraId="7937848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7.1供应商可按照采购包号，对竞争性磋商文件中载明的全部或部分采购包进行响应。对于能够详细列明采购标的技术、服务要求的采购项目，供应商响应时，对同一个采购包内所有的采购内容和要求必须进行完整响应，否则其相应采购包的响应文件将被否决。</w:t>
      </w:r>
    </w:p>
    <w:p w14:paraId="274B6C9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7.2供应商代表在同一个合同项下只能接受一个供应商的委托参加响应磋商，否则其响应文件将被否决。</w:t>
      </w:r>
    </w:p>
    <w:p w14:paraId="66D10CB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7.3供应商应仔细阅读磋商文件的所有内容和要求，按磋商文件的规定提供响应文件，并对其所提供的全部资料、承诺和声明的真实性、合法性和准确性负责。</w:t>
      </w:r>
    </w:p>
    <w:p w14:paraId="4997EE1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7.4除非竞争性磋商须知前附表另有规定外，供应商提供的响应文件应使用中文文本，若有不同文字文本，以中文文本为准。</w:t>
      </w:r>
    </w:p>
    <w:p w14:paraId="0355A21E">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7.5响应文件提供的全部资料中，若原件属于非中文描述，应提供具有翻译资质的机构翻译的中文译本。前述翻译机构应为中国翻译协会成员单位，翻译的中文译本应由翻译人员签名并加盖翻译机构公章，同时提供翻译人员翻译资格证书。中文译本、翻译机构的成员单位证书及翻译人员的资格证书可为复印件。</w:t>
      </w:r>
    </w:p>
    <w:p w14:paraId="637A19C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7.6除非竞争性磋商须知前附表另有规定外，供应商承诺的报价应以人民币进行报价，合同实施结算时亦以人民币支付；所有计量均采用中华人民共和国法定计量单位。</w:t>
      </w:r>
    </w:p>
    <w:p w14:paraId="6FC6FDCE">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8.首次响应文件的组成：</w:t>
      </w:r>
    </w:p>
    <w:p w14:paraId="1FF14703">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8.1首次响应文件包括但不限于下列部分：</w:t>
      </w:r>
    </w:p>
    <w:p w14:paraId="570C2FB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（1）响应函</w:t>
      </w:r>
    </w:p>
    <w:p w14:paraId="7DA8CF7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（2）报价一览表（含详细报价书）</w:t>
      </w:r>
    </w:p>
    <w:p w14:paraId="4AD4883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（3）资格证明文件</w:t>
      </w:r>
    </w:p>
    <w:p w14:paraId="65479DB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（4）磋商保证金凭证</w:t>
      </w:r>
    </w:p>
    <w:p w14:paraId="43E3238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（5）技术和商务偏离表</w:t>
      </w:r>
    </w:p>
    <w:p w14:paraId="0AA315E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（6）相关技术、商务、服务响应承诺及资料</w:t>
      </w:r>
    </w:p>
    <w:p w14:paraId="227F400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（7）供应商提交的其他资料</w:t>
      </w:r>
    </w:p>
    <w:p w14:paraId="6E9C670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（8）要求作为响应文件组成部分的其他内容（若有）</w:t>
      </w:r>
    </w:p>
    <w:p w14:paraId="5028A355">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9.响应文件有效期：</w:t>
      </w:r>
    </w:p>
    <w:p w14:paraId="1A433728">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9.1响应文件有效期见竞争性磋商须知前附表第4项，响应文件承诺的有效期不得少于磋商文件载明的有效期，否则其响应文件将被否决。</w:t>
      </w:r>
    </w:p>
    <w:p w14:paraId="64B44C5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9.2特殊情况下采购人可于响应文件有效期满之前要求供应商同意延长有效期，要求与答复均应为书面形式。供应商可以拒绝延长有效期，且其磋商保证金可以退还，但其供应商资格将被取消。同意延长有效期的供应商，不需要也不允许修改其响应文件及磋商承诺，但将要求其相应延长磋商保证金有效期，有关退还和不予退还磋商保证金的规定在有效期延长期内继续有效。</w:t>
      </w:r>
    </w:p>
    <w:p w14:paraId="0D507CEC">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10.磋商保证金：</w:t>
      </w:r>
    </w:p>
    <w:p w14:paraId="35E3852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10.1供应商应按竞争性磋商文件规定的金额、形式等要求提交磋商保证金。磋商文件若接受联合体形式且供应商为联合体的，则可以由联合体中的牵头方提交磋商保证金，其提交的磋商保证金对联合体各方均具有约束力。</w:t>
      </w:r>
    </w:p>
    <w:p w14:paraId="6906876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10.1.1供应商以汇款形式缴纳磋商保证金的，应从其银行账户（基本存款账户）按照下列方式：公对公转账方式向磋商文件载明的磋商保证金账户提交磋商保证金。磋商保证金应于首次响应文件递交截止时间前到达磋商文件载明的磋商保证金账户，否则视为磋商保证金未提交。</w:t>
      </w:r>
    </w:p>
    <w:p w14:paraId="7D8DAEA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10.1.2供应商以保函形式提交磋商保证金的，可在磋商文件载明的首次响应文件递交截止时间前办理保函并在电汇或银行转账单上注明（项目编号）；在首次响应文件递交截止时间前将保函文件放入响应文件中，否则视为未提交磋商保证金。保函的有效期应等于或长于响应文件承诺的有效期，否则其响应文件将被否决。</w:t>
      </w:r>
    </w:p>
    <w:p w14:paraId="4FED373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10.1.3其他形式： 无</w:t>
      </w:r>
    </w:p>
    <w:p w14:paraId="5EC09BF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10.2磋商保证金为响应文件的重要组成部分之一。磋商保证金用于保护本次磋商活动免受供应商的违约或失信行为而引起的风险。未按规定提交磋商保证金的，其响应文件将被否决。</w:t>
      </w:r>
    </w:p>
    <w:p w14:paraId="416E48DE">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10.3磋商保证金退还：</w:t>
      </w:r>
    </w:p>
    <w:p w14:paraId="0962351B">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10.3.1采购人或者采购代理机构将在采购活动结束后及时退还供应商的保证金，但因供应商自身原因导致无法及时退还的除外（比如：采购人委托代理机构组织磋商采购，成交的供应商未向采购代理机构出具已签订合同证明材料，造成磋商保证金退还时间延误的结果，由成交的供应商自行承担和谅解等）。未成交人的保证金将在成交通知书发出后5个工作日内退还，成交人的保证金将在采购合同签订后5个工作日内退还。关于磋商保证金退还的其它要求见竞争性磋商须知前附表第5项。</w:t>
      </w:r>
    </w:p>
    <w:p w14:paraId="1BF49210">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10.3.2质疑或投诉涉及的供应商，若其磋商保证金尚未退还，则待质疑或投诉处理完毕后，且没有发生法律法规或者磋商文件规定的不予退还磋商保证金情形，则由采购人或采购代理机构给予及时退还。</w:t>
      </w:r>
    </w:p>
    <w:p w14:paraId="2403CE4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10.4如果供应商发生以下任何一种情况时，其磋商保证金将被不予退还或通过保函进行索赔：</w:t>
      </w:r>
    </w:p>
    <w:p w14:paraId="0B00C59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(1)供应商在提交响应文件截止时间后撤回响应文件的；</w:t>
      </w:r>
    </w:p>
    <w:p w14:paraId="4F93FF3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(2)供应商在响应文件中提供虚假材料的；</w:t>
      </w:r>
    </w:p>
    <w:p w14:paraId="3ABA98E3">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(3)除因不可抗力或磋商文件认可的情形以外，成交人不与采购人签订合同的；</w:t>
      </w:r>
    </w:p>
    <w:p w14:paraId="28DBC213">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(4)供应商与采购人、其他供应商或者采购代理机构恶意串通的；</w:t>
      </w:r>
    </w:p>
    <w:p w14:paraId="28C7B0C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(5)供应商在提交最后报价后要求退出磋商的；</w:t>
      </w:r>
    </w:p>
    <w:p w14:paraId="335B29C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(6)供应商假借以他人名义参加磋商或者以其他方式弄虚作假，骗取成交；</w:t>
      </w:r>
    </w:p>
    <w:p w14:paraId="717995A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(7)国家法律法规以及磋商文件中规定的其他磋商保证金不予退还的情形。</w:t>
      </w:r>
    </w:p>
    <w:p w14:paraId="68B16AD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上述不予退还磋商保证金的情况不能抵偿给采购人或采购代理机构造成损失的，供应商还要承担赔偿责任。</w:t>
      </w:r>
    </w:p>
    <w:p w14:paraId="34D54D11">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11.响应文件基本编制要求：</w:t>
      </w:r>
    </w:p>
    <w:p w14:paraId="71E8F07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11.1供应商须编制由本须知规定组成的响应文件正副本份数详见竞争性磋商须知前附表第6项。响应文件正本和全部副本均应使用不能擦去的墨料或墨水打印、书写或复印，副本可以用正本的完整复印件。响应文件封面上应标明“正本”、“副本”字样。正本与副本内容如有不一致，则以正本为准。</w:t>
      </w:r>
    </w:p>
    <w:p w14:paraId="1B72824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11.2响应文件应由供应商代表签字并加盖公章。供应商代表如果不是竞争性磋商须知中定义的“单位负责人”，则其响应文件中还必须提供“单位负责人授权书”。</w:t>
      </w:r>
    </w:p>
    <w:p w14:paraId="0FC0BE8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11.3响应文件应尽量避免涂改、行间插字或删除。如果出现上述情况，改动之处应加盖供应商单位公章或由供应商代表签字确认。</w:t>
      </w:r>
    </w:p>
    <w:p w14:paraId="06204B7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11.4供应商应提交证明其拟提供货物、服务或工程符合磋商文件要求的技术和商务响应文件，该文件可以是文字资料、图纸和数据，并对拟提供的货物、服务或工程的主要内容进行详细描述。</w:t>
      </w:r>
    </w:p>
    <w:p w14:paraId="322AAFE8">
      <w:pPr>
        <w:pStyle w:val="18"/>
        <w:keepNext w:val="0"/>
        <w:keepLines w:val="0"/>
        <w:pageBreakBefore w:val="0"/>
        <w:widowControl/>
        <w:kinsoku/>
        <w:wordWrap/>
        <w:overflowPunct/>
        <w:topLinePunct w:val="0"/>
        <w:autoSpaceDE/>
        <w:autoSpaceDN/>
        <w:bidi w:val="0"/>
        <w:adjustRightInd/>
        <w:snapToGrid/>
        <w:spacing w:line="420" w:lineRule="exact"/>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12.纸质响应文件的密封、标识、签署和提交</w:t>
      </w:r>
    </w:p>
    <w:p w14:paraId="1BC9876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12.1供应商应当将响应文件密封包装提交，并在外封套上标识项目名称、项目编号、供应商单位名称以及“于 之前（指首次响应文件递交截止日期及时间）不准启封响应文件”的字样；采用邮寄方式提交响应文件的，其外包装上也必须按前文要求做好标识内容和字样，且供应商还应当主动向采购人或采购代理机构确认邮件收递情况。由于供应商未按照要求对其提交的响应文件进行密封、标识、邮寄确认等，由此可能产生的后果（包括拒收、误放、遗漏或提前拆封等情形），将由供应商自行承担相应结果，采购人或采购代理机构不承担责任。</w:t>
      </w:r>
    </w:p>
    <w:p w14:paraId="1EF0E75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12.2供应商应当在磋商文件规定的提交响应文件截止时间前，将首次响应文件密封送达磋商文件规定的指定地点。在截止时间后送达的首次响应文件为无效文件，采购人、采购代理机构或者磋商小组将不予接收。</w:t>
      </w:r>
    </w:p>
    <w:p w14:paraId="20CB83A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12.3供应商在首次响应文件递交截止时间前，可以对其所提交的响应文件进行补充、修改或者撤回，并书面通知采购人、采购代理机构或磋商小组。补充、修改的内容作为响应文件的组成部分。补充、修改的内容与响应文件不一致的，以补充、修改的内容为准。供应商在提交响应文件截止时间前提交的补充、修改或者撤回申请要求，应当以原件书面形式并由供应商代表签署（供应商代表如果不是竞争性磋商须知中定义的“单位负责人”，则还必须提供“单位负责人授权书”），或者加盖供应商单位公章方可生效，否则采购人、采购代理机构或磋商小组将视为无效补充、修改或者撤回。采购人、采购代理机构或磋商小组不接受供应商口头、电话、传真或电子邮件形式提交的补充、修改或者撤回。</w:t>
      </w:r>
    </w:p>
    <w:p w14:paraId="78AA50D3">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12.4供应商在磋商过程中根据磋商小组要求，提交的有关澄清、说明、补充、更正响应文件以及最后报价响应文件等资料，均应由供应商代表签署（供应商代表如果不是竞争性磋商须知中定义的“单位负责人”，则还必须提供“单位负责人授权书”），或者加盖供应商单位公章。</w:t>
      </w:r>
    </w:p>
    <w:p w14:paraId="3B3AF73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12.5除《政府采购竞争性磋商采购方式管理暂行办法》等相关法律法规及财政部门颁布的规范性文件允许的两家供应商进行竞争性磋商采购情形外，首次响应文件递交截止时间后，提交响应文件的供应商不足三家的，本次竞争性磋商活动终止，除采购任务取消情形外，采购人将依法重新组织采购或者采取其他方式采购。</w:t>
      </w:r>
    </w:p>
    <w:p w14:paraId="630CBDF4">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四、竞争性磋商</w:t>
      </w:r>
    </w:p>
    <w:p w14:paraId="002020FB">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13.评审和磋商基本准则</w:t>
      </w:r>
    </w:p>
    <w:p w14:paraId="00B49EC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13.1对所有供应商的评审和磋商，都采用相同的程序和标准。</w:t>
      </w:r>
    </w:p>
    <w:p w14:paraId="2CE1BBD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13.2磋商及评审过程将严格按照磋商文件的要求和条件进行，磋商小组将根据供应商的响应文件，按磋商文件规定的磋商程序及评审的标准和方法进行评审、磋商，并推荐成交候选人。</w:t>
      </w:r>
    </w:p>
    <w:p w14:paraId="0B093681">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14.磋商程序以及评审标准和方法</w:t>
      </w:r>
    </w:p>
    <w:p w14:paraId="2C389E9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14.1采购人将根据项目的特点依法组建磋商小组。磋商小组将根据磋商文件规定的程序、评审标准和方法等内容对供应商进行评审、磋商。</w:t>
      </w:r>
    </w:p>
    <w:p w14:paraId="259426F8">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14.2 在进入磋商阶段之前，磋商小组将对供应商提交的首次响应文件中资格证明文件以及其他响应文件是否对磋商文件的要求作出实质性响应进行审查。如果供应商资格审查和实质性响应审查不合格，则其响应文件将被磋商小组否决，按无效处理，不进入磋商阶段，磋商小组将告知有关供应商。</w:t>
      </w:r>
    </w:p>
    <w:p w14:paraId="128AD81C">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14.2.1供应商有下列情况之一者，其提交的响应文件将被视为未实质性响应磋商文件要求，磋商小组将否决其响应文件，按无效处理：</w:t>
      </w:r>
    </w:p>
    <w:p w14:paraId="1E8D0993">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采购包1：</w:t>
      </w:r>
    </w:p>
    <w:tbl>
      <w:tblPr>
        <w:tblStyle w:val="13"/>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568"/>
        <w:gridCol w:w="1018"/>
        <w:gridCol w:w="6936"/>
      </w:tblGrid>
      <w:tr w14:paraId="2A5D1BD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top"/>
          </w:tcPr>
          <w:p w14:paraId="7737DD62">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序号</w:t>
            </w:r>
          </w:p>
        </w:tc>
        <w:tc>
          <w:tcPr>
            <w:tcW w:w="0" w:type="auto"/>
            <w:noWrap w:val="0"/>
            <w:vAlign w:val="top"/>
          </w:tcPr>
          <w:p w14:paraId="7CE598A2">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符合审查要求概况</w:t>
            </w:r>
          </w:p>
        </w:tc>
        <w:tc>
          <w:tcPr>
            <w:tcW w:w="0" w:type="auto"/>
            <w:noWrap w:val="0"/>
            <w:vAlign w:val="top"/>
          </w:tcPr>
          <w:p w14:paraId="786C9B9F">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评审点具体描述</w:t>
            </w:r>
          </w:p>
        </w:tc>
      </w:tr>
      <w:tr w14:paraId="50D3A18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top"/>
          </w:tcPr>
          <w:p w14:paraId="7B6BD238">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0" w:type="auto"/>
            <w:noWrap w:val="0"/>
            <w:vAlign w:val="top"/>
          </w:tcPr>
          <w:p w14:paraId="02077C8A">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情形1</w:t>
            </w:r>
          </w:p>
        </w:tc>
        <w:tc>
          <w:tcPr>
            <w:tcW w:w="0" w:type="auto"/>
            <w:noWrap w:val="0"/>
            <w:vAlign w:val="top"/>
          </w:tcPr>
          <w:p w14:paraId="3DF82B18">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响应文件中提供的资格证明文件不全的；</w:t>
            </w:r>
          </w:p>
        </w:tc>
      </w:tr>
      <w:tr w14:paraId="49055DA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top"/>
          </w:tcPr>
          <w:p w14:paraId="4880B61D">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2</w:t>
            </w:r>
          </w:p>
        </w:tc>
        <w:tc>
          <w:tcPr>
            <w:tcW w:w="0" w:type="auto"/>
            <w:noWrap w:val="0"/>
            <w:vAlign w:val="top"/>
          </w:tcPr>
          <w:p w14:paraId="4B37E92D">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情形2</w:t>
            </w:r>
          </w:p>
        </w:tc>
        <w:tc>
          <w:tcPr>
            <w:tcW w:w="0" w:type="auto"/>
            <w:noWrap w:val="0"/>
            <w:vAlign w:val="top"/>
          </w:tcPr>
          <w:p w14:paraId="62DE4C11">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响应文件未按磋商文件规定由供应商代表签字，或未按磋商文件规定加盖供应商单位公章的；或供应商代表未获得有效授权的；</w:t>
            </w:r>
          </w:p>
        </w:tc>
      </w:tr>
      <w:tr w14:paraId="5C62E2F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top"/>
          </w:tcPr>
          <w:p w14:paraId="67E15F87">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3</w:t>
            </w:r>
          </w:p>
        </w:tc>
        <w:tc>
          <w:tcPr>
            <w:tcW w:w="0" w:type="auto"/>
            <w:noWrap w:val="0"/>
            <w:vAlign w:val="top"/>
          </w:tcPr>
          <w:p w14:paraId="42443744">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情形3</w:t>
            </w:r>
          </w:p>
        </w:tc>
        <w:tc>
          <w:tcPr>
            <w:tcW w:w="0" w:type="auto"/>
            <w:noWrap w:val="0"/>
            <w:vAlign w:val="top"/>
          </w:tcPr>
          <w:p w14:paraId="05A98E0F">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供应商未按磋商文件规定提交磋商保证金的；</w:t>
            </w:r>
          </w:p>
        </w:tc>
      </w:tr>
      <w:tr w14:paraId="12CD59B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top"/>
          </w:tcPr>
          <w:p w14:paraId="6117DF51">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4</w:t>
            </w:r>
          </w:p>
        </w:tc>
        <w:tc>
          <w:tcPr>
            <w:tcW w:w="0" w:type="auto"/>
            <w:noWrap w:val="0"/>
            <w:vAlign w:val="top"/>
          </w:tcPr>
          <w:p w14:paraId="135DA020">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情形4</w:t>
            </w:r>
          </w:p>
        </w:tc>
        <w:tc>
          <w:tcPr>
            <w:tcW w:w="0" w:type="auto"/>
            <w:noWrap w:val="0"/>
            <w:vAlign w:val="top"/>
          </w:tcPr>
          <w:p w14:paraId="0FC9AC6B">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响应文件有效期不满足磋商文件要求的；</w:t>
            </w:r>
          </w:p>
        </w:tc>
      </w:tr>
      <w:tr w14:paraId="683557E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top"/>
          </w:tcPr>
          <w:p w14:paraId="5FCDBA6E">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5</w:t>
            </w:r>
          </w:p>
        </w:tc>
        <w:tc>
          <w:tcPr>
            <w:tcW w:w="0" w:type="auto"/>
            <w:noWrap w:val="0"/>
            <w:vAlign w:val="top"/>
          </w:tcPr>
          <w:p w14:paraId="4FBAE299">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情形5</w:t>
            </w:r>
          </w:p>
        </w:tc>
        <w:tc>
          <w:tcPr>
            <w:tcW w:w="0" w:type="auto"/>
            <w:noWrap w:val="0"/>
            <w:vAlign w:val="top"/>
          </w:tcPr>
          <w:p w14:paraId="050DF3EF">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响应内容与磋商采购内容及要求有重大偏离或保留的，限制了采购人的权利或者减少成交人合同项下的义务；（由于磋商项目本身特点，不能详细列明采购标的的技术、服务要求的除外）；</w:t>
            </w:r>
          </w:p>
        </w:tc>
      </w:tr>
      <w:tr w14:paraId="02A699B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top"/>
          </w:tcPr>
          <w:p w14:paraId="46CE6324">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6</w:t>
            </w:r>
          </w:p>
        </w:tc>
        <w:tc>
          <w:tcPr>
            <w:tcW w:w="0" w:type="auto"/>
            <w:noWrap w:val="0"/>
            <w:vAlign w:val="top"/>
          </w:tcPr>
          <w:p w14:paraId="5FD415A1">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情形6</w:t>
            </w:r>
          </w:p>
        </w:tc>
        <w:tc>
          <w:tcPr>
            <w:tcW w:w="0" w:type="auto"/>
            <w:noWrap w:val="0"/>
            <w:vAlign w:val="top"/>
          </w:tcPr>
          <w:p w14:paraId="1E7528A8">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响应文件中附有采购人无法接受的条件的；</w:t>
            </w:r>
          </w:p>
        </w:tc>
      </w:tr>
      <w:tr w14:paraId="2E770D2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0" w:type="auto"/>
            <w:noWrap w:val="0"/>
            <w:vAlign w:val="top"/>
          </w:tcPr>
          <w:p w14:paraId="7C10208D">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7</w:t>
            </w:r>
          </w:p>
        </w:tc>
        <w:tc>
          <w:tcPr>
            <w:tcW w:w="0" w:type="auto"/>
            <w:noWrap w:val="0"/>
            <w:vAlign w:val="top"/>
          </w:tcPr>
          <w:p w14:paraId="50F6B0D1">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情形7</w:t>
            </w:r>
          </w:p>
        </w:tc>
        <w:tc>
          <w:tcPr>
            <w:tcW w:w="0" w:type="auto"/>
            <w:noWrap w:val="0"/>
            <w:vAlign w:val="top"/>
          </w:tcPr>
          <w:p w14:paraId="11A67501">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不符合磋商文件中规定的其它实质性条款（比如：报价超过了磋商文件规定的最高限价）。</w:t>
            </w:r>
          </w:p>
        </w:tc>
      </w:tr>
    </w:tbl>
    <w:p w14:paraId="1098A5AF">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14.2.2其他情形</w:t>
      </w:r>
    </w:p>
    <w:p w14:paraId="086471C0">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采购包1：</w:t>
      </w:r>
    </w:p>
    <w:p w14:paraId="6EA6A510">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技术符合性</w:t>
      </w:r>
    </w:p>
    <w:tbl>
      <w:tblPr>
        <w:tblStyle w:val="13"/>
        <w:tblW w:w="5000" w:type="pct"/>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945"/>
        <w:gridCol w:w="6577"/>
      </w:tblGrid>
      <w:tr w14:paraId="37E88A3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141" w:type="pct"/>
            <w:noWrap w:val="0"/>
            <w:vAlign w:val="top"/>
          </w:tcPr>
          <w:p w14:paraId="1D634C1F">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情形</w:t>
            </w:r>
          </w:p>
        </w:tc>
        <w:tc>
          <w:tcPr>
            <w:tcW w:w="3858" w:type="pct"/>
            <w:noWrap w:val="0"/>
            <w:vAlign w:val="top"/>
          </w:tcPr>
          <w:p w14:paraId="32473273">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明细</w:t>
            </w:r>
          </w:p>
        </w:tc>
      </w:tr>
      <w:tr w14:paraId="30D70B5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41" w:type="pct"/>
            <w:noWrap w:val="0"/>
            <w:vAlign w:val="top"/>
          </w:tcPr>
          <w:p w14:paraId="4450581C">
            <w:pPr>
              <w:pStyle w:val="18"/>
              <w:spacing w:line="420" w:lineRule="exact"/>
              <w:jc w:val="left"/>
              <w:rPr>
                <w:rFonts w:hint="eastAsia" w:ascii="宋体" w:hAnsi="宋体" w:eastAsia="宋体" w:cs="宋体"/>
                <w:sz w:val="24"/>
                <w:szCs w:val="24"/>
              </w:rPr>
            </w:pPr>
            <w:r>
              <w:rPr>
                <w:rFonts w:ascii="宋体" w:hAnsi="宋体" w:eastAsia="宋体" w:cs="宋体"/>
                <w:sz w:val="24"/>
                <w:szCs w:val="24"/>
              </w:rPr>
              <w:t>其他情形</w:t>
            </w:r>
          </w:p>
        </w:tc>
        <w:tc>
          <w:tcPr>
            <w:tcW w:w="3858" w:type="pct"/>
            <w:noWrap w:val="0"/>
            <w:vAlign w:val="top"/>
          </w:tcPr>
          <w:p w14:paraId="7E9C6B87">
            <w:pPr>
              <w:pStyle w:val="18"/>
              <w:spacing w:line="420" w:lineRule="exact"/>
              <w:jc w:val="left"/>
              <w:rPr>
                <w:rFonts w:hint="eastAsia" w:ascii="宋体" w:hAnsi="宋体" w:eastAsia="宋体" w:cs="宋体"/>
                <w:sz w:val="24"/>
                <w:szCs w:val="24"/>
              </w:rPr>
            </w:pPr>
            <w:r>
              <w:rPr>
                <w:rFonts w:ascii="宋体" w:hAnsi="宋体" w:eastAsia="宋体" w:cs="宋体"/>
                <w:sz w:val="24"/>
                <w:szCs w:val="24"/>
              </w:rPr>
              <w:t>属于竞争性磋商文件规定磋商小组应否决其响应的情形。</w:t>
            </w:r>
          </w:p>
        </w:tc>
      </w:tr>
      <w:tr w14:paraId="62A0138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141" w:type="pct"/>
            <w:noWrap w:val="0"/>
            <w:vAlign w:val="top"/>
          </w:tcPr>
          <w:p w14:paraId="1098D83B">
            <w:pPr>
              <w:pStyle w:val="18"/>
              <w:spacing w:line="420" w:lineRule="exact"/>
              <w:jc w:val="left"/>
              <w:rPr>
                <w:rFonts w:hint="eastAsia" w:ascii="宋体" w:hAnsi="宋体" w:eastAsia="宋体" w:cs="宋体"/>
                <w:sz w:val="24"/>
                <w:szCs w:val="24"/>
              </w:rPr>
            </w:pPr>
            <w:r>
              <w:rPr>
                <w:rFonts w:ascii="宋体" w:hAnsi="宋体" w:eastAsia="宋体" w:cs="宋体"/>
                <w:sz w:val="24"/>
                <w:szCs w:val="24"/>
              </w:rPr>
              <w:t>其他情形</w:t>
            </w:r>
          </w:p>
        </w:tc>
        <w:tc>
          <w:tcPr>
            <w:tcW w:w="3858" w:type="pct"/>
            <w:noWrap w:val="0"/>
            <w:vAlign w:val="top"/>
          </w:tcPr>
          <w:p w14:paraId="2C008FEC">
            <w:pPr>
              <w:pStyle w:val="18"/>
              <w:spacing w:line="420" w:lineRule="exact"/>
              <w:jc w:val="left"/>
              <w:rPr>
                <w:rFonts w:hint="eastAsia" w:ascii="宋体" w:hAnsi="宋体" w:eastAsia="宋体" w:cs="宋体"/>
                <w:sz w:val="24"/>
                <w:szCs w:val="24"/>
              </w:rPr>
            </w:pPr>
            <w:r>
              <w:rPr>
                <w:rFonts w:hint="eastAsia" w:ascii="宋体" w:hAnsi="宋体" w:eastAsia="宋体" w:cs="宋体"/>
                <w:sz w:val="24"/>
                <w:szCs w:val="24"/>
              </w:rPr>
              <w:t>违反竞争性磋商文件中载明“响应无效”条款的规定。</w:t>
            </w:r>
          </w:p>
        </w:tc>
      </w:tr>
    </w:tbl>
    <w:p w14:paraId="1BE5A04C">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商务符合性</w:t>
      </w:r>
    </w:p>
    <w:tbl>
      <w:tblPr>
        <w:tblStyle w:val="13"/>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316"/>
        <w:gridCol w:w="7206"/>
      </w:tblGrid>
      <w:tr w14:paraId="41CA848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16" w:type="dxa"/>
            <w:noWrap w:val="0"/>
            <w:vAlign w:val="top"/>
          </w:tcPr>
          <w:p w14:paraId="3D8C55B5">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情形</w:t>
            </w:r>
          </w:p>
        </w:tc>
        <w:tc>
          <w:tcPr>
            <w:tcW w:w="7206" w:type="dxa"/>
            <w:noWrap w:val="0"/>
            <w:vAlign w:val="top"/>
          </w:tcPr>
          <w:p w14:paraId="1A2B8E3D">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明细</w:t>
            </w:r>
          </w:p>
        </w:tc>
      </w:tr>
      <w:tr w14:paraId="636A397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16" w:type="dxa"/>
            <w:noWrap w:val="0"/>
            <w:vAlign w:val="top"/>
          </w:tcPr>
          <w:p w14:paraId="1CDAB036">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其他情形</w:t>
            </w:r>
          </w:p>
        </w:tc>
        <w:tc>
          <w:tcPr>
            <w:tcW w:w="7206" w:type="dxa"/>
            <w:noWrap w:val="0"/>
            <w:vAlign w:val="top"/>
          </w:tcPr>
          <w:p w14:paraId="15F9DF0B">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对磋商文件第三章“三、商务条件”中内容出现负偏离的，按无效响应处理。</w:t>
            </w:r>
          </w:p>
        </w:tc>
      </w:tr>
      <w:tr w14:paraId="1A67CF6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16" w:type="dxa"/>
            <w:noWrap w:val="0"/>
            <w:vAlign w:val="top"/>
          </w:tcPr>
          <w:p w14:paraId="7FD045DC">
            <w:pPr>
              <w:pStyle w:val="18"/>
              <w:spacing w:line="420" w:lineRule="exact"/>
              <w:jc w:val="left"/>
              <w:rPr>
                <w:rFonts w:hint="eastAsia" w:ascii="宋体" w:hAnsi="宋体" w:eastAsia="宋体" w:cs="宋体"/>
                <w:sz w:val="24"/>
                <w:szCs w:val="24"/>
              </w:rPr>
            </w:pPr>
            <w:r>
              <w:rPr>
                <w:rFonts w:ascii="宋体" w:hAnsi="宋体" w:eastAsia="宋体" w:cs="宋体"/>
                <w:sz w:val="24"/>
                <w:szCs w:val="24"/>
              </w:rPr>
              <w:t>其他情形</w:t>
            </w:r>
          </w:p>
        </w:tc>
        <w:tc>
          <w:tcPr>
            <w:tcW w:w="7206" w:type="dxa"/>
            <w:noWrap w:val="0"/>
            <w:vAlign w:val="top"/>
          </w:tcPr>
          <w:p w14:paraId="59B20167">
            <w:pPr>
              <w:pStyle w:val="18"/>
              <w:spacing w:line="420" w:lineRule="exact"/>
              <w:jc w:val="left"/>
              <w:rPr>
                <w:rFonts w:hint="eastAsia" w:ascii="宋体" w:hAnsi="宋体" w:eastAsia="宋体" w:cs="宋体"/>
                <w:sz w:val="24"/>
                <w:szCs w:val="24"/>
              </w:rPr>
            </w:pPr>
            <w:r>
              <w:rPr>
                <w:rFonts w:ascii="宋体" w:hAnsi="宋体" w:eastAsia="宋体" w:cs="宋体"/>
                <w:sz w:val="24"/>
                <w:szCs w:val="24"/>
              </w:rPr>
              <w:t>属于竞争性磋商文件规定磋商小组应否决其响应的情形。</w:t>
            </w:r>
          </w:p>
        </w:tc>
      </w:tr>
      <w:tr w14:paraId="4772FCE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16" w:type="dxa"/>
            <w:noWrap w:val="0"/>
            <w:vAlign w:val="top"/>
          </w:tcPr>
          <w:p w14:paraId="528C4874">
            <w:pPr>
              <w:pStyle w:val="18"/>
              <w:spacing w:line="420" w:lineRule="exact"/>
              <w:jc w:val="left"/>
              <w:rPr>
                <w:rFonts w:hint="eastAsia" w:ascii="宋体" w:hAnsi="宋体" w:eastAsia="宋体" w:cs="宋体"/>
                <w:sz w:val="24"/>
                <w:szCs w:val="24"/>
              </w:rPr>
            </w:pPr>
            <w:r>
              <w:rPr>
                <w:rFonts w:ascii="宋体" w:hAnsi="宋体" w:eastAsia="宋体" w:cs="宋体"/>
                <w:sz w:val="24"/>
                <w:szCs w:val="24"/>
              </w:rPr>
              <w:t>其他情形</w:t>
            </w:r>
          </w:p>
        </w:tc>
        <w:tc>
          <w:tcPr>
            <w:tcW w:w="7206" w:type="dxa"/>
            <w:noWrap w:val="0"/>
            <w:vAlign w:val="top"/>
          </w:tcPr>
          <w:p w14:paraId="429C74F4">
            <w:pPr>
              <w:pStyle w:val="18"/>
              <w:spacing w:line="420" w:lineRule="exact"/>
              <w:jc w:val="left"/>
              <w:rPr>
                <w:rFonts w:hint="eastAsia" w:ascii="宋体" w:hAnsi="宋体" w:eastAsia="宋体" w:cs="宋体"/>
                <w:sz w:val="24"/>
                <w:szCs w:val="24"/>
              </w:rPr>
            </w:pPr>
            <w:r>
              <w:rPr>
                <w:rFonts w:hint="eastAsia" w:ascii="宋体" w:hAnsi="宋体" w:eastAsia="宋体" w:cs="宋体"/>
                <w:sz w:val="24"/>
                <w:szCs w:val="24"/>
              </w:rPr>
              <w:t>违反竞争性磋商文件中载明“响应无效”条款的规定。</w:t>
            </w:r>
          </w:p>
        </w:tc>
      </w:tr>
    </w:tbl>
    <w:p w14:paraId="7CF6FA7E">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附加符合性：无</w:t>
      </w:r>
    </w:p>
    <w:p w14:paraId="4EA2FACC">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价格符合性</w:t>
      </w:r>
    </w:p>
    <w:tbl>
      <w:tblPr>
        <w:tblStyle w:val="13"/>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1316"/>
        <w:gridCol w:w="7206"/>
      </w:tblGrid>
      <w:tr w14:paraId="0AEECEE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1316" w:type="dxa"/>
            <w:noWrap w:val="0"/>
            <w:vAlign w:val="top"/>
          </w:tcPr>
          <w:p w14:paraId="66B5D4E2">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情形</w:t>
            </w:r>
          </w:p>
        </w:tc>
        <w:tc>
          <w:tcPr>
            <w:tcW w:w="7206" w:type="dxa"/>
            <w:noWrap w:val="0"/>
            <w:vAlign w:val="top"/>
          </w:tcPr>
          <w:p w14:paraId="08F514C5">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明细</w:t>
            </w:r>
          </w:p>
        </w:tc>
      </w:tr>
      <w:tr w14:paraId="589EF77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16" w:type="dxa"/>
            <w:noWrap w:val="0"/>
            <w:vAlign w:val="top"/>
          </w:tcPr>
          <w:p w14:paraId="1EA3223A">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其他情形</w:t>
            </w:r>
          </w:p>
        </w:tc>
        <w:tc>
          <w:tcPr>
            <w:tcW w:w="7206" w:type="dxa"/>
            <w:noWrap w:val="0"/>
            <w:vAlign w:val="top"/>
          </w:tcPr>
          <w:p w14:paraId="7C740BF9">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磋商小组认为供应商的报价明显低于其他通过符合性审查供应商的报价，有可能影响服务质量或不能诚信履约的，应要求其在评标现场合理的时间内提供书面说明，必要时还应要求其一并提交有关证明材料；供应商不能证明其报价合理性的。</w:t>
            </w:r>
          </w:p>
        </w:tc>
      </w:tr>
      <w:tr w14:paraId="761953C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1316" w:type="dxa"/>
            <w:noWrap w:val="0"/>
            <w:vAlign w:val="top"/>
          </w:tcPr>
          <w:p w14:paraId="3B6F7618">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其他情形</w:t>
            </w:r>
          </w:p>
        </w:tc>
        <w:tc>
          <w:tcPr>
            <w:tcW w:w="7206" w:type="dxa"/>
            <w:noWrap w:val="0"/>
            <w:vAlign w:val="top"/>
          </w:tcPr>
          <w:p w14:paraId="5CB66FF0">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报价总价超出最高限价的。</w:t>
            </w:r>
          </w:p>
        </w:tc>
      </w:tr>
    </w:tbl>
    <w:p w14:paraId="2890466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磋商小组决定供应商的响应性只根据响应文件本身的内容，而不寻求其他的外部证据。</w:t>
      </w:r>
    </w:p>
    <w:p w14:paraId="4076D73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14.3磋商小组在对供应商进行响应文件资格审查、实质响应性审查时，可以要求供应商对响应文件中含义不明确、同类问题表述不一致或者有明显文字和计算错误的内容等作出必要的澄清、说明或者更正。供应商的澄清、说明或者更正不得超出响应文件的范围或者改变响应文件的实质性内容。磋商小组要求供应商澄清、说明或者更正响应文件应当以书面形式作出。</w:t>
      </w:r>
    </w:p>
    <w:p w14:paraId="7CFCB47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14.4只有资格审查和实质性响应审查合格的供应商才能进入磋商阶段。磋商小组所有成员将集中与单一供应商分别进行磋商，并给予所有参加磋商的合格供应商平等的磋商机会。磋商过程中，磋商小组可以根据磋商文件和磋商情况实质性变动采购需求中的技术、服务要求以及合同草案条款，但不得变动竞争性磋商文件中的其他内容。实质性变动的内容，须经采购人代表确认。磋商过程中对磋商文件作出的实质性变动是磋商文件的有效组成部分，磋商小组将及时以书面形式同时通知所有参加磋商的供应商。根据采购项目的特点和需要，在磋商过程中可能发生实质性变动的内容详见竞争性磋商须知前附表第7项。</w:t>
      </w:r>
    </w:p>
    <w:p w14:paraId="0D26B4F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14.5合格供应商应当按照磋商文件的变动情况和磋商小组的要求提交补充响应文件（首次响应文件中已经提交过的如资格证明文件等资料，不用重新提供），并由供应商代表签字或加盖供应商单位公章。供应商代表如果不是竞争性磋商须知中定义的“单位负责人”，则还必须提供“单位负责人授权书”。供应商为自然人的，应当由本人签字并附身份证明。</w:t>
      </w:r>
    </w:p>
    <w:p w14:paraId="013F514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14.6磋商文件能够详细列明采购标的的技术、服务要求的，磋商结束后，磋商小组应当要求所有实质性响应的合格供应商在规定时间内提交最后报价。属于《政府采购竞争性磋商采购方式管理暂行办法》等相关法律法规及财政部门颁布的规范性文件允许的两家供应商进行竞争性磋商采购情形，则提交最后报价的供应商可以为2家。</w:t>
      </w:r>
    </w:p>
    <w:p w14:paraId="3C7632F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14.7磋商文件不能详细列明采购标的的技术、服务要求，需经磋商由供应商提供最终设计方案或解决方案的，磋商结束后，磋商小组应当按照少数服从多数的原则投票推荐3家及以上供应商的设计方案或者解决方案，具体推荐数量和投票细则等内容按照“竞争性磋商须知前附表”中专项附件：“评审的标准和方法”的相关条款规定执行，并要求其在规定时间内提交最后报价。属于《政府采购竞争性磋商采购方式管理暂行办法》等相关法律法规及财政部门颁布的规范性文件允许的两家供应商进行竞争性磋商采购情形，则提交最后报价的供应商可以为2家。</w:t>
      </w:r>
    </w:p>
    <w:p w14:paraId="24DFB64C">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14.8最后报价是供应商响应文件的有效组成部分。如果供应商的最后报价明显低于其他最后报价，使得其最后报价有可能影响商品或服务质量或者不能诚信履约的，供应商应当按照磋商小组要求，在规定时间内作出书面说明，必要时提交相关证明材料；供应商不能合理说明其报价合理性的，磋商小组可以做无效响应文件和无效报价处理。</w:t>
      </w:r>
    </w:p>
    <w:p w14:paraId="5749C96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14.9磋商小组将采用综合评分法对提交最后报价的供应商的响应文件和最后报价进行综合评分，具体评审的标准和方法详见竞争性磋商须知前附表第8项。磋商小组根据综合评分情况，按照评审得分由高到低顺序推荐3名及以上成交候选供应商，并编写评审报告。属于《政府采购竞争性磋商采购方式管理暂行办法》等相关法律法规及财政部门颁布的规范性文件允许的两家供应商进行竞争性磋商采购情形，则可以按照评审得分由高到低顺序推荐2名成交候选供应商。如果成交候选供应商出现并列相同的评审得分，则相应处理方式按照“竞争性磋商须知前附表”中专项附件：“评审的标准和方法”的相关条款规定执行。</w:t>
      </w:r>
    </w:p>
    <w:p w14:paraId="38824C8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14.10供应商提交的响应文件和资料将给予保密，但不退回（有关证件或证照的原件除外）。</w:t>
      </w:r>
    </w:p>
    <w:p w14:paraId="1F6D503F">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五、合同授予</w:t>
      </w:r>
    </w:p>
    <w:p w14:paraId="276C151C">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 xml:space="preserve"> </w:t>
      </w:r>
      <w:r>
        <w:rPr>
          <w:rFonts w:hint="eastAsia" w:ascii="宋体" w:hAnsi="宋体" w:eastAsia="宋体" w:cs="宋体"/>
          <w:b/>
          <w:sz w:val="24"/>
          <w:szCs w:val="24"/>
        </w:rPr>
        <w:t>15.授予合同的准则：</w:t>
      </w:r>
    </w:p>
    <w:p w14:paraId="22F568F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15.1除不可抗力等因素外，合同将授予响应文件符合竞争性磋商文件要求，能够圆满地履行合同，且被磋商小组推荐为第一成交候选人的供应商。</w:t>
      </w:r>
    </w:p>
    <w:p w14:paraId="2E803278">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15.2 政府采购合同履行中，采购人需追加与合同标的相同的货物、工程或者服务的，在不改变合同其他条款的前提下，可以与成交人协商签订补充合同，但所有补充合同的采购金额不得超过原合同采购金额的百分之十。</w:t>
      </w:r>
    </w:p>
    <w:p w14:paraId="2C6A13C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15.3为维护国家利益和社会公共利益，最低报价不是被授予合同的绝对保证。</w:t>
      </w:r>
    </w:p>
    <w:p w14:paraId="0778027F">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b/>
          <w:sz w:val="24"/>
          <w:szCs w:val="24"/>
        </w:rPr>
        <w:t>16.确定成交供应商：</w:t>
      </w:r>
    </w:p>
    <w:p w14:paraId="523B1F3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16.1采购人委托代理机构组织竞争性磋商采购活动的，采购代理机构在评审结束后2个工作日内将评审报告送采购人确认。</w:t>
      </w:r>
    </w:p>
    <w:p w14:paraId="473C656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16.2采购人在收到评审报告后5个工作日内，从评审报告提出的成交候选人中，按照综合评分得分排序由高到低的原则确定成交人，也可以书面授权磋商小组直接确定成交人。采购人逾期未确定成交人且不提出异议的，视为确定评审报告提出的排序第一的供应商为成交人。</w:t>
      </w:r>
    </w:p>
    <w:p w14:paraId="4E53C54E">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b/>
          <w:sz w:val="24"/>
          <w:szCs w:val="24"/>
        </w:rPr>
        <w:t>17.成交通知:</w:t>
      </w:r>
    </w:p>
    <w:p w14:paraId="1045C39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17.1采购人或者采购代理机构在成交人确定后2个工作日内，在省级以上财政部门指定的媒体上公告成交结果，同时向成交人发出成交通知书。采用书面推荐供应商参加采购活动的，还将公告采购人和评审专家的推荐意见。</w:t>
      </w:r>
    </w:p>
    <w:p w14:paraId="4540C69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17.2成交通知书对采购人和成交人具有同等法律效力。除不可抗力因素或政策原因外，成交通知书发出后，采购人改变成交结果，或者成交人拒绝签订政府采购合同的，均应当承担相应的法律责任。未成交人对成交结果公告如果有异议的，应当自成交结果公告刊登之日起7个工作日内，以书面形式向采购人或采购代理机构提出质疑，有关质疑、投诉的相关规定和要求，按照《中华人民共和国政府采购法》、《中华人民共和国政府采购法实施条例》、有关财政部规章等法律文件规定执行。</w:t>
      </w:r>
    </w:p>
    <w:p w14:paraId="35E97B4E">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b/>
          <w:sz w:val="24"/>
          <w:szCs w:val="24"/>
        </w:rPr>
        <w:t>18.签订合同：</w:t>
      </w:r>
    </w:p>
    <w:p w14:paraId="17B1324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18.1采购人与成交人应当（详见须知前附表1中的18.1）按照采购文件确定的合同文本以及采购标的、规格型号、采购金额、采购数量、技术和服务要求等事项签订政府采购合同。根据项目的特点和需要，采购人如果对签订合同的时间期限、地点有特别要求的，可以在成交通知书中进一步明确，成交人应当按照成交通知书的规定和要求，及时与采购人签订合同。</w:t>
      </w:r>
    </w:p>
    <w:p w14:paraId="03C7321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18.2竞争性磋商文件、成交人的响应文件及其有关澄清承诺文件等，均为签订政府采购合同的依据和组成部分。</w:t>
      </w:r>
    </w:p>
    <w:p w14:paraId="7DFD01E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18.3采购人不得向成交人提出超出竞争性磋商文件以外的任何要求作为签订合同的条件，不得与成交人订立背离竞争性磋商文件确定的合同文本以及采购标的、规格型号、采购金额、采购数量、技术和服务要求等实质性内容的协议。</w:t>
      </w:r>
    </w:p>
    <w:p w14:paraId="7E9AEA90">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六、询问、质疑与投诉</w:t>
      </w:r>
    </w:p>
    <w:p w14:paraId="336396B2">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b/>
          <w:sz w:val="24"/>
          <w:szCs w:val="24"/>
        </w:rPr>
        <w:t>19.询问</w:t>
      </w:r>
    </w:p>
    <w:p w14:paraId="5020E4E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19.1潜在供应商或供应商对本次采购活动的有关事项若有疑问，可向采购人或采购代理机构提出询问，采购人或采购代理机构将按照政府采购法及实施条例的有关规定进行答复。</w:t>
      </w:r>
    </w:p>
    <w:p w14:paraId="11E895F3">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b/>
          <w:sz w:val="24"/>
          <w:szCs w:val="24"/>
        </w:rPr>
        <w:t>20.质疑</w:t>
      </w:r>
    </w:p>
    <w:p w14:paraId="2DA3596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20.1质疑应在政府采购法及实施条例规定的时效内提出，并符合下列条件：</w:t>
      </w:r>
    </w:p>
    <w:p w14:paraId="0B04CB3E">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20.1.1对磋商文件提出质疑的，质疑人应为潜在供应商，且两者的身份、名称等均应保持一致。对采购过程、结果提出质疑的，质疑人应为供应商，且两者的身份、名称等均应保持一致。提出质疑的供应商应当是参与所质疑项目采购活动的供应商。</w:t>
      </w:r>
    </w:p>
    <w:p w14:paraId="6BA1D3BB">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20.1.2质疑人应提交质疑函原件。</w:t>
      </w:r>
    </w:p>
    <w:p w14:paraId="669D3C7C">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20.1.3质疑函应包括下列主要内容：</w:t>
      </w:r>
    </w:p>
    <w:p w14:paraId="52B73CD1">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①质疑人的基本信息，至少包括：全称、地址、邮政编码、联系人及联系电话等；适合自然人参加磋商的政府采购项目且质疑人为自然人的，质疑人提供本人的身份证复印件。质疑人为法人或其他组织的，提供统一社会信用代码营业执照或者组织机构登记证件复印件、单位负责人的身份证复印件；质疑人代表为委托代理人的，还应同时提供单位负责人授权书和委托代理人的身份证复印件。</w:t>
      </w:r>
    </w:p>
    <w:p w14:paraId="057D6D6B">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②所质疑项目的基本信息，至少包括：项目编号、项目名称等；</w:t>
      </w:r>
    </w:p>
    <w:p w14:paraId="715B3901">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③所质疑的具体事项（以下简称：“质疑事项”）；</w:t>
      </w:r>
    </w:p>
    <w:p w14:paraId="58B1DE8F">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④质疑人自身权益受到损害的事实依据和证明材料，至少包括：</w:t>
      </w:r>
    </w:p>
    <w:p w14:paraId="25BF451F">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a1所质疑的具体事项事实存在的证明材料；</w:t>
      </w:r>
    </w:p>
    <w:p w14:paraId="46CB708C">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a2所质疑的具体事项事实导致质疑人自身权益受到损害的证明材料，如：采购文件、采购过程或成交结果违法违规，损害自已合法权益等证明材料；</w:t>
      </w:r>
    </w:p>
    <w:p w14:paraId="65C7E358">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lang w:eastAsia="zh-CN"/>
        </w:rPr>
      </w:pPr>
      <w:r>
        <w:rPr>
          <w:rFonts w:hint="eastAsia" w:ascii="宋体" w:hAnsi="宋体" w:eastAsia="宋体" w:cs="宋体"/>
          <w:sz w:val="24"/>
          <w:szCs w:val="24"/>
        </w:rPr>
        <w:t>备注：若质疑的具体事项按照有关法律、法规和规章规定处于应当保密阶段，则应提供信息或证明材料为合法或公开渠道获得的有效证据（若证据无法有效表明信息或证明材料为合法或公开渠道获得，则前述信息或证明材料视为无效）。</w:t>
      </w:r>
    </w:p>
    <w:p w14:paraId="2766EE64">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lang w:eastAsia="zh-CN"/>
        </w:rPr>
      </w:pPr>
    </w:p>
    <w:p w14:paraId="03275F53">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⑤针对质疑事项提出的明确请求和法律依据，</w:t>
      </w:r>
    </w:p>
    <w:p w14:paraId="7049F2C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前述明确请求指质疑人提出质疑的目的、希望采购人或采购代理机构对其质疑作出的处理结果，如：暂停采购活动、修改磋商文件、停止或纠正违法违规行为、成交结果无效、废标、重新采购等，质疑人提出质疑请求还应当对相应的法律依据进行说明。</w:t>
      </w:r>
    </w:p>
    <w:p w14:paraId="1BAB28C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⑥提出质疑的日期以及质疑人代表联系方式，至少包括：姓名、手机、电子信箱、邮寄地址等。</w:t>
      </w:r>
    </w:p>
    <w:p w14:paraId="3CE6ADB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20.2对不符合前文第20.1条规定的质疑，采购人或采购代理机构将按照下列规定进行处理：</w:t>
      </w:r>
    </w:p>
    <w:p w14:paraId="1DCF1B71">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20.2.1超过质疑时效提交的或者质疑人不是参与所质疑项目采购活动的供应商，书面告知质疑人其质疑不成立的原因和理由。</w:t>
      </w:r>
    </w:p>
    <w:p w14:paraId="6815AA2F">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20.2.2质疑函内容不符合规定的，告知质疑人修改、补充后在政府采购法及实施条例规定的时效内重新提交质疑函原件。质疑人拒不修改或补充的，则采购人或采购代理机构应当在质疑答复期内书面告知对方质疑不成立的原因和理由。</w:t>
      </w:r>
    </w:p>
    <w:p w14:paraId="5EBF14AB">
      <w:pPr>
        <w:pStyle w:val="18"/>
        <w:keepNext w:val="0"/>
        <w:keepLines w:val="0"/>
        <w:pageBreakBefore w:val="0"/>
        <w:widowControl/>
        <w:kinsoku/>
        <w:wordWrap/>
        <w:overflowPunct/>
        <w:topLinePunct w:val="0"/>
        <w:autoSpaceDE/>
        <w:autoSpaceDN/>
        <w:bidi w:val="0"/>
        <w:adjustRightInd/>
        <w:snapToGrid/>
        <w:spacing w:line="420" w:lineRule="exact"/>
        <w:ind w:firstLine="960"/>
        <w:textAlignment w:val="auto"/>
        <w:rPr>
          <w:rFonts w:hint="eastAsia" w:ascii="宋体" w:hAnsi="宋体" w:eastAsia="宋体" w:cs="宋体"/>
          <w:sz w:val="24"/>
          <w:szCs w:val="24"/>
        </w:rPr>
      </w:pPr>
      <w:r>
        <w:rPr>
          <w:rFonts w:hint="eastAsia" w:ascii="宋体" w:hAnsi="宋体" w:eastAsia="宋体" w:cs="宋体"/>
          <w:sz w:val="24"/>
          <w:szCs w:val="24"/>
        </w:rPr>
        <w:t>20.2.3质疑人修改、补充质疑函超过质疑时效提交的按20.2.1款处理。供应商提交质疑函时，要认真阅读本章第20条关于质疑的相关规定，以免内容或资料不齐，需要修改补充而延误时间。</w:t>
      </w:r>
    </w:p>
    <w:p w14:paraId="04C3E37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20.3对符合前文第20.1条规定的质疑，采购人或采购代理机构将按照政府采购法及实施条例的有关规定进行答复。</w:t>
      </w:r>
    </w:p>
    <w:p w14:paraId="451CCB3D">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b/>
          <w:sz w:val="24"/>
          <w:szCs w:val="24"/>
        </w:rPr>
        <w:t>21.投诉</w:t>
      </w:r>
    </w:p>
    <w:p w14:paraId="318C793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21.1若对质疑答复不满意或质疑答复未在答复期限内作出，质疑人可在答复期限届满之日起15个工作日内向磋商文件中载明的监督管理部门投诉。</w:t>
      </w:r>
    </w:p>
    <w:p w14:paraId="29A4556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21.2投诉应有明确的请求和必要的证明材料，投诉的事项不得超出已质疑事项的范围。</w:t>
      </w:r>
    </w:p>
    <w:p w14:paraId="2D0EC43A">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七、有关信息公告和监督部门</w:t>
      </w:r>
    </w:p>
    <w:p w14:paraId="35A6305D">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22.政府采购信息公告媒体</w:t>
      </w:r>
    </w:p>
    <w:p w14:paraId="73DF34C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22.1本项目的有关信息，包括但不限于采购公告、更正公告（若有）、磋商文件、磋商文件的澄清或修改（若有）、成交公告、终止公告（若有）、废标公告（若有）等都将在磋商文件载明的指定媒体发布。潜在供应商或供应商务必随时关注，以免遗漏。</w:t>
      </w:r>
    </w:p>
    <w:p w14:paraId="33562C2E">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22.2信息公告指定媒体：详见竞争性磋商须知前附表第10项。</w:t>
      </w:r>
    </w:p>
    <w:p w14:paraId="1695A7D5">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23.监督管理部门</w:t>
      </w:r>
    </w:p>
    <w:p w14:paraId="70EE66E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23.1磋商采购活动的监督管理部门详见竞争性磋商须知前附表第11项。</w:t>
      </w:r>
    </w:p>
    <w:p w14:paraId="48DF5247">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八、政府采购政策</w:t>
      </w:r>
    </w:p>
    <w:p w14:paraId="280B290C">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24、政府采购政策由财政部根据国家的经济和社会发展政策并会同国家有关部委制定，包括但不限于下列管理办法或措施：</w:t>
      </w:r>
    </w:p>
    <w:p w14:paraId="661CB5D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24.1进口产品指通过中国海关报关验放进入中国境内且产自关境外的产品，其中：</w:t>
      </w:r>
    </w:p>
    <w:p w14:paraId="22D879B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我国现行关境指适用海关法的中华人民共和国行政管辖区域，不包括香港、澳门和台湾金马等单独关境地区；保税区、出口加工区、保税港区、珠澳跨境工业区珠海园区、中哈霍尔果斯国际边境合作中心中方配套区、综合保税区等区域，为海关特殊监管区域，仍属于中华人民共和国关境内区域，由海关按照海关法实施监管。</w:t>
      </w:r>
    </w:p>
    <w:p w14:paraId="02B7FC5C">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（2）凡在海关特殊监管区域内企业生产或加工（包括从境外进口料件）销往境内其他地区的产品，不作为政府采购项下进口产品。</w:t>
      </w:r>
    </w:p>
    <w:p w14:paraId="5A2920E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（3）对从境外进入海关特殊监管区域，再经办理报关手续后从海关特殊监管区进入境内其他地区的产品，认定为进口产品。</w:t>
      </w:r>
    </w:p>
    <w:p w14:paraId="364A4A0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（4）磋商文件列明不允许或未列明允许进口产品参加报价的，均视为拒绝进口产品参加报价。</w:t>
      </w:r>
    </w:p>
    <w:p w14:paraId="23B5578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24.2政府采购节能产品、环境标志产品实施品目清单管理。财政部、发展改革委、生态环境部等部门根据产品节能环保性能、技术水平和市场成熟程度等因素，确定实施政府优先采购和强制采购的产品类别及所依据的相关标准规范，以品目清单的形式发布并适时调整。依据品目清单和认证证书实施政府优先采购和强制采购。采购人拟采购的产品属于品目清单范围的，采购人及其委托的采购代理机构应当依据国家确定的认证机构出具的、处于有效期之内的节能产品、环境标志产品认证证书，对获得证书的产品实施政府优先采购或强制采购。</w:t>
      </w:r>
    </w:p>
    <w:p w14:paraId="4A2F140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24.3符合财政部、工信部文件（财库〔2020〕46号）规定的小型、微型企业可享受扶持政策（如：预留采购份额、价格评审优惠、优先采购）。符合财政部、司法部文件（财库[2014]68号）规定的监狱企业（以下简称：“监狱企业”）亦可享受前述扶持政策。符合财政部、民政部、中国残联文件（财库[2017]141号）规定的残疾人福利性单位（以下简称：“残疾人福利性单位”）亦可享受前述扶持政策。其中：</w:t>
      </w:r>
    </w:p>
    <w:p w14:paraId="781D87EC">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（1）中小企业指符合下列条件的中型、小型、微型企业：</w:t>
      </w:r>
    </w:p>
    <w:p w14:paraId="1F75322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①符合《工业和信息化部、国家统计局、国家发展和改革委员会、财政部关于印发中小企业划型标准规定的通知》（工信部联企业[2011]300号）规定的划分标准，但与大企业的负责人为同一人，或者与大企业存在直接控股、管理关系的除外；；</w:t>
      </w:r>
    </w:p>
    <w:p w14:paraId="6773AD8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②符合中小企业划分标准的个体工商户，在政府采购活动中视同中小企业。</w:t>
      </w:r>
    </w:p>
    <w:p w14:paraId="6BCC7C8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（2）在政府采购活动中，供应商提供的货物、工程或者服务符合下列情形的，享受本办法规定的中小企业扶持政策：</w:t>
      </w:r>
    </w:p>
    <w:p w14:paraId="17BF6EE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①在货物采购项目中，货物由中小企业制造，即货物由中小企业生产且使用该中小企业商号或者注册商标；</w:t>
      </w:r>
    </w:p>
    <w:p w14:paraId="49C0690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②在工程采购项目中，工程由中小企业承建，即工程施工单位为中小企业；</w:t>
      </w:r>
    </w:p>
    <w:p w14:paraId="4A4B431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③在服务采购项目中，服务由中小企业承接，即提供服务的人员为中小企业依照《中华人民共和国劳动合同法》 订立劳动合同的从业人员。</w:t>
      </w:r>
    </w:p>
    <w:p w14:paraId="5BC2E74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在货物采购项目中，供应商提供的货物既有中小企业制造货物，也有大型企业制造货物的，不享受本办法规定的中小企业扶持政策。</w:t>
      </w:r>
    </w:p>
    <w:p w14:paraId="0DF7411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以联合体形式参加政府采购活动，联合体各方均为中小企业的，联合体视同中小企业。其中，联合体各方均为小微企业的，联合体视同小微企业。</w:t>
      </w:r>
    </w:p>
    <w:p w14:paraId="6427D61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（3）供应商应当按照磋商文件明确的采购标的对应行业的划分标准出具中小企业声明函。</w:t>
      </w:r>
    </w:p>
    <w:p w14:paraId="52D39BD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在项目属性为货物类采购项目中，货物应当由中小企业制造，不对其中涉及的服务的承接商作出要求；在项目属性为服务类采购项目中，服务的承接商应当为中小企业，不对其中涉及的货物的制造商作出要求；在项目属性为工程类采购项目中，工程应当由中小企业承建，不对其中涉及的货物的制造商和服务的承接商作出要求。</w:t>
      </w:r>
    </w:p>
    <w:p w14:paraId="18C4C0C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监狱企业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其中：</w:t>
      </w:r>
    </w:p>
    <w:p w14:paraId="0C4E015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①监狱企业参加采购活动时，应提供由省级以上监狱管理局、戒毒管理局（含新疆生产建设兵团）出具的属于监狱企业的证明文件。</w:t>
      </w:r>
    </w:p>
    <w:p w14:paraId="3E4C089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②监狱企业视同小型、微型企业。</w:t>
      </w:r>
    </w:p>
    <w:p w14:paraId="6B14C48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（5）残疾人福利性单位指同时符合下列条件的单位：</w:t>
      </w:r>
    </w:p>
    <w:p w14:paraId="3704768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①安置的残疾人占本单位在职职工人数的比例不低于25%（含25%），并且安置的残疾人人数不少于10人（含10人）；</w:t>
      </w:r>
    </w:p>
    <w:p w14:paraId="6C0165C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②依法与安置的每位残疾人签订了一年以上（含一年）的劳动合同或服务协议；</w:t>
      </w:r>
    </w:p>
    <w:p w14:paraId="6F07238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③为安置的每位残疾人按月足额缴纳了基本养老保险、基本医疗保险、失业保险、工伤保险和生育保险等社会保险费；</w:t>
      </w:r>
    </w:p>
    <w:p w14:paraId="1C45190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④通过银行等金融机构向安置的每位残疾人，按月支付了不低于单位所在区县适用的经省级人民政府批准的月最低工资标准的工资；</w:t>
      </w:r>
    </w:p>
    <w:p w14:paraId="4A31E4F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⑤提供本单位制造的货物、承担的工程或服务，或提供其他残疾人福利性单位制造的货物（不包括使用非残疾人福利性单位注册商标的货物）。</w:t>
      </w:r>
    </w:p>
    <w:p w14:paraId="07D5D9C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前款所称残疾人指法定劳动年龄内，持有《中华人民共和国残疾人证》或《中华人民共和国残疾军人证（1至8级）》的自然人，包括具有劳动条件和劳动意愿的精神残疾人。在职职工人数是指与残疾人福利性单位建立劳动关系并依法签订劳动合同或服务协议的雇员人数。</w:t>
      </w:r>
    </w:p>
    <w:p w14:paraId="28685CA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b/>
          <w:sz w:val="24"/>
          <w:szCs w:val="24"/>
        </w:rPr>
        <w:t>※符合上述条件的残疾人福利性单位参加采购活动时，应提供《残疾人福利性单位声明函》，并对声明的真实性负责。残疾人福利性单位视同小型、微型企业。残疾人福利性单位属于小型、微型企业的，不重复享受政策。</w:t>
      </w:r>
    </w:p>
    <w:p w14:paraId="67C850E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24.4信用记录指由财政部确定的有关网站提供的相关主体信用信息。信用记录的查询及使用应符合财政部文件（财库[2016]125号）规定。</w:t>
      </w:r>
    </w:p>
    <w:p w14:paraId="2C016060">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outlineLvl w:val="2"/>
        <w:rPr>
          <w:rFonts w:hint="eastAsia" w:ascii="宋体" w:hAnsi="宋体" w:eastAsia="宋体" w:cs="宋体"/>
          <w:sz w:val="24"/>
          <w:szCs w:val="24"/>
        </w:rPr>
      </w:pPr>
      <w:r>
        <w:rPr>
          <w:rFonts w:hint="eastAsia" w:ascii="宋体" w:hAnsi="宋体" w:eastAsia="宋体" w:cs="宋体"/>
          <w:b/>
          <w:sz w:val="24"/>
          <w:szCs w:val="24"/>
        </w:rPr>
        <w:t>九、根据采购项目特点或政策需要补充的其他内容</w:t>
      </w:r>
    </w:p>
    <w:p w14:paraId="7889B939">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25.履约保证金</w:t>
      </w:r>
    </w:p>
    <w:p w14:paraId="5673E8D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25.1采购人可以根据项目特点和需要，确定是否要求成交人在合同签订前，按照磋商文件规定的时间、形式、金额提交履约保证金，履约保证金的数额不超过中标合同金额的10%。</w:t>
      </w:r>
    </w:p>
    <w:p w14:paraId="17D01ACC">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25.2磋商文件要求在合同签订前提交履约保证金，如果成交人无故拖延或者拒不提交履约保证金的，则视为成交人拒绝与采购人签订合同，该成交人将承担违法行为的法律责任。</w:t>
      </w:r>
    </w:p>
    <w:p w14:paraId="60781324">
      <w:pPr>
        <w:pStyle w:val="18"/>
        <w:keepNext w:val="0"/>
        <w:keepLines w:val="0"/>
        <w:pageBreakBefore w:val="0"/>
        <w:widowControl/>
        <w:kinsoku/>
        <w:wordWrap/>
        <w:overflowPunct/>
        <w:topLinePunct w:val="0"/>
        <w:autoSpaceDE/>
        <w:autoSpaceDN/>
        <w:bidi w:val="0"/>
        <w:adjustRightInd/>
        <w:snapToGrid/>
        <w:spacing w:line="420" w:lineRule="exact"/>
        <w:textAlignment w:val="auto"/>
        <w:rPr>
          <w:rFonts w:hint="eastAsia" w:ascii="宋体" w:hAnsi="宋体" w:eastAsia="宋体" w:cs="宋体"/>
          <w:sz w:val="24"/>
          <w:szCs w:val="24"/>
        </w:rPr>
      </w:pPr>
      <w:r>
        <w:rPr>
          <w:rFonts w:hint="eastAsia" w:ascii="宋体" w:hAnsi="宋体" w:eastAsia="宋体" w:cs="宋体"/>
          <w:sz w:val="24"/>
          <w:szCs w:val="24"/>
        </w:rPr>
        <w:t>26.其他新增内容：</w:t>
      </w:r>
    </w:p>
    <w:p w14:paraId="3986527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26.1根据采购项目特点或政策需要补充的其他新增内容详见竞争性磋商须知前附表第12项。</w:t>
      </w:r>
    </w:p>
    <w:p w14:paraId="4E4B77D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26.2本项目中如涉及商品包装和快递包装的，其包装需求标准应不低于《关于印发〈商品包装政府采购需求标准(试行)〉、〈快递包装政府采购需求标准(试行)〉的通知》（财办库〔2020〕 123号）规定的包装要求，其他包装需求详见采购文件具体规定。采购人、成交人双方签订合同及验收环节，应包含上述包装要求的条款。</w:t>
      </w:r>
    </w:p>
    <w:p w14:paraId="28B9E229">
      <w:pPr>
        <w:pStyle w:val="10"/>
        <w:widowControl/>
        <w:spacing w:before="75" w:beforeLines="0" w:beforeAutospacing="0" w:after="75" w:afterLines="0" w:afterAutospacing="0"/>
        <w:jc w:val="center"/>
        <w:outlineLvl w:val="0"/>
        <w:rPr>
          <w:rFonts w:ascii="sans-serif" w:hAnsi="sans-serif" w:eastAsia="sans-serif" w:cs="sans-serif"/>
          <w:b/>
          <w:bCs/>
          <w:color w:val="auto"/>
          <w:highlight w:val="none"/>
        </w:rPr>
      </w:pPr>
      <w:r>
        <w:rPr>
          <w:rStyle w:val="16"/>
          <w:rFonts w:hint="eastAsia" w:ascii="宋体" w:hAnsi="宋体" w:cs="宋体"/>
          <w:color w:val="auto"/>
          <w:highlight w:val="none"/>
        </w:rPr>
        <w:br w:type="page"/>
      </w:r>
      <w:bookmarkStart w:id="8" w:name="_Toc12436"/>
      <w:bookmarkStart w:id="9" w:name="_Toc28424"/>
      <w:bookmarkStart w:id="10" w:name="_Toc4436"/>
      <w:r>
        <w:rPr>
          <w:rStyle w:val="16"/>
          <w:rFonts w:hint="eastAsia" w:ascii="宋体" w:hAnsi="宋体" w:cs="宋体"/>
          <w:color w:val="auto"/>
          <w:sz w:val="28"/>
          <w:szCs w:val="28"/>
          <w:highlight w:val="none"/>
        </w:rPr>
        <w:t>第三章 采购内容及要求</w:t>
      </w:r>
      <w:bookmarkEnd w:id="8"/>
      <w:bookmarkEnd w:id="9"/>
      <w:bookmarkEnd w:id="10"/>
      <w:bookmarkStart w:id="11" w:name="_Toc6803"/>
      <w:bookmarkStart w:id="12" w:name="_Toc580"/>
    </w:p>
    <w:bookmarkEnd w:id="11"/>
    <w:bookmarkEnd w:id="12"/>
    <w:p w14:paraId="7482B6B4">
      <w:pPr>
        <w:pStyle w:val="10"/>
        <w:keepNext w:val="0"/>
        <w:keepLines w:val="0"/>
        <w:widowControl/>
        <w:suppressLineNumbers w:val="0"/>
        <w:spacing w:before="0" w:beforeAutospacing="0" w:after="0" w:afterAutospacing="0" w:line="276" w:lineRule="auto"/>
        <w:ind w:left="0" w:right="0"/>
        <w:jc w:val="both"/>
        <w:rPr>
          <w:sz w:val="28"/>
          <w:szCs w:val="28"/>
        </w:rPr>
      </w:pPr>
      <w:bookmarkStart w:id="13" w:name="_Toc23224"/>
      <w:bookmarkStart w:id="14" w:name="_Toc9537"/>
      <w:r>
        <w:rPr>
          <w:rFonts w:hint="default" w:ascii="Times New Roman" w:hAnsi="Times New Roman" w:cs="Times New Roman"/>
          <w:b/>
          <w:bCs/>
          <w:i w:val="0"/>
          <w:iCs w:val="0"/>
          <w:color w:val="000000"/>
          <w:spacing w:val="0"/>
          <w:w w:val="100"/>
          <w:sz w:val="28"/>
          <w:szCs w:val="28"/>
          <w:vertAlign w:val="baseline"/>
        </w:rPr>
        <w:t>一、项目概况</w:t>
      </w:r>
    </w:p>
    <w:p w14:paraId="491494A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1、现状</w:t>
      </w:r>
    </w:p>
    <w:p w14:paraId="394A624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学院当前</w:t>
      </w:r>
      <w:r>
        <w:rPr>
          <w:rFonts w:hint="eastAsia" w:ascii="宋体" w:hAnsi="宋体" w:eastAsia="宋体" w:cs="宋体"/>
          <w:sz w:val="24"/>
          <w:szCs w:val="24"/>
          <w:lang w:eastAsia="zh-CN"/>
        </w:rPr>
        <w:t>建筑面积约</w:t>
      </w:r>
      <w:r>
        <w:rPr>
          <w:rFonts w:hint="eastAsia" w:ascii="宋体" w:hAnsi="宋体" w:eastAsia="宋体" w:cs="宋体"/>
          <w:sz w:val="24"/>
          <w:szCs w:val="24"/>
          <w:lang w:val="en-US" w:eastAsia="zh-CN"/>
        </w:rPr>
        <w:t>473879.14平方米，项目分为一期、二期组成。由于前期征地拆迁等原因，项目分批次招标动工建设（共计4批次）、2019年秋季开始分批次投入使用。由于校区建设、验收、交付分批次实施，施工单位未能完成消防系统整体联动调试交付，导致学院无法进行第三方维保单位招标;目前由施工单位在项目现场进行维保调试，计划于2024年6月调试完成后整体交付学院管理。</w:t>
      </w:r>
    </w:p>
    <w:p w14:paraId="481FD51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2、维保检测招标方案</w:t>
      </w:r>
    </w:p>
    <w:p w14:paraId="27BCBAF8">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rPr>
        <w:t>①</w:t>
      </w:r>
      <w:r>
        <w:rPr>
          <w:rFonts w:hint="eastAsia" w:ascii="宋体" w:hAnsi="宋体" w:eastAsia="宋体" w:cs="宋体"/>
          <w:sz w:val="24"/>
          <w:szCs w:val="24"/>
          <w:lang w:val="en-US" w:eastAsia="zh-CN"/>
        </w:rPr>
        <w:t>.维保方案编制依据</w:t>
      </w:r>
    </w:p>
    <w:p w14:paraId="0CE919E8">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《中华人民共和国消防法》</w:t>
      </w:r>
    </w:p>
    <w:p w14:paraId="0F49CE7E">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《福建省消防条例》</w:t>
      </w:r>
    </w:p>
    <w:p w14:paraId="48F2A42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"http://gf.1190119.com/list-64.htm" \o "火灾自动报警系统设计规范 GB50116-2013" \t "http://gf.1190119.com/_blank" </w:instrText>
      </w:r>
      <w:r>
        <w:rPr>
          <w:rFonts w:hint="eastAsia" w:ascii="宋体" w:hAnsi="宋体" w:eastAsia="宋体" w:cs="宋体"/>
          <w:sz w:val="24"/>
          <w:szCs w:val="24"/>
        </w:rPr>
        <w:fldChar w:fldCharType="separate"/>
      </w:r>
      <w:r>
        <w:rPr>
          <w:rFonts w:hint="eastAsia" w:ascii="宋体" w:hAnsi="宋体" w:eastAsia="宋体" w:cs="宋体"/>
          <w:sz w:val="24"/>
          <w:szCs w:val="24"/>
        </w:rPr>
        <w:t>火灾自动报警系统设计规范</w:t>
      </w:r>
      <w:r>
        <w:rPr>
          <w:rFonts w:hint="eastAsia" w:ascii="宋体" w:hAnsi="宋体" w:eastAsia="宋体" w:cs="宋体"/>
          <w:sz w:val="24"/>
          <w:szCs w:val="24"/>
          <w:lang w:val="en-US" w:eastAsia="zh-CN"/>
        </w:rPr>
        <w:t xml:space="preserve">》 </w:t>
      </w:r>
      <w:r>
        <w:rPr>
          <w:rFonts w:hint="eastAsia" w:ascii="宋体" w:hAnsi="宋体" w:eastAsia="宋体" w:cs="宋体"/>
          <w:sz w:val="24"/>
          <w:szCs w:val="24"/>
        </w:rPr>
        <w:t xml:space="preserve">GB50116-2013 </w:t>
      </w:r>
      <w:r>
        <w:rPr>
          <w:rFonts w:hint="eastAsia" w:ascii="宋体" w:hAnsi="宋体" w:eastAsia="宋体" w:cs="宋体"/>
          <w:sz w:val="24"/>
          <w:szCs w:val="24"/>
        </w:rPr>
        <w:fldChar w:fldCharType="end"/>
      </w:r>
    </w:p>
    <w:p w14:paraId="0FA0FD0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w:t>
      </w:r>
      <w:r>
        <w:rPr>
          <w:rFonts w:hint="eastAsia" w:ascii="宋体" w:hAnsi="宋体" w:eastAsia="宋体" w:cs="宋体"/>
          <w:sz w:val="24"/>
          <w:szCs w:val="24"/>
        </w:rPr>
        <w:t>自动喷水灭火系统设计规范</w:t>
      </w:r>
      <w:r>
        <w:rPr>
          <w:rFonts w:hint="eastAsia" w:ascii="宋体" w:hAnsi="宋体" w:eastAsia="宋体" w:cs="宋体"/>
          <w:sz w:val="24"/>
          <w:szCs w:val="24"/>
          <w:lang w:val="en-US" w:eastAsia="zh-CN"/>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"http://gf.1190119.com/list-930.htm" \o "自动喷水灭火系统设计规范 GB50084-2017" \t "http://gf.1190119.com/_blank"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 GB50084-2017</w:t>
      </w:r>
      <w:r>
        <w:rPr>
          <w:rFonts w:hint="eastAsia" w:ascii="宋体" w:hAnsi="宋体" w:eastAsia="宋体" w:cs="宋体"/>
          <w:sz w:val="24"/>
          <w:szCs w:val="24"/>
        </w:rPr>
        <w:fldChar w:fldCharType="end"/>
      </w:r>
    </w:p>
    <w:p w14:paraId="76CF5333">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w:t>
      </w:r>
      <w:r>
        <w:rPr>
          <w:rFonts w:hint="eastAsia" w:ascii="宋体" w:hAnsi="宋体" w:eastAsia="宋体" w:cs="宋体"/>
          <w:sz w:val="24"/>
          <w:szCs w:val="24"/>
        </w:rPr>
        <w:t>火灾自动报警系统施工及验收规范</w:t>
      </w:r>
      <w:r>
        <w:rPr>
          <w:rFonts w:hint="eastAsia" w:ascii="宋体" w:hAnsi="宋体" w:eastAsia="宋体" w:cs="宋体"/>
          <w:sz w:val="24"/>
          <w:szCs w:val="24"/>
          <w:lang w:val="en-US" w:eastAsia="zh-CN"/>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"http://gf.1190119.com/list-76.htm" \o "火灾自动报警系统施工及验收规范 GB50166-2007" \t "http://gf.1190119.com/_blank"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 GB50166-2007</w:t>
      </w:r>
      <w:r>
        <w:rPr>
          <w:rFonts w:hint="eastAsia" w:ascii="宋体" w:hAnsi="宋体" w:eastAsia="宋体" w:cs="宋体"/>
          <w:sz w:val="24"/>
          <w:szCs w:val="24"/>
        </w:rPr>
        <w:fldChar w:fldCharType="end"/>
      </w:r>
      <w:r>
        <w:rPr>
          <w:rFonts w:hint="eastAsia" w:ascii="宋体" w:hAnsi="宋体" w:eastAsia="宋体" w:cs="宋体"/>
          <w:sz w:val="24"/>
          <w:szCs w:val="24"/>
        </w:rPr>
        <w:t>③</w:t>
      </w:r>
    </w:p>
    <w:p w14:paraId="55E42C2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w:t>
      </w:r>
      <w:r>
        <w:rPr>
          <w:rFonts w:hint="eastAsia" w:ascii="宋体" w:hAnsi="宋体" w:eastAsia="宋体" w:cs="宋体"/>
          <w:sz w:val="24"/>
          <w:szCs w:val="24"/>
        </w:rPr>
        <w:t>自动喷水灭火系统施工及验收规范</w:t>
      </w:r>
      <w:r>
        <w:rPr>
          <w:rFonts w:hint="eastAsia" w:ascii="宋体" w:hAnsi="宋体" w:eastAsia="宋体" w:cs="宋体"/>
          <w:sz w:val="24"/>
          <w:szCs w:val="24"/>
          <w:lang w:val="en-US" w:eastAsia="zh-CN"/>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"http://gf.1190119.com/list-968.htm" \o "自动喷水灭火系统施工及验收规范 GB50261-2017" \t "http://gf.1190119.com/_blank"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 GB50261-2017</w:t>
      </w:r>
      <w:r>
        <w:rPr>
          <w:rFonts w:hint="eastAsia" w:ascii="宋体" w:hAnsi="宋体" w:eastAsia="宋体" w:cs="宋体"/>
          <w:sz w:val="24"/>
          <w:szCs w:val="24"/>
        </w:rPr>
        <w:fldChar w:fldCharType="end"/>
      </w:r>
    </w:p>
    <w:p w14:paraId="5288244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w:t>
      </w:r>
      <w:r>
        <w:rPr>
          <w:rFonts w:hint="eastAsia" w:ascii="宋体" w:hAnsi="宋体" w:eastAsia="宋体" w:cs="宋体"/>
          <w:sz w:val="24"/>
          <w:szCs w:val="24"/>
        </w:rPr>
        <w:t>消防给水及消火栓系统技术规范</w:t>
      </w:r>
      <w:r>
        <w:rPr>
          <w:rFonts w:hint="eastAsia" w:ascii="宋体" w:hAnsi="宋体" w:eastAsia="宋体" w:cs="宋体"/>
          <w:sz w:val="24"/>
          <w:szCs w:val="24"/>
          <w:lang w:val="en-US" w:eastAsia="zh-CN"/>
        </w:rPr>
        <w:t>》</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"http://gf.1190119.com/list-98.htm" \o "消防给水及消火栓系统技术规范 GB50974-2014" \t "http://gf.1190119.com/_blank" </w:instrText>
      </w:r>
      <w:r>
        <w:rPr>
          <w:rFonts w:hint="eastAsia" w:ascii="宋体" w:hAnsi="宋体" w:eastAsia="宋体" w:cs="宋体"/>
          <w:sz w:val="24"/>
          <w:szCs w:val="24"/>
        </w:rPr>
        <w:fldChar w:fldCharType="separate"/>
      </w:r>
      <w:r>
        <w:rPr>
          <w:rFonts w:hint="eastAsia" w:ascii="宋体" w:hAnsi="宋体" w:eastAsia="宋体" w:cs="宋体"/>
          <w:sz w:val="24"/>
          <w:szCs w:val="24"/>
        </w:rPr>
        <w:t xml:space="preserve"> GB50974-2014</w:t>
      </w:r>
      <w:r>
        <w:rPr>
          <w:rFonts w:hint="eastAsia" w:ascii="宋体" w:hAnsi="宋体" w:eastAsia="宋体" w:cs="宋体"/>
          <w:sz w:val="24"/>
          <w:szCs w:val="24"/>
        </w:rPr>
        <w:fldChar w:fldCharType="end"/>
      </w:r>
    </w:p>
    <w:p w14:paraId="47AEF353">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eastAsia="zh-CN"/>
        </w:rPr>
      </w:pPr>
      <w:r>
        <w:rPr>
          <w:rFonts w:hint="eastAsia" w:ascii="宋体" w:hAnsi="宋体" w:eastAsia="宋体" w:cs="宋体"/>
          <w:sz w:val="24"/>
          <w:szCs w:val="24"/>
        </w:rPr>
        <w:t>《建筑设计防火规范》</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"http://gf.1190119.com/list-991.htm" \o "建筑设计防火规范 GB50016-2014（2018年版）" \t "http://gf.1190119.com/_blank" </w:instrText>
      </w:r>
      <w:r>
        <w:rPr>
          <w:rFonts w:hint="eastAsia" w:ascii="宋体" w:hAnsi="宋体" w:eastAsia="宋体" w:cs="宋体"/>
          <w:sz w:val="24"/>
          <w:szCs w:val="24"/>
        </w:rPr>
        <w:fldChar w:fldCharType="separate"/>
      </w:r>
      <w:r>
        <w:rPr>
          <w:rFonts w:hint="eastAsia" w:ascii="宋体" w:hAnsi="宋体" w:eastAsia="宋体" w:cs="宋体"/>
          <w:sz w:val="24"/>
          <w:szCs w:val="24"/>
        </w:rPr>
        <w:t>GB50016-2014（2018年版）</w:t>
      </w:r>
      <w:r>
        <w:rPr>
          <w:rFonts w:hint="eastAsia" w:ascii="宋体" w:hAnsi="宋体" w:eastAsia="宋体" w:cs="宋体"/>
          <w:sz w:val="24"/>
          <w:szCs w:val="24"/>
        </w:rPr>
        <w:fldChar w:fldCharType="end"/>
      </w:r>
    </w:p>
    <w:p w14:paraId="0AE4E8EC">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《建筑消防设施的维护管理》（GB25201-2010）</w:t>
      </w:r>
    </w:p>
    <w:p w14:paraId="4C8EB55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《社会消防技术服务管理规定》</w:t>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"http://gf.1190119.com/list-245.htm" \t "http://gf.1190119.com/_blank" </w:instrText>
      </w:r>
      <w:r>
        <w:rPr>
          <w:rFonts w:hint="eastAsia" w:ascii="宋体" w:hAnsi="宋体" w:eastAsia="宋体" w:cs="宋体"/>
          <w:sz w:val="24"/>
          <w:szCs w:val="24"/>
        </w:rPr>
        <w:fldChar w:fldCharType="separate"/>
      </w:r>
      <w:r>
        <w:rPr>
          <w:rFonts w:hint="eastAsia" w:ascii="宋体" w:hAnsi="宋体" w:eastAsia="宋体" w:cs="宋体"/>
          <w:sz w:val="24"/>
          <w:szCs w:val="24"/>
        </w:rPr>
        <w:t>（公安部令第136号）</w:t>
      </w:r>
      <w:r>
        <w:rPr>
          <w:rFonts w:hint="eastAsia" w:ascii="宋体" w:hAnsi="宋体" w:eastAsia="宋体" w:cs="宋体"/>
          <w:sz w:val="24"/>
          <w:szCs w:val="24"/>
        </w:rPr>
        <w:fldChar w:fldCharType="end"/>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"http://gf.1190119.com/article-245.htm?keywords=%e7%a4%be%e4%bc%9a%e6%b6%88%e9%98%b2%e6%8a%80%e6%9c%af%e6%9c%8d%e5%8a%a1%e7%ae%a1%e7%90%86%e8%a7%84%e5%ae%9a" \t "http://gf.1190119.com/_blank" </w:instrText>
      </w:r>
      <w:r>
        <w:rPr>
          <w:rFonts w:hint="eastAsia" w:ascii="宋体" w:hAnsi="宋体" w:eastAsia="宋体" w:cs="宋体"/>
          <w:sz w:val="24"/>
          <w:szCs w:val="24"/>
        </w:rPr>
        <w:fldChar w:fldCharType="separate"/>
      </w:r>
      <w:r>
        <w:rPr>
          <w:rFonts w:hint="eastAsia" w:ascii="宋体" w:hAnsi="宋体" w:eastAsia="宋体" w:cs="宋体"/>
          <w:sz w:val="24"/>
          <w:szCs w:val="24"/>
        </w:rPr>
        <w:fldChar w:fldCharType="end"/>
      </w:r>
      <w:r>
        <w:rPr>
          <w:rFonts w:hint="eastAsia" w:ascii="宋体" w:hAnsi="宋体" w:eastAsia="宋体" w:cs="宋体"/>
          <w:sz w:val="24"/>
          <w:szCs w:val="24"/>
        </w:rPr>
        <w:t xml:space="preserve"> </w:t>
      </w:r>
    </w:p>
    <w:p w14:paraId="0C93716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lang w:val="en-US" w:eastAsia="zh-CN"/>
        </w:rPr>
        <w:t>其他有关消防规定</w:t>
      </w:r>
    </w:p>
    <w:p w14:paraId="766BD5FC">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②.</w:t>
      </w:r>
      <w:r>
        <w:rPr>
          <w:rFonts w:hint="eastAsia" w:ascii="宋体" w:hAnsi="宋体" w:eastAsia="宋体" w:cs="宋体"/>
          <w:sz w:val="24"/>
          <w:szCs w:val="24"/>
          <w:lang w:eastAsia="zh-CN"/>
        </w:rPr>
        <w:t>维保内容：火灾自动报警系统、消火栓（消防炮）灭火系统、自动喷水灭火系统、气体灭火系统、防排烟系统、机械加压送风（防烟）系统、消防应急照明和疏散指示系统、应急广播系统、消防联动控制系统、消防供电配电、消防供水设施、防火分隔、消防专用电话、消防电梯、灭火器、</w:t>
      </w:r>
      <w:r>
        <w:rPr>
          <w:rFonts w:hint="eastAsia" w:ascii="宋体" w:hAnsi="宋体" w:eastAsia="宋体" w:cs="宋体"/>
          <w:sz w:val="24"/>
          <w:szCs w:val="24"/>
          <w:lang w:val="en-US" w:eastAsia="zh-CN"/>
        </w:rPr>
        <w:t>其他灭火系统。配合学院做好相应的维保记录，根据福建省消防维保要求出具相应的维保报告。</w:t>
      </w:r>
    </w:p>
    <w:p w14:paraId="400BA16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③.</w:t>
      </w:r>
      <w:r>
        <w:rPr>
          <w:rFonts w:hint="eastAsia" w:ascii="宋体" w:hAnsi="宋体" w:eastAsia="宋体" w:cs="宋体"/>
          <w:sz w:val="24"/>
          <w:szCs w:val="24"/>
          <w:lang w:eastAsia="zh-CN"/>
        </w:rPr>
        <w:t>服务期限：从中标单位进场接收起至下一轮物业（或下一轮消防维保）招标进场移交之日，约为</w:t>
      </w:r>
      <w:r>
        <w:rPr>
          <w:rFonts w:hint="eastAsia" w:ascii="宋体" w:hAnsi="宋体" w:eastAsia="宋体" w:cs="宋体"/>
          <w:sz w:val="24"/>
          <w:szCs w:val="24"/>
          <w:lang w:val="en-US" w:eastAsia="zh-CN"/>
        </w:rPr>
        <w:t>1年3个月（以实际移交时间为准）。</w:t>
      </w:r>
    </w:p>
    <w:p w14:paraId="12E6D0A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④.因现物业合同里含300元以内的维修，300元以上的维修由后勤管理处组织维修。因此本次维保招标不含维修。</w:t>
      </w:r>
    </w:p>
    <w:p w14:paraId="4BD178A8">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b/>
          <w:bCs/>
          <w:sz w:val="24"/>
          <w:szCs w:val="24"/>
          <w:lang w:val="en-US" w:eastAsia="zh-CN"/>
        </w:rPr>
      </w:pPr>
      <w:r>
        <w:rPr>
          <w:rFonts w:hint="eastAsia" w:ascii="宋体" w:hAnsi="宋体" w:eastAsia="宋体" w:cs="宋体"/>
          <w:b/>
          <w:bCs/>
          <w:sz w:val="24"/>
          <w:szCs w:val="24"/>
          <w:lang w:val="en-US" w:eastAsia="zh-CN"/>
        </w:rPr>
        <w:t>3、资金预算</w:t>
      </w:r>
    </w:p>
    <w:p w14:paraId="6A284C7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①.单价：每年每平米为0.5元。</w:t>
      </w:r>
    </w:p>
    <w:p w14:paraId="558A9C7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②.</w:t>
      </w:r>
      <w:r>
        <w:rPr>
          <w:rFonts w:hint="eastAsia" w:ascii="宋体" w:hAnsi="宋体" w:eastAsia="宋体" w:cs="宋体"/>
          <w:sz w:val="24"/>
          <w:szCs w:val="24"/>
          <w:lang w:eastAsia="zh-CN"/>
        </w:rPr>
        <w:t>建筑面积：总面积约</w:t>
      </w:r>
      <w:r>
        <w:rPr>
          <w:rFonts w:hint="eastAsia" w:ascii="宋体" w:hAnsi="宋体" w:eastAsia="宋体" w:cs="宋体"/>
          <w:sz w:val="24"/>
          <w:szCs w:val="24"/>
          <w:lang w:val="en-US" w:eastAsia="zh-CN"/>
        </w:rPr>
        <w:t>473879.14平方米，因A区块（公教一、实训一、实训二）还未通过消防验收、培训大楼及创业园装修未交付，应扣除相应的面积，待交付后，以出具第一次维保报告后进行面积结算，最终面积以实结算。</w:t>
      </w:r>
    </w:p>
    <w:p w14:paraId="35F1B09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③.资金来源：维护修缮经费。</w:t>
      </w:r>
    </w:p>
    <w:p w14:paraId="137B94F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综上，学院消防维保检测项目所需资金约29.62万元，以实结算。</w:t>
      </w:r>
    </w:p>
    <w:p w14:paraId="6D2B780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b/>
          <w:bCs/>
          <w:color w:val="0000FF"/>
          <w:sz w:val="24"/>
          <w:szCs w:val="24"/>
          <w:lang w:eastAsia="zh-CN"/>
        </w:rPr>
      </w:pPr>
      <w:r>
        <w:rPr>
          <w:rFonts w:hint="default" w:ascii="宋体" w:hAnsi="宋体" w:eastAsia="宋体" w:cs="宋体"/>
          <w:b/>
          <w:bCs/>
          <w:color w:val="0000FF"/>
          <w:sz w:val="24"/>
          <w:szCs w:val="24"/>
        </w:rPr>
        <w:t>二、技术和服务要求</w:t>
      </w:r>
      <w:r>
        <w:rPr>
          <w:rFonts w:hint="eastAsia" w:ascii="宋体" w:hAnsi="宋体" w:cs="宋体"/>
          <w:b/>
          <w:bCs/>
          <w:color w:val="0000FF"/>
          <w:sz w:val="24"/>
          <w:szCs w:val="24"/>
          <w:lang w:eastAsia="zh-CN"/>
        </w:rPr>
        <w:t>（</w:t>
      </w:r>
      <w:r>
        <w:rPr>
          <w:rFonts w:hint="eastAsia" w:ascii="宋体" w:hAnsi="宋体" w:cs="宋体"/>
          <w:b/>
          <w:bCs/>
          <w:color w:val="0000FF"/>
          <w:sz w:val="24"/>
          <w:szCs w:val="24"/>
          <w:lang w:val="en-US" w:eastAsia="zh-CN"/>
        </w:rPr>
        <w:t>以下要求均为不允许负偏离的实质性条款</w:t>
      </w:r>
      <w:r>
        <w:rPr>
          <w:rFonts w:hint="eastAsia" w:ascii="宋体" w:hAnsi="宋体" w:cs="宋体"/>
          <w:b/>
          <w:bCs/>
          <w:color w:val="0000FF"/>
          <w:sz w:val="24"/>
          <w:szCs w:val="24"/>
          <w:lang w:eastAsia="zh-CN"/>
        </w:rPr>
        <w:t>）</w:t>
      </w:r>
    </w:p>
    <w:p w14:paraId="2EFC676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b/>
          <w:bCs/>
          <w:sz w:val="24"/>
          <w:szCs w:val="24"/>
        </w:rPr>
      </w:pPr>
      <w:r>
        <w:rPr>
          <w:rFonts w:hint="eastAsia" w:ascii="宋体" w:hAnsi="宋体" w:eastAsia="宋体" w:cs="宋体"/>
          <w:b/>
          <w:bCs/>
          <w:sz w:val="24"/>
          <w:szCs w:val="24"/>
        </w:rPr>
        <w:t>（一）服务总范围</w:t>
      </w:r>
    </w:p>
    <w:p w14:paraId="061D47A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rPr>
      </w:pPr>
      <w:r>
        <w:rPr>
          <w:rFonts w:hint="eastAsia" w:ascii="宋体" w:hAnsi="宋体" w:eastAsia="宋体" w:cs="宋体"/>
          <w:sz w:val="24"/>
          <w:szCs w:val="24"/>
        </w:rPr>
        <w:t>▲</w:t>
      </w:r>
      <w:r>
        <w:rPr>
          <w:rFonts w:hint="default" w:ascii="宋体" w:hAnsi="宋体" w:eastAsia="宋体" w:cs="宋体"/>
          <w:sz w:val="24"/>
          <w:szCs w:val="24"/>
        </w:rPr>
        <w:t>1.消防设施维保检查检测范围包括</w:t>
      </w:r>
      <w:r>
        <w:rPr>
          <w:rFonts w:hint="eastAsia" w:ascii="宋体" w:hAnsi="宋体" w:eastAsia="宋体" w:cs="宋体"/>
          <w:sz w:val="24"/>
          <w:szCs w:val="24"/>
          <w:lang w:eastAsia="zh-CN"/>
        </w:rPr>
        <w:t>但不限于</w:t>
      </w:r>
      <w:r>
        <w:rPr>
          <w:rFonts w:hint="default" w:ascii="宋体" w:hAnsi="宋体" w:eastAsia="宋体" w:cs="宋体"/>
          <w:sz w:val="24"/>
          <w:szCs w:val="24"/>
        </w:rPr>
        <w:t>：火灾自动报警系统、自动喷水灭火系统、气体灭火系统、消火栓系统、消防应急广播系统、消防专用电话系统、防火分隔设施、灭火器、泡沫灭火系统、机械加压送风（防烟）系统、消防排烟系统、消防电梯迫降、细水雾灭火系统、消防供水设施等</w:t>
      </w:r>
      <w:r>
        <w:rPr>
          <w:rFonts w:hint="eastAsia" w:ascii="宋体" w:hAnsi="宋体" w:eastAsia="宋体" w:cs="宋体"/>
          <w:sz w:val="24"/>
          <w:szCs w:val="24"/>
          <w:lang w:eastAsia="zh-CN"/>
        </w:rPr>
        <w:t>全套消防</w:t>
      </w:r>
      <w:r>
        <w:rPr>
          <w:rFonts w:hint="default" w:ascii="宋体" w:hAnsi="宋体" w:eastAsia="宋体" w:cs="宋体"/>
          <w:sz w:val="24"/>
          <w:szCs w:val="24"/>
        </w:rPr>
        <w:t xml:space="preserve">系统。 </w:t>
      </w:r>
    </w:p>
    <w:p w14:paraId="61F48B4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default" w:ascii="宋体" w:hAnsi="宋体" w:eastAsia="宋体" w:cs="宋体"/>
          <w:sz w:val="24"/>
          <w:szCs w:val="24"/>
        </w:rPr>
        <w:t>2.中标人负责对上述消防系统每月按照</w:t>
      </w:r>
      <w:r>
        <w:rPr>
          <w:rFonts w:hint="eastAsia" w:ascii="宋体" w:hAnsi="宋体" w:eastAsia="宋体" w:cs="宋体"/>
          <w:sz w:val="24"/>
          <w:szCs w:val="24"/>
          <w:lang w:eastAsia="zh-CN"/>
        </w:rPr>
        <w:t>消防、应急、教育等主管部门</w:t>
      </w:r>
      <w:r>
        <w:rPr>
          <w:rFonts w:hint="default" w:ascii="宋体" w:hAnsi="宋体" w:eastAsia="宋体" w:cs="宋体"/>
          <w:sz w:val="24"/>
          <w:szCs w:val="24"/>
        </w:rPr>
        <w:t xml:space="preserve">规定进行功能检测，及时发现消防设备设施的安全隐患问题，并及时上报消防安全管理人员。 </w:t>
      </w:r>
    </w:p>
    <w:p w14:paraId="18B449A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b/>
          <w:bCs/>
          <w:sz w:val="24"/>
          <w:szCs w:val="24"/>
        </w:rPr>
      </w:pPr>
      <w:r>
        <w:rPr>
          <w:rFonts w:hint="default" w:ascii="宋体" w:hAnsi="宋体" w:eastAsia="宋体" w:cs="宋体"/>
          <w:b/>
          <w:bCs/>
          <w:sz w:val="24"/>
          <w:szCs w:val="24"/>
        </w:rPr>
        <w:t>（二）消防系统中各子系统的服务范围</w:t>
      </w:r>
    </w:p>
    <w:p w14:paraId="38FBE9E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default" w:ascii="宋体" w:hAnsi="宋体" w:eastAsia="宋体" w:cs="宋体"/>
          <w:sz w:val="24"/>
          <w:szCs w:val="24"/>
        </w:rPr>
        <w:t>1.火灾自动报警系统</w:t>
      </w:r>
    </w:p>
    <w:p w14:paraId="24FAB8FC">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1.1对火灾报警系统作定期检查和试验</w:t>
      </w:r>
    </w:p>
    <w:p w14:paraId="5D0BFC2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1.1.1每月对火灾报警控制器的各功能进行试验；</w:t>
      </w:r>
    </w:p>
    <w:p w14:paraId="5F71FBF8">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lang w:val="en-US" w:eastAsia="zh-CN"/>
        </w:rPr>
      </w:pPr>
      <w:r>
        <w:rPr>
          <w:rFonts w:hint="eastAsia" w:ascii="宋体" w:hAnsi="宋体" w:eastAsia="宋体" w:cs="宋体"/>
          <w:sz w:val="24"/>
          <w:szCs w:val="24"/>
        </w:rPr>
        <w:t>1.1.2每季度采用专用检测仪器分期分批试验探测器的动作及确认灯显示（不少于总数的25%）</w:t>
      </w:r>
      <w:r>
        <w:rPr>
          <w:rFonts w:hint="eastAsia" w:ascii="宋体" w:hAnsi="宋体" w:eastAsia="宋体" w:cs="宋体"/>
          <w:sz w:val="24"/>
          <w:szCs w:val="24"/>
          <w:lang w:eastAsia="zh-CN"/>
        </w:rPr>
        <w:t>全年覆盖</w:t>
      </w:r>
      <w:r>
        <w:rPr>
          <w:rFonts w:hint="eastAsia" w:ascii="宋体" w:hAnsi="宋体" w:eastAsia="宋体" w:cs="宋体"/>
          <w:sz w:val="24"/>
          <w:szCs w:val="24"/>
          <w:lang w:val="en-US" w:eastAsia="zh-CN"/>
        </w:rPr>
        <w:t>100</w:t>
      </w:r>
      <w:r>
        <w:rPr>
          <w:rFonts w:hint="eastAsia" w:ascii="宋体" w:hAnsi="宋体" w:eastAsia="宋体" w:cs="宋体"/>
          <w:sz w:val="24"/>
          <w:szCs w:val="24"/>
        </w:rPr>
        <w:t>%</w:t>
      </w:r>
      <w:r>
        <w:rPr>
          <w:rFonts w:hint="eastAsia" w:ascii="宋体" w:hAnsi="宋体" w:eastAsia="宋体" w:cs="宋体"/>
          <w:sz w:val="24"/>
          <w:szCs w:val="24"/>
          <w:lang w:eastAsia="zh-CN"/>
        </w:rPr>
        <w:t>；</w:t>
      </w:r>
    </w:p>
    <w:p w14:paraId="0199291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1.1.3每年对备用电源进行</w:t>
      </w:r>
      <w:r>
        <w:rPr>
          <w:rFonts w:hint="eastAsia" w:ascii="宋体" w:hAnsi="宋体" w:eastAsia="宋体" w:cs="宋体"/>
          <w:sz w:val="24"/>
          <w:szCs w:val="24"/>
          <w:lang w:eastAsia="zh-CN"/>
        </w:rPr>
        <w:t>不少于</w:t>
      </w:r>
      <w:r>
        <w:rPr>
          <w:rFonts w:hint="eastAsia" w:ascii="宋体" w:hAnsi="宋体" w:eastAsia="宋体" w:cs="宋体"/>
          <w:sz w:val="24"/>
          <w:szCs w:val="24"/>
          <w:lang w:val="en-US" w:eastAsia="zh-CN"/>
        </w:rPr>
        <w:t>2次</w:t>
      </w:r>
      <w:r>
        <w:rPr>
          <w:rFonts w:hint="eastAsia" w:ascii="宋体" w:hAnsi="宋体" w:eastAsia="宋体" w:cs="宋体"/>
          <w:sz w:val="24"/>
          <w:szCs w:val="24"/>
        </w:rPr>
        <w:t>次充放电试验，</w:t>
      </w:r>
      <w:r>
        <w:rPr>
          <w:rFonts w:hint="eastAsia" w:ascii="宋体" w:hAnsi="宋体" w:eastAsia="宋体" w:cs="宋体"/>
          <w:sz w:val="24"/>
          <w:szCs w:val="24"/>
          <w:lang w:eastAsia="zh-CN"/>
        </w:rPr>
        <w:t>不少于</w:t>
      </w:r>
      <w:r>
        <w:rPr>
          <w:rFonts w:hint="eastAsia" w:ascii="宋体" w:hAnsi="宋体" w:eastAsia="宋体" w:cs="宋体"/>
          <w:sz w:val="24"/>
          <w:szCs w:val="24"/>
          <w:lang w:val="en-US" w:eastAsia="zh-CN"/>
        </w:rPr>
        <w:t>3</w:t>
      </w:r>
      <w:r>
        <w:rPr>
          <w:rFonts w:hint="eastAsia" w:ascii="宋体" w:hAnsi="宋体" w:eastAsia="宋体" w:cs="宋体"/>
          <w:sz w:val="24"/>
          <w:szCs w:val="24"/>
        </w:rPr>
        <w:t xml:space="preserve">次主电源和备用电源自动切换试验。 </w:t>
      </w:r>
    </w:p>
    <w:p w14:paraId="0A2C1C1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1.2对消防系统联动设备作定期检查和试验</w:t>
      </w:r>
    </w:p>
    <w:p w14:paraId="0E5C717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1.2.1每年对防排烟设备、防火卷帘门等控制设备做消防联动试验两次；</w:t>
      </w:r>
    </w:p>
    <w:p w14:paraId="4BFFCBC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1.2.2每年对火灾事故广播进行消防联动试验两次；</w:t>
      </w:r>
    </w:p>
    <w:p w14:paraId="026A5FD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1.2.3每年对电梯进行强制停于首层消防联动试验两次；</w:t>
      </w:r>
    </w:p>
    <w:p w14:paraId="56400FA8">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1.2.4每年对消防通讯设备在消防控制室进行对讲通话试验两次；</w:t>
      </w:r>
    </w:p>
    <w:p w14:paraId="341ECBC8">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1.2.5每年进行强制切断非消防电源消防联动试验两次。</w:t>
      </w:r>
    </w:p>
    <w:p w14:paraId="2632A248">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1.3对火灾自动报警系统控制线路及联动线路的故障进行维修</w:t>
      </w:r>
    </w:p>
    <w:p w14:paraId="56339EDC">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1.4对火灾自动报警系统的故障进行检查维修</w:t>
      </w:r>
    </w:p>
    <w:p w14:paraId="2577C87C">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1.5对火灾自动报警系统的消防通讯线路、消防主机电源检查及消防主机接</w:t>
      </w:r>
    </w:p>
    <w:p w14:paraId="634C9EF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地线路的故障的检查。</w:t>
      </w:r>
    </w:p>
    <w:p w14:paraId="675A99D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default" w:ascii="宋体" w:hAnsi="宋体" w:eastAsia="宋体" w:cs="宋体"/>
          <w:b/>
          <w:bCs/>
          <w:sz w:val="24"/>
          <w:szCs w:val="24"/>
        </w:rPr>
        <w:t>2.消火栓（消防炮）系统</w:t>
      </w:r>
    </w:p>
    <w:p w14:paraId="6CA05628">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2.1每月对消防泵进行启动运转试验，并对消防泵进行消火栓按钮联动启泵试验；</w:t>
      </w:r>
    </w:p>
    <w:p w14:paraId="5EFC7EE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default" w:ascii="宋体" w:hAnsi="宋体" w:eastAsia="宋体" w:cs="宋体"/>
          <w:sz w:val="24"/>
          <w:szCs w:val="24"/>
        </w:rPr>
        <w:t>2.2每月对系统上所有的控制阀门及管道进行检查，保证控制阀门及管道处于正常</w:t>
      </w:r>
      <w:r>
        <w:rPr>
          <w:rFonts w:hint="eastAsia" w:ascii="宋体" w:hAnsi="宋体" w:eastAsia="宋体" w:cs="宋体"/>
          <w:sz w:val="24"/>
          <w:szCs w:val="24"/>
          <w:lang w:val="en-US" w:eastAsia="zh-CN"/>
        </w:rPr>
        <w:t>工</w:t>
      </w:r>
    </w:p>
    <w:p w14:paraId="4590CD3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作状态；</w:t>
      </w:r>
    </w:p>
    <w:p w14:paraId="2150C83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2.3每月对消火栓进行检查并做好现场登记，发现问题及时进行处理；</w:t>
      </w:r>
    </w:p>
    <w:p w14:paraId="02CC713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2.4每月对室内消火栓箱内的水枪、水带等设备进行检查，发现问题及时处理：</w:t>
      </w:r>
    </w:p>
    <w:p w14:paraId="786B70F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2.5每季度对最不利点消火栓进行静压压力试验；</w:t>
      </w:r>
    </w:p>
    <w:p w14:paraId="0D7FEC68">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2.6每年对水泵接合器的接口及附件进行检查；</w:t>
      </w:r>
    </w:p>
    <w:p w14:paraId="64A5834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rPr>
      </w:pPr>
      <w:r>
        <w:rPr>
          <w:rFonts w:hint="default" w:ascii="宋体" w:hAnsi="宋体" w:eastAsia="宋体" w:cs="宋体"/>
          <w:sz w:val="24"/>
          <w:szCs w:val="24"/>
        </w:rPr>
        <w:t>2.7每年抽查消火栓的出水情况对重点部位的消火栓每年进行出水检查。</w:t>
      </w:r>
    </w:p>
    <w:p w14:paraId="651A47D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2.8每年对消防炮控制器进行检查，并检测控制器对应的控制功能</w:t>
      </w:r>
    </w:p>
    <w:p w14:paraId="6C14F6E3">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default" w:ascii="宋体" w:hAnsi="宋体" w:eastAsia="宋体" w:cs="宋体"/>
          <w:b/>
          <w:bCs/>
          <w:sz w:val="24"/>
          <w:szCs w:val="24"/>
        </w:rPr>
        <w:t>3.自动喷水灭火系统</w:t>
      </w:r>
    </w:p>
    <w:p w14:paraId="533487B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default" w:ascii="宋体" w:hAnsi="宋体" w:eastAsia="宋体" w:cs="宋体"/>
          <w:sz w:val="24"/>
          <w:szCs w:val="24"/>
        </w:rPr>
        <w:t>3.1每月对水源控制阀、报警阀组及管道进行检查，保证系统各种阀门及管道处于</w:t>
      </w:r>
      <w:r>
        <w:rPr>
          <w:rFonts w:hint="eastAsia" w:ascii="宋体" w:hAnsi="宋体" w:eastAsia="宋体" w:cs="宋体"/>
          <w:sz w:val="24"/>
          <w:szCs w:val="24"/>
          <w:lang w:val="en-US" w:eastAsia="zh-CN"/>
        </w:rPr>
        <w:t>正</w:t>
      </w:r>
    </w:p>
    <w:p w14:paraId="093D2F4E">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常工作状态；</w:t>
      </w:r>
    </w:p>
    <w:p w14:paraId="397B8AC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3.2每月对喷淋水泵进行启动运转试验一次；</w:t>
      </w:r>
    </w:p>
    <w:p w14:paraId="63115A8E">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3.3每月对电磁阀作启动试验一次，动作失常时马上进行维修；</w:t>
      </w:r>
    </w:p>
    <w:p w14:paraId="17077EA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rPr>
      </w:pPr>
      <w:r>
        <w:rPr>
          <w:rFonts w:hint="default" w:ascii="宋体" w:hAnsi="宋体" w:eastAsia="宋体" w:cs="宋体"/>
          <w:sz w:val="24"/>
          <w:szCs w:val="24"/>
        </w:rPr>
        <w:t>3.4每月对喷头进行外观检查，发现有不正常的喷头及时更换，当喷头上有</w:t>
      </w:r>
    </w:p>
    <w:p w14:paraId="4E1513C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异物时及时清除；</w:t>
      </w:r>
    </w:p>
    <w:p w14:paraId="3A89100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rPr>
      </w:pPr>
      <w:r>
        <w:rPr>
          <w:rFonts w:hint="default" w:ascii="宋体" w:hAnsi="宋体" w:eastAsia="宋体" w:cs="宋体"/>
          <w:sz w:val="24"/>
          <w:szCs w:val="24"/>
        </w:rPr>
        <w:t>3.5每季度对湿式报警阀旁的放水试验阀进行泄水试验，验证湿式报警阀的</w:t>
      </w:r>
    </w:p>
    <w:p w14:paraId="46344EE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供水能力；</w:t>
      </w:r>
    </w:p>
    <w:p w14:paraId="10C30A23">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3.6每半年利用末端试水装置对水流指示器进行试验；</w:t>
      </w:r>
    </w:p>
    <w:p w14:paraId="14EE34D3">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rPr>
      </w:pPr>
      <w:r>
        <w:rPr>
          <w:rFonts w:hint="default" w:ascii="宋体" w:hAnsi="宋体" w:eastAsia="宋体" w:cs="宋体"/>
          <w:sz w:val="24"/>
          <w:szCs w:val="24"/>
        </w:rPr>
        <w:t>3.7每年对水泵接合器的接口及附件进行检查并进行维护；</w:t>
      </w:r>
    </w:p>
    <w:p w14:paraId="2D6DA44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rPr>
      </w:pPr>
      <w:r>
        <w:rPr>
          <w:rFonts w:hint="default" w:ascii="宋体" w:hAnsi="宋体" w:eastAsia="宋体" w:cs="宋体"/>
          <w:sz w:val="24"/>
          <w:szCs w:val="24"/>
        </w:rPr>
        <w:t>3.8每年对消防水池，消防水箱及消防气压给水设备的消防储水位及消防气</w:t>
      </w:r>
    </w:p>
    <w:p w14:paraId="32F0598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rPr>
      </w:pPr>
      <w:r>
        <w:rPr>
          <w:rFonts w:hint="default" w:ascii="宋体" w:hAnsi="宋体" w:eastAsia="宋体" w:cs="宋体"/>
          <w:sz w:val="24"/>
          <w:szCs w:val="24"/>
        </w:rPr>
        <w:t>水设备的压力进行检查，发现问题及时处理。</w:t>
      </w:r>
    </w:p>
    <w:p w14:paraId="47ACB58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lang w:val="en-US" w:eastAsia="zh-CN"/>
        </w:rPr>
        <w:t>4.</w:t>
      </w:r>
      <w:r>
        <w:rPr>
          <w:rFonts w:hint="default" w:ascii="宋体" w:hAnsi="宋体" w:eastAsia="宋体" w:cs="宋体"/>
          <w:b/>
          <w:bCs/>
          <w:sz w:val="24"/>
          <w:szCs w:val="24"/>
        </w:rPr>
        <w:t>气体灭火系统</w:t>
      </w:r>
    </w:p>
    <w:p w14:paraId="1E0DD82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4.1月检查维护内容：系统全部组成部件的外观检查；组件的安装位置是否被遮挡或妨碍</w:t>
      </w:r>
      <w:r>
        <w:rPr>
          <w:rFonts w:hint="eastAsia" w:ascii="宋体" w:hAnsi="宋体" w:eastAsia="宋体" w:cs="宋体"/>
          <w:sz w:val="24"/>
          <w:szCs w:val="24"/>
          <w:lang w:val="en-US" w:eastAsia="zh-CN"/>
        </w:rPr>
        <w:t>其正</w:t>
      </w:r>
      <w:r>
        <w:rPr>
          <w:rFonts w:hint="default" w:ascii="宋体" w:hAnsi="宋体" w:eastAsia="宋体" w:cs="宋体"/>
          <w:sz w:val="24"/>
          <w:szCs w:val="24"/>
        </w:rPr>
        <w:t>常工作；驱动控制盘面板上的指示灯各开关位置是否正常、各连接线是否有松动现行； 灾探测器表面是否清洁、是否有干扰或影响探测性能的擦伤、油迹和油漆；储存容器内的力、气动源的压力是否不小于设计压力的90%；检查启动瓶组上手动手柄，灭火剂瓶组上先阀手启柄的保险销，及铅封应完整无损；检查选择阀上手动开启手柄无损、位置正</w:t>
      </w:r>
      <w:r>
        <w:rPr>
          <w:rFonts w:hint="eastAsia" w:ascii="宋体" w:hAnsi="宋体" w:eastAsia="宋体" w:cs="宋体"/>
          <w:sz w:val="24"/>
          <w:szCs w:val="24"/>
          <w:lang w:val="en-US" w:eastAsia="zh-CN"/>
        </w:rPr>
        <w:t>确</w:t>
      </w:r>
      <w:r>
        <w:rPr>
          <w:rFonts w:hint="default" w:ascii="宋体" w:hAnsi="宋体" w:eastAsia="宋体" w:cs="宋体"/>
          <w:sz w:val="24"/>
          <w:szCs w:val="24"/>
        </w:rPr>
        <w:t>、无松动；检查系统牌、警示牌，无损、清洁可视；检查启动瓶组压力，压力表示值应在区内；逐个对灭火剂瓶组进行压力检测，压力表示值应在绿区内；逐个对灭火剂瓶组和启动瓦组进行检查，瓶体表面应无严重腐蚀、裂纹、变形（凸瘤等），如有上述问题，应及时更换并释放瓶内气体。</w:t>
      </w:r>
    </w:p>
    <w:p w14:paraId="4D947A5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4.2季度检查维护内容：防护区的开口情况等是否发生变化；储存装置间的设备、灭火剂输送管道和支架、吊架的固定是否有松动；连接管是否变形、裂纹及老化；各喷嘴孔口是否堵塞；对灭火剂储存容器逐个进行称重检查，灭火剂净重不得小于设计储存量的90%；灭火剂输送管道有损伤或堵塞现象时应按相关规范进行管道强度试验和气密性试验；对灭火设备进行全面检查：瓶组架稳固、各部件连接可靠无松动、并全面做好清洁工作、对系统进行报警和启动模拟试验、火灾探测、报警、灭火控制按其产品说明书进行、灭火设备检查电磁驱动装置（脱离被启动瓶组）、经自动、手动（包括紧急启动、紧急停止试验），应动作正常、 延时时间，现场声光报警等应正常、对压力信号反馈装置进行检查，卸下该装置，人工推动活塞（模拟灭火剂喷放受压），喷放指示灯应亮，信号应正常反馈，并能自动复位、对灭火剂输送管网及其附件进行检查，连接可靠、安装稳固，表面无严重锈蚀，并全面做好清洁工作、检查喷嘴，不应堵塞，并做好清洁工作。</w:t>
      </w:r>
    </w:p>
    <w:p w14:paraId="1B65814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rPr>
      </w:pPr>
      <w:r>
        <w:rPr>
          <w:rFonts w:hint="default" w:ascii="宋体" w:hAnsi="宋体" w:eastAsia="宋体" w:cs="宋体"/>
          <w:sz w:val="24"/>
          <w:szCs w:val="24"/>
        </w:rPr>
        <w:t>4.3按国家压力容器、压力管道和气瓶检验的规定对灭火剂储存容器和钢瓶、灭火剂输送管道进行定期检验，按国家消防灭火系统的全面检测要求，进行年度检测、使用5年后应每3年应对金属软管（连接管）进行水压强度试验和气密性试验、5年后应对释放过灭火剂的储瓶、阀门等部件进行一次水压强度和气体密封性试验、5年后的维护保养工作应由专业维修人员进行。</w:t>
      </w:r>
    </w:p>
    <w:p w14:paraId="1CAB155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4.4每月检查保养气体（气溶胶）控制器，保证正常运行；</w:t>
      </w:r>
    </w:p>
    <w:p w14:paraId="398151A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rPr>
      </w:pPr>
      <w:r>
        <w:rPr>
          <w:rFonts w:hint="default" w:ascii="宋体" w:hAnsi="宋体" w:eastAsia="宋体" w:cs="宋体"/>
          <w:sz w:val="24"/>
          <w:szCs w:val="24"/>
        </w:rPr>
        <w:t>4.5每月检测气瓶（气溶胶储存装置）的压力是否达到规范要求，有无泄漏现象；</w:t>
      </w:r>
    </w:p>
    <w:p w14:paraId="059A6D4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4.6每月检查试验手动和自动放气装置是否正常；</w:t>
      </w:r>
    </w:p>
    <w:p w14:paraId="2D6CB64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4.7每半年模拟自动报警系统中的烟、温感探测器同时动作，检查气瓶的电磁阀是否动作，控制屏是否有放气信号，警铃、蜂鸣器是否动作。</w:t>
      </w:r>
    </w:p>
    <w:p w14:paraId="7FA103C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default" w:ascii="宋体" w:hAnsi="宋体" w:eastAsia="宋体" w:cs="宋体"/>
          <w:b/>
          <w:bCs/>
          <w:sz w:val="24"/>
          <w:szCs w:val="24"/>
        </w:rPr>
        <w:t>5.消防通讯设施</w:t>
      </w:r>
    </w:p>
    <w:p w14:paraId="32B05195">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5.1检查消防专用电话或插孔是否完好：</w:t>
      </w:r>
    </w:p>
    <w:p w14:paraId="45E7A2F8">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5.2定期试验每个消防专用电话或插孔的通讯是否畅通，语音是否清晰，消防中心电话主机显示通话部位是否正确；</w:t>
      </w:r>
    </w:p>
    <w:p w14:paraId="517F4E11">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default" w:ascii="宋体" w:hAnsi="宋体" w:eastAsia="宋体" w:cs="宋体"/>
          <w:b/>
          <w:bCs/>
          <w:sz w:val="24"/>
          <w:szCs w:val="24"/>
        </w:rPr>
        <w:t>6.防火分区</w:t>
      </w:r>
    </w:p>
    <w:p w14:paraId="2100D69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6.1每月检查防火门、防火卷帘门、电动防火门等的完好情况；</w:t>
      </w:r>
    </w:p>
    <w:p w14:paraId="6D128E2E">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6.2每季度手动或自动启停防火卷帘门、电动防火门试验.检查其性能。</w:t>
      </w:r>
    </w:p>
    <w:p w14:paraId="34CE0FA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default" w:ascii="宋体" w:hAnsi="宋体" w:eastAsia="宋体" w:cs="宋体"/>
          <w:b/>
          <w:bCs/>
          <w:sz w:val="24"/>
          <w:szCs w:val="24"/>
        </w:rPr>
        <w:t>7.防排烟系统</w:t>
      </w:r>
    </w:p>
    <w:p w14:paraId="2C7D3EA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rPr>
      </w:pPr>
      <w:r>
        <w:rPr>
          <w:rFonts w:hint="default" w:ascii="宋体" w:hAnsi="宋体" w:eastAsia="宋体" w:cs="宋体"/>
          <w:sz w:val="24"/>
          <w:szCs w:val="24"/>
        </w:rPr>
        <w:t xml:space="preserve">7.1每月检查送风、排烟机房工作环境以及送风机、排烟机、电源控制柜、送风阀、 </w:t>
      </w:r>
    </w:p>
    <w:p w14:paraId="53CA9E0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排烟阀等是否处于正常完好状态；</w:t>
      </w:r>
    </w:p>
    <w:p w14:paraId="579E919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7.2每半年手动或自动打开排烟阀、启/停送风机、排烟机查看其性能；</w:t>
      </w:r>
    </w:p>
    <w:p w14:paraId="7F1BF7F7">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7.3每半年手动或自动方式关闭空调通风系统、电动防火阀试验，检查其性能。</w:t>
      </w:r>
    </w:p>
    <w:p w14:paraId="075E1FB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default" w:ascii="宋体" w:hAnsi="宋体" w:eastAsia="宋体" w:cs="宋体"/>
          <w:b/>
          <w:bCs/>
          <w:sz w:val="24"/>
          <w:szCs w:val="24"/>
        </w:rPr>
        <w:t>8.应急照明与疏散指示</w:t>
      </w:r>
    </w:p>
    <w:p w14:paraId="7F3A205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8.1每月检查安全出口、疏散通道、重要场所的应急照明和疏散指示标志是否处于正常完好使用状态；</w:t>
      </w:r>
    </w:p>
    <w:p w14:paraId="07CE5CE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8.2每月试验应急照明灯和疏散指示灯切断电源后是否能正常工作。</w:t>
      </w:r>
    </w:p>
    <w:p w14:paraId="2A059FD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w:t>
      </w:r>
      <w:r>
        <w:rPr>
          <w:rFonts w:hint="eastAsia" w:ascii="宋体" w:hAnsi="宋体" w:eastAsia="宋体" w:cs="宋体"/>
          <w:b/>
          <w:bCs/>
          <w:sz w:val="24"/>
          <w:szCs w:val="24"/>
          <w:lang w:val="en-US" w:eastAsia="zh-CN"/>
        </w:rPr>
        <w:t>9.</w:t>
      </w:r>
      <w:r>
        <w:rPr>
          <w:rFonts w:hint="default" w:ascii="宋体" w:hAnsi="宋体" w:eastAsia="宋体" w:cs="宋体"/>
          <w:b/>
          <w:bCs/>
          <w:sz w:val="24"/>
          <w:szCs w:val="24"/>
        </w:rPr>
        <w:t>其它消防设施</w:t>
      </w:r>
    </w:p>
    <w:p w14:paraId="2168CA6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rPr>
      </w:pPr>
      <w:r>
        <w:rPr>
          <w:rFonts w:hint="default" w:ascii="宋体" w:hAnsi="宋体" w:eastAsia="宋体" w:cs="宋体"/>
          <w:sz w:val="24"/>
          <w:szCs w:val="24"/>
        </w:rPr>
        <w:t>9.1每月检查干粉灭火器的压力、二氧化碳灭火器重量、有效期等，并做好</w:t>
      </w:r>
    </w:p>
    <w:p w14:paraId="564DE9FF">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见场登记，必要时做喷射试验；</w:t>
      </w:r>
    </w:p>
    <w:p w14:paraId="03BC987A">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rPr>
      </w:pPr>
      <w:r>
        <w:rPr>
          <w:rFonts w:hint="default" w:ascii="宋体" w:hAnsi="宋体" w:eastAsia="宋体" w:cs="宋体"/>
          <w:sz w:val="24"/>
          <w:szCs w:val="24"/>
        </w:rPr>
        <w:t>9.2每月检查集水坑排水设备、消防电源及自动切换设备是否处于正常完好</w:t>
      </w:r>
    </w:p>
    <w:p w14:paraId="7B474ADC">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状态；</w:t>
      </w:r>
    </w:p>
    <w:p w14:paraId="33A6B5E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9.3每季度试验消防电源末端的切换功能；</w:t>
      </w:r>
    </w:p>
    <w:p w14:paraId="6A6DCE60">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rPr>
      </w:pPr>
      <w:r>
        <w:rPr>
          <w:rFonts w:hint="default" w:ascii="宋体" w:hAnsi="宋体" w:eastAsia="宋体" w:cs="宋体"/>
          <w:sz w:val="24"/>
          <w:szCs w:val="24"/>
        </w:rPr>
        <w:t xml:space="preserve"> 9.4每半年对自动灭火系统和火灾自动报警装置、消防控制室进行一次全面检测，确</w:t>
      </w:r>
    </w:p>
    <w:p w14:paraId="763E07A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保完好有效，并出具检测报告。</w:t>
      </w:r>
    </w:p>
    <w:p w14:paraId="7562CE06">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9.5其它未尽数说明的但是本项目存在的消防设备设施的相关维保检查测试内容，应</w:t>
      </w:r>
      <w:r>
        <w:rPr>
          <w:rFonts w:hint="default" w:ascii="宋体" w:hAnsi="宋体" w:eastAsia="宋体" w:cs="宋体"/>
          <w:sz w:val="24"/>
          <w:szCs w:val="24"/>
        </w:rPr>
        <w:t>按照</w:t>
      </w:r>
      <w:r>
        <w:rPr>
          <w:rFonts w:hint="eastAsia" w:ascii="宋体" w:hAnsi="宋体" w:eastAsia="宋体" w:cs="宋体"/>
          <w:sz w:val="24"/>
          <w:szCs w:val="24"/>
          <w:lang w:eastAsia="zh-CN"/>
        </w:rPr>
        <w:t>消防、应急、教育等主管部门</w:t>
      </w:r>
      <w:r>
        <w:rPr>
          <w:rFonts w:hint="default" w:ascii="宋体" w:hAnsi="宋体" w:eastAsia="宋体" w:cs="宋体"/>
          <w:sz w:val="24"/>
          <w:szCs w:val="24"/>
        </w:rPr>
        <w:t>规定进行功能检测</w:t>
      </w:r>
      <w:r>
        <w:rPr>
          <w:rFonts w:hint="eastAsia" w:ascii="宋体" w:hAnsi="宋体" w:eastAsia="宋体" w:cs="宋体"/>
          <w:sz w:val="24"/>
          <w:szCs w:val="24"/>
          <w:lang w:eastAsia="zh-CN"/>
        </w:rPr>
        <w:t>，并出具相关报告。</w:t>
      </w:r>
    </w:p>
    <w:p w14:paraId="245D33FB">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lang w:val="en-US" w:eastAsia="zh-CN"/>
        </w:rPr>
      </w:pPr>
      <w:r>
        <w:rPr>
          <w:rFonts w:hint="eastAsia" w:ascii="宋体" w:hAnsi="宋体" w:eastAsia="宋体" w:cs="宋体"/>
          <w:sz w:val="24"/>
          <w:szCs w:val="24"/>
        </w:rPr>
        <w:t>▲</w:t>
      </w:r>
      <w:r>
        <w:rPr>
          <w:rFonts w:hint="eastAsia" w:ascii="宋体" w:hAnsi="宋体" w:eastAsia="宋体" w:cs="宋体"/>
          <w:b/>
          <w:bCs/>
          <w:sz w:val="24"/>
          <w:szCs w:val="24"/>
          <w:lang w:val="en-US" w:eastAsia="zh-CN"/>
        </w:rPr>
        <w:t>（三）维保标准</w:t>
      </w:r>
    </w:p>
    <w:p w14:paraId="61C499D4">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1.保证系统正常工作；</w:t>
      </w:r>
    </w:p>
    <w:p w14:paraId="082476C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2.维护质量必须符合经双方约定的要求，并且满足消防法律法规及GB25201-2010《建筑消防设施的维护管理》、《福建省建筑消防设施维护保养暂行规定》等现行消防</w:t>
      </w:r>
    </w:p>
    <w:p w14:paraId="19E7116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 xml:space="preserve">标准规范的要求。 </w:t>
      </w:r>
    </w:p>
    <w:p w14:paraId="11916E79">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default" w:ascii="宋体" w:hAnsi="宋体" w:eastAsia="宋体" w:cs="宋体"/>
          <w:sz w:val="24"/>
          <w:szCs w:val="24"/>
        </w:rPr>
        <w:t>3.设备发生故障，中标人接收到</w:t>
      </w:r>
      <w:r>
        <w:rPr>
          <w:rFonts w:hint="eastAsia" w:ascii="宋体" w:hAnsi="宋体" w:eastAsia="宋体" w:cs="宋体"/>
          <w:sz w:val="24"/>
          <w:szCs w:val="24"/>
          <w:lang w:eastAsia="zh-CN"/>
        </w:rPr>
        <w:t>一般</w:t>
      </w:r>
      <w:r>
        <w:rPr>
          <w:rFonts w:hint="default" w:ascii="宋体" w:hAnsi="宋体" w:eastAsia="宋体" w:cs="宋体"/>
          <w:sz w:val="24"/>
          <w:szCs w:val="24"/>
        </w:rPr>
        <w:t>故障信息或接到招标</w:t>
      </w:r>
      <w:r>
        <w:rPr>
          <w:rFonts w:hint="eastAsia" w:ascii="宋体" w:hAnsi="宋体" w:eastAsia="宋体" w:cs="宋体"/>
          <w:sz w:val="24"/>
          <w:szCs w:val="24"/>
          <w:lang w:eastAsia="zh-CN"/>
        </w:rPr>
        <w:t>单位</w:t>
      </w:r>
      <w:r>
        <w:rPr>
          <w:rFonts w:hint="default" w:ascii="宋体" w:hAnsi="宋体" w:eastAsia="宋体" w:cs="宋体"/>
          <w:sz w:val="24"/>
          <w:szCs w:val="24"/>
        </w:rPr>
        <w:t>通知</w:t>
      </w:r>
      <w:r>
        <w:rPr>
          <w:rFonts w:hint="eastAsia" w:ascii="宋体" w:hAnsi="宋体" w:eastAsia="宋体" w:cs="宋体"/>
          <w:sz w:val="24"/>
          <w:szCs w:val="24"/>
          <w:lang w:eastAsia="zh-CN"/>
        </w:rPr>
        <w:t>两</w:t>
      </w:r>
      <w:r>
        <w:rPr>
          <w:rFonts w:hint="default" w:ascii="宋体" w:hAnsi="宋体" w:eastAsia="宋体" w:cs="宋体"/>
          <w:sz w:val="24"/>
          <w:szCs w:val="24"/>
        </w:rPr>
        <w:t>小时内派人到达现场，</w:t>
      </w:r>
      <w:r>
        <w:rPr>
          <w:rFonts w:hint="eastAsia" w:ascii="宋体" w:hAnsi="宋体" w:eastAsia="宋体" w:cs="宋体"/>
          <w:sz w:val="24"/>
          <w:szCs w:val="24"/>
          <w:lang w:eastAsia="zh-CN"/>
        </w:rPr>
        <w:t>三</w:t>
      </w:r>
      <w:r>
        <w:rPr>
          <w:rFonts w:hint="default" w:ascii="宋体" w:hAnsi="宋体" w:eastAsia="宋体" w:cs="宋体"/>
          <w:sz w:val="24"/>
          <w:szCs w:val="24"/>
        </w:rPr>
        <w:t>小时内检修解除故障</w:t>
      </w:r>
      <w:r>
        <w:rPr>
          <w:rFonts w:hint="eastAsia" w:ascii="宋体" w:hAnsi="宋体" w:eastAsia="宋体" w:cs="宋体"/>
          <w:sz w:val="24"/>
          <w:szCs w:val="24"/>
          <w:lang w:eastAsia="zh-CN"/>
        </w:rPr>
        <w:t>。接收到重大危险信息或接收到招标单位特殊情况通知一小时内派人到达现场，两小时内检修解除故障</w:t>
      </w:r>
      <w:r>
        <w:rPr>
          <w:rFonts w:hint="default" w:ascii="宋体" w:hAnsi="宋体" w:eastAsia="宋体" w:cs="宋体"/>
          <w:sz w:val="24"/>
          <w:szCs w:val="24"/>
        </w:rPr>
        <w:t>。在确实没有配件的情况下应及时向招标人汇报，并采取有效的应急措施，防止出现安全事故。</w:t>
      </w:r>
    </w:p>
    <w:p w14:paraId="3403358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4.提供详细的月检、季检及年度试验报告并由招标单位人员签字确认</w:t>
      </w:r>
      <w:r>
        <w:rPr>
          <w:rFonts w:hint="eastAsia" w:ascii="宋体" w:hAnsi="宋体" w:eastAsia="宋体" w:cs="宋体"/>
          <w:sz w:val="24"/>
          <w:szCs w:val="24"/>
          <w:lang w:eastAsia="zh-CN"/>
        </w:rPr>
        <w:t>（台账内容：检测报告、故障清单、解决方案及建议，需与物业、后勤管理处、安全保卫处移交对接台账，并限时对相关部门提出整改时限内容与解决方案及建议，整改期限内完成进行复查）</w:t>
      </w:r>
      <w:r>
        <w:rPr>
          <w:rFonts w:hint="eastAsia" w:ascii="宋体" w:hAnsi="宋体" w:eastAsia="宋体" w:cs="宋体"/>
          <w:sz w:val="24"/>
          <w:szCs w:val="24"/>
        </w:rPr>
        <w:t xml:space="preserve">，方便召标人备案。 </w:t>
      </w:r>
    </w:p>
    <w:p w14:paraId="006B53EE">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b/>
          <w:bCs/>
          <w:sz w:val="24"/>
          <w:szCs w:val="24"/>
          <w:lang w:eastAsia="zh-CN"/>
        </w:rPr>
      </w:pPr>
      <w:r>
        <w:rPr>
          <w:rFonts w:hint="eastAsia" w:ascii="宋体" w:hAnsi="宋体" w:eastAsia="宋体" w:cs="宋体"/>
          <w:b/>
          <w:bCs/>
          <w:sz w:val="24"/>
          <w:szCs w:val="24"/>
          <w:lang w:eastAsia="zh-CN"/>
        </w:rPr>
        <w:t>（四）考核</w:t>
      </w:r>
      <w:r>
        <w:rPr>
          <w:rFonts w:hint="eastAsia" w:ascii="宋体" w:hAnsi="宋体" w:cs="宋体"/>
          <w:b/>
          <w:bCs/>
          <w:sz w:val="24"/>
          <w:szCs w:val="24"/>
          <w:lang w:val="en-US" w:eastAsia="zh-CN"/>
        </w:rPr>
        <w:t>方式</w:t>
      </w:r>
    </w:p>
    <w:p w14:paraId="1009437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1、考核方式：</w:t>
      </w:r>
    </w:p>
    <w:p w14:paraId="196C8F9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lang w:val="en-US" w:eastAsia="zh-CN"/>
        </w:rPr>
      </w:pPr>
      <w:r>
        <w:rPr>
          <w:rFonts w:hint="eastAsia" w:ascii="宋体" w:hAnsi="宋体" w:eastAsia="宋体" w:cs="宋体"/>
          <w:sz w:val="24"/>
          <w:szCs w:val="24"/>
          <w:lang w:val="en-US" w:eastAsia="zh-CN"/>
        </w:rPr>
        <w:t>采取每月考核制，考核采取百分制对应当月应付金额的百分比，每项扣分无上限扣完百分制为止，具体考核内容如以下表格。</w:t>
      </w:r>
    </w:p>
    <w:p w14:paraId="4F8F751D">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eastAsia" w:ascii="宋体" w:hAnsi="宋体" w:eastAsia="宋体" w:cs="宋体"/>
          <w:sz w:val="24"/>
          <w:szCs w:val="24"/>
        </w:rPr>
      </w:pPr>
      <w:r>
        <w:rPr>
          <w:rFonts w:hint="eastAsia" w:ascii="宋体" w:hAnsi="宋体" w:eastAsia="宋体" w:cs="宋体"/>
          <w:sz w:val="24"/>
          <w:szCs w:val="24"/>
        </w:rPr>
        <w:t>考核细则</w:t>
      </w:r>
    </w:p>
    <w:p w14:paraId="39EE70F2">
      <w:pPr>
        <w:pStyle w:val="18"/>
        <w:keepNext w:val="0"/>
        <w:keepLines w:val="0"/>
        <w:pageBreakBefore w:val="0"/>
        <w:widowControl/>
        <w:kinsoku/>
        <w:wordWrap/>
        <w:overflowPunct/>
        <w:topLinePunct w:val="0"/>
        <w:autoSpaceDE/>
        <w:autoSpaceDN/>
        <w:bidi w:val="0"/>
        <w:adjustRightInd/>
        <w:snapToGrid/>
        <w:spacing w:line="420" w:lineRule="exact"/>
        <w:ind w:firstLine="480"/>
        <w:textAlignment w:val="auto"/>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r>
        <w:rPr>
          <w:rFonts w:hint="eastAsia" w:ascii="宋体" w:hAnsi="宋体" w:eastAsia="宋体" w:cs="宋体"/>
          <w:sz w:val="24"/>
          <w:szCs w:val="24"/>
          <w:lang w:eastAsia="zh-CN"/>
        </w:rPr>
        <w:t>考核月份：</w:t>
      </w:r>
      <w:r>
        <w:rPr>
          <w:rFonts w:hint="eastAsia" w:ascii="宋体" w:hAnsi="宋体" w:eastAsia="宋体" w:cs="宋体"/>
          <w:sz w:val="24"/>
          <w:szCs w:val="24"/>
          <w:lang w:val="en-US" w:eastAsia="zh-CN"/>
        </w:rPr>
        <w:t xml:space="preserve">   年   月</w:t>
      </w:r>
    </w:p>
    <w:tbl>
      <w:tblPr>
        <w:tblStyle w:val="13"/>
        <w:tblW w:w="898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740"/>
        <w:gridCol w:w="1018"/>
        <w:gridCol w:w="6520"/>
        <w:gridCol w:w="709"/>
      </w:tblGrid>
      <w:tr w14:paraId="40B2F63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740" w:type="dxa"/>
            <w:vAlign w:val="center"/>
          </w:tcPr>
          <w:p w14:paraId="35225C08">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序号</w:t>
            </w:r>
          </w:p>
        </w:tc>
        <w:tc>
          <w:tcPr>
            <w:tcW w:w="1018" w:type="dxa"/>
            <w:vAlign w:val="center"/>
          </w:tcPr>
          <w:p w14:paraId="3E14963D">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考核项目</w:t>
            </w:r>
          </w:p>
        </w:tc>
        <w:tc>
          <w:tcPr>
            <w:tcW w:w="6520" w:type="dxa"/>
            <w:vAlign w:val="center"/>
          </w:tcPr>
          <w:p w14:paraId="6CF1FD90">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r>
              <w:rPr>
                <w:rFonts w:hint="eastAsia" w:ascii="宋体" w:hAnsi="宋体" w:eastAsia="宋体" w:cs="宋体"/>
                <w:sz w:val="24"/>
                <w:szCs w:val="24"/>
              </w:rPr>
              <w:t>考核具体内容</w:t>
            </w:r>
          </w:p>
        </w:tc>
        <w:tc>
          <w:tcPr>
            <w:tcW w:w="709" w:type="dxa"/>
            <w:vAlign w:val="center"/>
          </w:tcPr>
          <w:p w14:paraId="2D70FFA0">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扣分分值</w:t>
            </w:r>
          </w:p>
        </w:tc>
      </w:tr>
      <w:tr w14:paraId="5CA6ED8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4" w:hRule="atLeast"/>
          <w:jc w:val="center"/>
        </w:trPr>
        <w:tc>
          <w:tcPr>
            <w:tcW w:w="740" w:type="dxa"/>
            <w:vMerge w:val="restart"/>
            <w:vAlign w:val="center"/>
          </w:tcPr>
          <w:p w14:paraId="265465E6">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1</w:t>
            </w:r>
          </w:p>
        </w:tc>
        <w:tc>
          <w:tcPr>
            <w:tcW w:w="1018" w:type="dxa"/>
            <w:vMerge w:val="restart"/>
            <w:vAlign w:val="center"/>
          </w:tcPr>
          <w:p w14:paraId="386BA434">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维保工作计划性</w:t>
            </w:r>
          </w:p>
        </w:tc>
        <w:tc>
          <w:tcPr>
            <w:tcW w:w="6520" w:type="dxa"/>
            <w:vAlign w:val="center"/>
          </w:tcPr>
          <w:p w14:paraId="3608226D">
            <w:pPr>
              <w:pStyle w:val="18"/>
              <w:keepNext w:val="0"/>
              <w:keepLines w:val="0"/>
              <w:pageBreakBefore w:val="0"/>
              <w:widowControl/>
              <w:numPr>
                <w:ilvl w:val="0"/>
                <w:numId w:val="2"/>
              </w:numPr>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乙方必须在每个月的25日前，向甲方提交次月维保计划。如</w:t>
            </w:r>
            <w:r>
              <w:rPr>
                <w:rFonts w:hint="eastAsia" w:ascii="宋体" w:hAnsi="宋体" w:eastAsia="宋体" w:cs="宋体"/>
                <w:sz w:val="24"/>
                <w:szCs w:val="24"/>
                <w:lang w:eastAsia="zh-CN"/>
              </w:rPr>
              <w:t>未按要求及时规范出具维保报告</w:t>
            </w:r>
            <w:r>
              <w:rPr>
                <w:rFonts w:hint="eastAsia" w:ascii="宋体" w:hAnsi="宋体" w:eastAsia="宋体" w:cs="宋体"/>
                <w:sz w:val="24"/>
                <w:szCs w:val="24"/>
              </w:rPr>
              <w:t>，每次扣2分；如有</w:t>
            </w:r>
          </w:p>
          <w:p w14:paraId="1DCFE555">
            <w:pPr>
              <w:pStyle w:val="18"/>
              <w:keepNext w:val="0"/>
              <w:keepLines w:val="0"/>
              <w:pageBreakBefore w:val="0"/>
              <w:widowControl/>
              <w:numPr>
                <w:ilvl w:val="0"/>
                <w:numId w:val="0"/>
              </w:numPr>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特殊情况，征得甲方书面同意，不作扣分。</w:t>
            </w:r>
          </w:p>
        </w:tc>
        <w:tc>
          <w:tcPr>
            <w:tcW w:w="709" w:type="dxa"/>
            <w:vAlign w:val="center"/>
          </w:tcPr>
          <w:p w14:paraId="45896005">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785AC8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740" w:type="dxa"/>
            <w:vMerge w:val="continue"/>
            <w:vAlign w:val="center"/>
          </w:tcPr>
          <w:p w14:paraId="4D768DEB">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1018" w:type="dxa"/>
            <w:vMerge w:val="continue"/>
            <w:vAlign w:val="center"/>
          </w:tcPr>
          <w:p w14:paraId="130B51DC">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6520" w:type="dxa"/>
            <w:vAlign w:val="center"/>
          </w:tcPr>
          <w:p w14:paraId="79787AFF">
            <w:pPr>
              <w:pStyle w:val="18"/>
              <w:keepNext w:val="0"/>
              <w:keepLines w:val="0"/>
              <w:pageBreakBefore w:val="0"/>
              <w:widowControl/>
              <w:numPr>
                <w:ilvl w:val="0"/>
                <w:numId w:val="2"/>
              </w:numPr>
              <w:kinsoku/>
              <w:wordWrap/>
              <w:overflowPunct/>
              <w:topLinePunct w:val="0"/>
              <w:autoSpaceDE/>
              <w:autoSpaceDN/>
              <w:bidi w:val="0"/>
              <w:adjustRightInd/>
              <w:snapToGrid/>
              <w:spacing w:line="420" w:lineRule="exact"/>
              <w:ind w:left="0" w:leftChars="0" w:firstLine="0" w:firstLineChars="0"/>
              <w:jc w:val="center"/>
              <w:textAlignment w:val="auto"/>
              <w:rPr>
                <w:rFonts w:hint="eastAsia" w:ascii="宋体" w:hAnsi="宋体" w:eastAsia="宋体" w:cs="宋体"/>
                <w:sz w:val="24"/>
                <w:szCs w:val="24"/>
                <w:lang w:eastAsia="zh-CN"/>
              </w:rPr>
            </w:pPr>
            <w:r>
              <w:rPr>
                <w:rFonts w:hint="eastAsia" w:ascii="宋体" w:hAnsi="宋体" w:eastAsia="宋体" w:cs="宋体"/>
                <w:sz w:val="24"/>
                <w:szCs w:val="24"/>
              </w:rPr>
              <w:t>月度维保计划包含：</w:t>
            </w:r>
            <w:r>
              <w:rPr>
                <w:rFonts w:hint="eastAsia" w:ascii="宋体" w:hAnsi="宋体" w:eastAsia="宋体" w:cs="宋体"/>
                <w:sz w:val="24"/>
                <w:szCs w:val="24"/>
                <w:lang w:eastAsia="zh-CN"/>
              </w:rPr>
              <w:t>上级有关部门要求报送的材料、</w:t>
            </w:r>
            <w:r>
              <w:rPr>
                <w:rFonts w:hint="eastAsia" w:ascii="宋体" w:hAnsi="宋体" w:eastAsia="宋体" w:cs="宋体"/>
                <w:sz w:val="24"/>
                <w:szCs w:val="24"/>
              </w:rPr>
              <w:t>维保时间、维保项目、维保目的、维保范围、维保达到效果、参加人员名单。如内容不全，每项扣1分。</w:t>
            </w:r>
            <w:r>
              <w:rPr>
                <w:rFonts w:hint="eastAsia" w:ascii="宋体" w:hAnsi="宋体" w:eastAsia="宋体" w:cs="宋体"/>
                <w:sz w:val="24"/>
                <w:szCs w:val="24"/>
                <w:lang w:eastAsia="zh-CN"/>
              </w:rPr>
              <w:t>上级相关部门、校方临时（专项）抽查检测发现当月《维保报告》未能体现</w:t>
            </w:r>
          </w:p>
          <w:p w14:paraId="678B1D56">
            <w:pPr>
              <w:pStyle w:val="18"/>
              <w:keepNext w:val="0"/>
              <w:keepLines w:val="0"/>
              <w:pageBreakBefore w:val="0"/>
              <w:widowControl/>
              <w:numPr>
                <w:ilvl w:val="0"/>
                <w:numId w:val="0"/>
              </w:numPr>
              <w:kinsoku/>
              <w:wordWrap/>
              <w:overflowPunct/>
              <w:topLinePunct w:val="0"/>
              <w:autoSpaceDE/>
              <w:autoSpaceDN/>
              <w:bidi w:val="0"/>
              <w:adjustRightInd/>
              <w:snapToGrid/>
              <w:spacing w:line="420" w:lineRule="exact"/>
              <w:ind w:leftChars="0"/>
              <w:jc w:val="both"/>
              <w:textAlignment w:val="auto"/>
              <w:rPr>
                <w:rFonts w:hint="default" w:ascii="宋体" w:hAnsi="宋体" w:eastAsia="宋体" w:cs="宋体"/>
                <w:sz w:val="24"/>
                <w:szCs w:val="24"/>
                <w:lang w:val="en-US" w:eastAsia="zh-CN"/>
              </w:rPr>
            </w:pPr>
            <w:r>
              <w:rPr>
                <w:rFonts w:hint="eastAsia" w:ascii="宋体" w:hAnsi="宋体" w:eastAsia="宋体" w:cs="宋体"/>
                <w:sz w:val="24"/>
                <w:szCs w:val="24"/>
                <w:lang w:eastAsia="zh-CN"/>
              </w:rPr>
              <w:t>出的问题及与报告不符的问题，每项扣</w:t>
            </w:r>
            <w:r>
              <w:rPr>
                <w:rFonts w:hint="eastAsia" w:ascii="宋体" w:hAnsi="宋体" w:eastAsia="宋体" w:cs="宋体"/>
                <w:sz w:val="24"/>
                <w:szCs w:val="24"/>
                <w:lang w:val="en-US" w:eastAsia="zh-CN"/>
              </w:rPr>
              <w:t>1分</w:t>
            </w:r>
          </w:p>
        </w:tc>
        <w:tc>
          <w:tcPr>
            <w:tcW w:w="709" w:type="dxa"/>
            <w:vAlign w:val="center"/>
          </w:tcPr>
          <w:p w14:paraId="360FCDA2">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626F11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jc w:val="center"/>
        </w:trPr>
        <w:tc>
          <w:tcPr>
            <w:tcW w:w="740" w:type="dxa"/>
            <w:vMerge w:val="continue"/>
            <w:vAlign w:val="center"/>
          </w:tcPr>
          <w:p w14:paraId="2A289E94">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1018" w:type="dxa"/>
            <w:vMerge w:val="continue"/>
            <w:vAlign w:val="center"/>
          </w:tcPr>
          <w:p w14:paraId="3E0D7432">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6520" w:type="dxa"/>
            <w:vAlign w:val="center"/>
          </w:tcPr>
          <w:p w14:paraId="26053D7B">
            <w:pPr>
              <w:pStyle w:val="18"/>
              <w:keepNext w:val="0"/>
              <w:keepLines w:val="0"/>
              <w:pageBreakBefore w:val="0"/>
              <w:widowControl/>
              <w:numPr>
                <w:ilvl w:val="0"/>
                <w:numId w:val="2"/>
              </w:numPr>
              <w:kinsoku/>
              <w:wordWrap/>
              <w:overflowPunct/>
              <w:topLinePunct w:val="0"/>
              <w:autoSpaceDE/>
              <w:autoSpaceDN/>
              <w:bidi w:val="0"/>
              <w:adjustRightInd/>
              <w:snapToGrid/>
              <w:spacing w:line="42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乙方每次维保工作必须严格按照排定的计划按质按量执行，如有特殊情况不能按计划进行维保，必须提前书面通知甲方，并同时提交顺延后的维保日期，经甲方书面同意后</w:t>
            </w:r>
          </w:p>
          <w:p w14:paraId="1CFC370B">
            <w:pPr>
              <w:pStyle w:val="18"/>
              <w:keepNext w:val="0"/>
              <w:keepLines w:val="0"/>
              <w:pageBreakBefore w:val="0"/>
              <w:widowControl/>
              <w:numPr>
                <w:ilvl w:val="0"/>
                <w:numId w:val="0"/>
              </w:numPr>
              <w:kinsoku/>
              <w:wordWrap/>
              <w:overflowPunct/>
              <w:topLinePunct w:val="0"/>
              <w:autoSpaceDE/>
              <w:autoSpaceDN/>
              <w:bidi w:val="0"/>
              <w:adjustRightInd/>
              <w:snapToGrid/>
              <w:spacing w:line="420" w:lineRule="exact"/>
              <w:ind w:leftChars="0"/>
              <w:jc w:val="both"/>
              <w:textAlignment w:val="auto"/>
              <w:rPr>
                <w:rFonts w:hint="eastAsia" w:ascii="宋体" w:hAnsi="宋体" w:eastAsia="宋体" w:cs="宋体"/>
                <w:sz w:val="24"/>
                <w:szCs w:val="24"/>
              </w:rPr>
            </w:pPr>
            <w:r>
              <w:rPr>
                <w:rFonts w:hint="eastAsia" w:ascii="宋体" w:hAnsi="宋体" w:eastAsia="宋体" w:cs="宋体"/>
                <w:sz w:val="24"/>
                <w:szCs w:val="24"/>
              </w:rPr>
              <w:t>方可变更。否则，每次扣5分。</w:t>
            </w:r>
          </w:p>
        </w:tc>
        <w:tc>
          <w:tcPr>
            <w:tcW w:w="709" w:type="dxa"/>
            <w:vAlign w:val="center"/>
          </w:tcPr>
          <w:p w14:paraId="2DB44C37">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378FFBF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740" w:type="dxa"/>
            <w:vMerge w:val="restart"/>
            <w:vAlign w:val="center"/>
          </w:tcPr>
          <w:p w14:paraId="4EC6ACE5">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2</w:t>
            </w:r>
          </w:p>
        </w:tc>
        <w:tc>
          <w:tcPr>
            <w:tcW w:w="1018" w:type="dxa"/>
            <w:vMerge w:val="restart"/>
            <w:vAlign w:val="center"/>
          </w:tcPr>
          <w:p w14:paraId="5EAD11E8">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维保工作准时率及时率</w:t>
            </w:r>
          </w:p>
        </w:tc>
        <w:tc>
          <w:tcPr>
            <w:tcW w:w="6520" w:type="dxa"/>
            <w:vAlign w:val="center"/>
          </w:tcPr>
          <w:p w14:paraId="47B6A43A">
            <w:pPr>
              <w:pStyle w:val="18"/>
              <w:keepNext w:val="0"/>
              <w:keepLines w:val="0"/>
              <w:pageBreakBefore w:val="0"/>
              <w:widowControl/>
              <w:numPr>
                <w:ilvl w:val="0"/>
                <w:numId w:val="3"/>
              </w:numPr>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乙方维保作业人员必须按计划排定时间，准时进场作</w:t>
            </w:r>
          </w:p>
          <w:p w14:paraId="1515A870">
            <w:pPr>
              <w:pStyle w:val="18"/>
              <w:keepNext w:val="0"/>
              <w:keepLines w:val="0"/>
              <w:pageBreakBefore w:val="0"/>
              <w:widowControl/>
              <w:numPr>
                <w:ilvl w:val="0"/>
                <w:numId w:val="0"/>
              </w:numPr>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业。否则，每违反上述约定一次扣1分。</w:t>
            </w:r>
          </w:p>
        </w:tc>
        <w:tc>
          <w:tcPr>
            <w:tcW w:w="709" w:type="dxa"/>
            <w:vAlign w:val="center"/>
          </w:tcPr>
          <w:p w14:paraId="748AFA0D">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11094B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740" w:type="dxa"/>
            <w:vMerge w:val="continue"/>
            <w:vAlign w:val="center"/>
          </w:tcPr>
          <w:p w14:paraId="0FB986C1">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1018" w:type="dxa"/>
            <w:vMerge w:val="continue"/>
            <w:vAlign w:val="center"/>
          </w:tcPr>
          <w:p w14:paraId="207B4ADA">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6520" w:type="dxa"/>
            <w:vAlign w:val="center"/>
          </w:tcPr>
          <w:p w14:paraId="31633FA9">
            <w:pPr>
              <w:pStyle w:val="18"/>
              <w:keepNext w:val="0"/>
              <w:keepLines w:val="0"/>
              <w:pageBreakBefore w:val="0"/>
              <w:widowControl/>
              <w:numPr>
                <w:ilvl w:val="0"/>
                <w:numId w:val="3"/>
              </w:numPr>
              <w:kinsoku/>
              <w:wordWrap/>
              <w:overflowPunct/>
              <w:topLinePunct w:val="0"/>
              <w:autoSpaceDE/>
              <w:autoSpaceDN/>
              <w:bidi w:val="0"/>
              <w:adjustRightInd/>
              <w:snapToGrid/>
              <w:spacing w:line="42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如委托维保设备出现紧急设备故障，接到甲方通知后，乙方维保人员必须在合同约定时间内到达现场处理突发事件。必须确保系统</w:t>
            </w:r>
            <w:r>
              <w:rPr>
                <w:rFonts w:hint="eastAsia" w:ascii="宋体" w:hAnsi="宋体" w:eastAsia="宋体" w:cs="宋体"/>
                <w:sz w:val="24"/>
                <w:szCs w:val="24"/>
                <w:lang w:val="en-US" w:eastAsia="zh-CN"/>
              </w:rPr>
              <w:t>3</w:t>
            </w:r>
            <w:r>
              <w:rPr>
                <w:rFonts w:hint="eastAsia" w:ascii="宋体" w:hAnsi="宋体" w:eastAsia="宋体" w:cs="宋体"/>
                <w:sz w:val="24"/>
                <w:szCs w:val="24"/>
              </w:rPr>
              <w:t>小时内能恢复正常（需要更换部件的、需厂家解决的和不可抗拒的自然灾害引起的事故除外）。否</w:t>
            </w:r>
          </w:p>
          <w:p w14:paraId="3AF0B039">
            <w:pPr>
              <w:pStyle w:val="18"/>
              <w:keepNext w:val="0"/>
              <w:keepLines w:val="0"/>
              <w:pageBreakBefore w:val="0"/>
              <w:widowControl/>
              <w:numPr>
                <w:ilvl w:val="0"/>
                <w:numId w:val="0"/>
              </w:numPr>
              <w:kinsoku/>
              <w:wordWrap/>
              <w:overflowPunct/>
              <w:topLinePunct w:val="0"/>
              <w:autoSpaceDE/>
              <w:autoSpaceDN/>
              <w:bidi w:val="0"/>
              <w:adjustRightInd/>
              <w:snapToGrid/>
              <w:spacing w:line="420" w:lineRule="exact"/>
              <w:ind w:leftChars="0"/>
              <w:jc w:val="both"/>
              <w:textAlignment w:val="auto"/>
              <w:rPr>
                <w:rFonts w:hint="eastAsia" w:ascii="宋体" w:hAnsi="宋体" w:eastAsia="宋体" w:cs="宋体"/>
                <w:sz w:val="24"/>
                <w:szCs w:val="24"/>
              </w:rPr>
            </w:pPr>
            <w:r>
              <w:rPr>
                <w:rFonts w:hint="eastAsia" w:ascii="宋体" w:hAnsi="宋体" w:eastAsia="宋体" w:cs="宋体"/>
                <w:sz w:val="24"/>
                <w:szCs w:val="24"/>
              </w:rPr>
              <w:t>则，每违反上述约定一次扣2分。</w:t>
            </w:r>
          </w:p>
        </w:tc>
        <w:tc>
          <w:tcPr>
            <w:tcW w:w="709" w:type="dxa"/>
            <w:vAlign w:val="center"/>
          </w:tcPr>
          <w:p w14:paraId="0CF5537A">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4A8D827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40" w:type="dxa"/>
            <w:vMerge w:val="restart"/>
            <w:vAlign w:val="center"/>
          </w:tcPr>
          <w:p w14:paraId="6BB00E4F">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3</w:t>
            </w:r>
          </w:p>
        </w:tc>
        <w:tc>
          <w:tcPr>
            <w:tcW w:w="1018" w:type="dxa"/>
            <w:vMerge w:val="restart"/>
            <w:vAlign w:val="center"/>
          </w:tcPr>
          <w:p w14:paraId="2851D025">
            <w:pPr>
              <w:pStyle w:val="18"/>
              <w:keepNext w:val="0"/>
              <w:keepLines w:val="0"/>
              <w:pageBreakBefore w:val="0"/>
              <w:widowControl/>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维保作业</w:t>
            </w:r>
          </w:p>
        </w:tc>
        <w:tc>
          <w:tcPr>
            <w:tcW w:w="6520" w:type="dxa"/>
            <w:vAlign w:val="center"/>
          </w:tcPr>
          <w:p w14:paraId="228ABF44">
            <w:pPr>
              <w:pStyle w:val="18"/>
              <w:keepNext w:val="0"/>
              <w:keepLines w:val="0"/>
              <w:pageBreakBefore w:val="0"/>
              <w:widowControl/>
              <w:numPr>
                <w:ilvl w:val="0"/>
                <w:numId w:val="4"/>
              </w:numPr>
              <w:kinsoku/>
              <w:wordWrap/>
              <w:overflowPunct/>
              <w:topLinePunct w:val="0"/>
              <w:autoSpaceDE/>
              <w:autoSpaceDN/>
              <w:bidi w:val="0"/>
              <w:adjustRightInd/>
              <w:snapToGrid/>
              <w:spacing w:line="420" w:lineRule="exact"/>
              <w:jc w:val="center"/>
              <w:textAlignment w:val="auto"/>
              <w:rPr>
                <w:rFonts w:hint="eastAsia" w:ascii="宋体" w:hAnsi="宋体" w:eastAsia="宋体" w:cs="宋体"/>
                <w:sz w:val="24"/>
                <w:szCs w:val="24"/>
              </w:rPr>
            </w:pPr>
            <w:r>
              <w:rPr>
                <w:rFonts w:hint="eastAsia" w:ascii="宋体" w:hAnsi="宋体" w:eastAsia="宋体" w:cs="宋体"/>
                <w:sz w:val="24"/>
                <w:szCs w:val="24"/>
              </w:rPr>
              <w:t>乙方的保养人员必须按月度制定的计划实施保养作业，保养作业完毕必须按要求填写保养记录，记录为一式两份（乙方与甲方各一份）。同时甲方将对维保情况按照记录进行随机抽查，如发现保养作业与月度计划不符或作业未达</w:t>
            </w:r>
          </w:p>
          <w:p w14:paraId="1390333A">
            <w:pPr>
              <w:pStyle w:val="18"/>
              <w:keepNext w:val="0"/>
              <w:keepLines w:val="0"/>
              <w:pageBreakBefore w:val="0"/>
              <w:widowControl/>
              <w:numPr>
                <w:ilvl w:val="0"/>
                <w:numId w:val="0"/>
              </w:numPr>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标，每次每项扣1分。</w:t>
            </w:r>
          </w:p>
        </w:tc>
        <w:tc>
          <w:tcPr>
            <w:tcW w:w="709" w:type="dxa"/>
            <w:vAlign w:val="center"/>
          </w:tcPr>
          <w:p w14:paraId="19091683">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0F93875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50" w:hRule="atLeast"/>
          <w:jc w:val="center"/>
        </w:trPr>
        <w:tc>
          <w:tcPr>
            <w:tcW w:w="740" w:type="dxa"/>
            <w:vMerge w:val="continue"/>
            <w:vAlign w:val="center"/>
          </w:tcPr>
          <w:p w14:paraId="03D843E4">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1018" w:type="dxa"/>
            <w:vMerge w:val="continue"/>
            <w:vAlign w:val="center"/>
          </w:tcPr>
          <w:p w14:paraId="4B394841">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6520" w:type="dxa"/>
            <w:vAlign w:val="center"/>
          </w:tcPr>
          <w:p w14:paraId="7DD0C250">
            <w:pPr>
              <w:pStyle w:val="18"/>
              <w:keepNext w:val="0"/>
              <w:keepLines w:val="0"/>
              <w:pageBreakBefore w:val="0"/>
              <w:widowControl/>
              <w:numPr>
                <w:ilvl w:val="0"/>
                <w:numId w:val="4"/>
              </w:numPr>
              <w:kinsoku/>
              <w:wordWrap/>
              <w:overflowPunct/>
              <w:topLinePunct w:val="0"/>
              <w:autoSpaceDE/>
              <w:autoSpaceDN/>
              <w:bidi w:val="0"/>
              <w:adjustRightInd/>
              <w:snapToGrid/>
              <w:spacing w:line="42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乙方的保养人员必须按月度制定的计划实施保养作业，如已排定计划实施维保的消防设备设施和项目，乙方无正当理由或未事先书面通知甲方，出现维保工作漏做或没做，</w:t>
            </w:r>
          </w:p>
          <w:p w14:paraId="1C6B6D77">
            <w:pPr>
              <w:pStyle w:val="18"/>
              <w:keepNext w:val="0"/>
              <w:keepLines w:val="0"/>
              <w:pageBreakBefore w:val="0"/>
              <w:widowControl/>
              <w:numPr>
                <w:ilvl w:val="0"/>
                <w:numId w:val="0"/>
              </w:numPr>
              <w:kinsoku/>
              <w:wordWrap/>
              <w:overflowPunct/>
              <w:topLinePunct w:val="0"/>
              <w:autoSpaceDE/>
              <w:autoSpaceDN/>
              <w:bidi w:val="0"/>
              <w:adjustRightInd/>
              <w:snapToGrid/>
              <w:spacing w:line="420" w:lineRule="exact"/>
              <w:ind w:leftChars="0"/>
              <w:jc w:val="both"/>
              <w:textAlignment w:val="auto"/>
              <w:rPr>
                <w:rFonts w:hint="eastAsia" w:ascii="宋体" w:hAnsi="宋体" w:eastAsia="宋体" w:cs="宋体"/>
                <w:sz w:val="24"/>
                <w:szCs w:val="24"/>
              </w:rPr>
            </w:pPr>
            <w:r>
              <w:rPr>
                <w:rFonts w:hint="eastAsia" w:ascii="宋体" w:hAnsi="宋体" w:eastAsia="宋体" w:cs="宋体"/>
                <w:sz w:val="24"/>
                <w:szCs w:val="24"/>
              </w:rPr>
              <w:t>每次每项扣5分。</w:t>
            </w:r>
          </w:p>
        </w:tc>
        <w:tc>
          <w:tcPr>
            <w:tcW w:w="709" w:type="dxa"/>
            <w:vAlign w:val="center"/>
          </w:tcPr>
          <w:p w14:paraId="35BCF304">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340C829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37" w:hRule="atLeast"/>
          <w:jc w:val="center"/>
        </w:trPr>
        <w:tc>
          <w:tcPr>
            <w:tcW w:w="740" w:type="dxa"/>
            <w:vMerge w:val="continue"/>
            <w:vAlign w:val="center"/>
          </w:tcPr>
          <w:p w14:paraId="56679477">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1018" w:type="dxa"/>
            <w:vMerge w:val="continue"/>
            <w:vAlign w:val="center"/>
          </w:tcPr>
          <w:p w14:paraId="4492DCA2">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6520" w:type="dxa"/>
            <w:vAlign w:val="center"/>
          </w:tcPr>
          <w:p w14:paraId="203A979B">
            <w:pPr>
              <w:pStyle w:val="18"/>
              <w:keepNext w:val="0"/>
              <w:keepLines w:val="0"/>
              <w:pageBreakBefore w:val="0"/>
              <w:widowControl/>
              <w:numPr>
                <w:ilvl w:val="0"/>
                <w:numId w:val="4"/>
              </w:numPr>
              <w:kinsoku/>
              <w:wordWrap/>
              <w:overflowPunct/>
              <w:topLinePunct w:val="0"/>
              <w:autoSpaceDE/>
              <w:autoSpaceDN/>
              <w:bidi w:val="0"/>
              <w:adjustRightInd/>
              <w:snapToGrid/>
              <w:spacing w:line="420" w:lineRule="exact"/>
              <w:ind w:left="0" w:leftChars="0" w:firstLine="0" w:firstLineChars="0"/>
              <w:jc w:val="center"/>
              <w:textAlignment w:val="auto"/>
              <w:rPr>
                <w:rFonts w:hint="eastAsia" w:ascii="宋体" w:hAnsi="宋体" w:eastAsia="宋体" w:cs="宋体"/>
                <w:sz w:val="24"/>
                <w:szCs w:val="24"/>
              </w:rPr>
            </w:pPr>
            <w:r>
              <w:rPr>
                <w:rFonts w:hint="eastAsia" w:ascii="宋体" w:hAnsi="宋体" w:eastAsia="宋体" w:cs="宋体"/>
                <w:sz w:val="24"/>
                <w:szCs w:val="24"/>
              </w:rPr>
              <w:t>乙方保养人员在进入机房作业完毕后，必须锁好门。如有疏忽每次扣2分。同时由此导致发生意外事件的，全部</w:t>
            </w:r>
          </w:p>
          <w:p w14:paraId="14F12BA8">
            <w:pPr>
              <w:pStyle w:val="18"/>
              <w:keepNext w:val="0"/>
              <w:keepLines w:val="0"/>
              <w:pageBreakBefore w:val="0"/>
              <w:widowControl/>
              <w:numPr>
                <w:ilvl w:val="0"/>
                <w:numId w:val="0"/>
              </w:numPr>
              <w:kinsoku/>
              <w:wordWrap/>
              <w:overflowPunct/>
              <w:topLinePunct w:val="0"/>
              <w:autoSpaceDE/>
              <w:autoSpaceDN/>
              <w:bidi w:val="0"/>
              <w:adjustRightInd/>
              <w:snapToGrid/>
              <w:spacing w:line="420" w:lineRule="exact"/>
              <w:ind w:leftChars="0"/>
              <w:jc w:val="both"/>
              <w:textAlignment w:val="auto"/>
              <w:rPr>
                <w:rFonts w:hint="eastAsia" w:ascii="宋体" w:hAnsi="宋体" w:eastAsia="宋体" w:cs="宋体"/>
                <w:sz w:val="24"/>
                <w:szCs w:val="24"/>
              </w:rPr>
            </w:pPr>
            <w:r>
              <w:rPr>
                <w:rFonts w:hint="eastAsia" w:ascii="宋体" w:hAnsi="宋体" w:eastAsia="宋体" w:cs="宋体"/>
                <w:sz w:val="24"/>
                <w:szCs w:val="24"/>
              </w:rPr>
              <w:t>责任由乙方承担。</w:t>
            </w:r>
          </w:p>
        </w:tc>
        <w:tc>
          <w:tcPr>
            <w:tcW w:w="709" w:type="dxa"/>
            <w:vAlign w:val="center"/>
          </w:tcPr>
          <w:p w14:paraId="090D97FD">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41BF31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20" w:hRule="atLeast"/>
          <w:jc w:val="center"/>
        </w:trPr>
        <w:tc>
          <w:tcPr>
            <w:tcW w:w="740" w:type="dxa"/>
            <w:vMerge w:val="continue"/>
            <w:vAlign w:val="center"/>
          </w:tcPr>
          <w:p w14:paraId="4636DDBF">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1018" w:type="dxa"/>
            <w:vMerge w:val="continue"/>
            <w:vAlign w:val="center"/>
          </w:tcPr>
          <w:p w14:paraId="1FD41581">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6520" w:type="dxa"/>
            <w:vAlign w:val="center"/>
          </w:tcPr>
          <w:p w14:paraId="6F0E7AFA">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四</w:t>
            </w:r>
            <w:r>
              <w:rPr>
                <w:rFonts w:hint="eastAsia" w:ascii="宋体" w:hAnsi="宋体" w:eastAsia="宋体" w:cs="宋体"/>
                <w:sz w:val="24"/>
                <w:szCs w:val="24"/>
                <w:lang w:eastAsia="zh-CN"/>
              </w:rPr>
              <w:t>）</w:t>
            </w:r>
            <w:r>
              <w:rPr>
                <w:rFonts w:hint="eastAsia" w:ascii="宋体" w:hAnsi="宋体" w:eastAsia="宋体" w:cs="宋体"/>
                <w:sz w:val="24"/>
                <w:szCs w:val="24"/>
              </w:rPr>
              <w:t>乙方提供的维保服务，必须参照国家规定的相关要求执行。消防设备设施通过定期的维保，必须达到相关技术要求，能够正常使用和运行。如发现维保质量不符合上述约定，每次扣2分。因乙方过错而导致发生意外事件的，全部责任由乙方承担。</w:t>
            </w:r>
          </w:p>
        </w:tc>
        <w:tc>
          <w:tcPr>
            <w:tcW w:w="709" w:type="dxa"/>
            <w:vAlign w:val="center"/>
          </w:tcPr>
          <w:p w14:paraId="3B6ABE75">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7F039F7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964" w:hRule="atLeast"/>
          <w:jc w:val="center"/>
        </w:trPr>
        <w:tc>
          <w:tcPr>
            <w:tcW w:w="740" w:type="dxa"/>
            <w:vMerge w:val="continue"/>
            <w:vAlign w:val="center"/>
          </w:tcPr>
          <w:p w14:paraId="12D93AC4">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1018" w:type="dxa"/>
            <w:vMerge w:val="continue"/>
            <w:vAlign w:val="center"/>
          </w:tcPr>
          <w:p w14:paraId="08F018C0">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6520" w:type="dxa"/>
            <w:vAlign w:val="center"/>
          </w:tcPr>
          <w:p w14:paraId="02FB4942">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五</w:t>
            </w:r>
            <w:r>
              <w:rPr>
                <w:rFonts w:hint="eastAsia" w:ascii="宋体" w:hAnsi="宋体" w:eastAsia="宋体" w:cs="宋体"/>
                <w:sz w:val="24"/>
                <w:szCs w:val="24"/>
                <w:lang w:eastAsia="zh-CN"/>
              </w:rPr>
              <w:t>）</w:t>
            </w:r>
            <w:r>
              <w:rPr>
                <w:rFonts w:hint="eastAsia" w:ascii="宋体" w:hAnsi="宋体" w:eastAsia="宋体" w:cs="宋体"/>
                <w:sz w:val="24"/>
                <w:szCs w:val="24"/>
              </w:rPr>
              <w:t>乙方保养人员在实施维保作业时，必须以合同附件里的《消防系统维保项目清单》作为范围依据，制定相关计划定期对相关项目进行维保。如发现维保计划不符合上述约定，每漏一项扣2分。</w:t>
            </w:r>
          </w:p>
        </w:tc>
        <w:tc>
          <w:tcPr>
            <w:tcW w:w="709" w:type="dxa"/>
            <w:vAlign w:val="center"/>
          </w:tcPr>
          <w:p w14:paraId="3E9934CE">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2F60BD1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497" w:hRule="atLeast"/>
          <w:jc w:val="center"/>
        </w:trPr>
        <w:tc>
          <w:tcPr>
            <w:tcW w:w="740" w:type="dxa"/>
            <w:vMerge w:val="restart"/>
            <w:vAlign w:val="center"/>
          </w:tcPr>
          <w:p w14:paraId="1231E3B6">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r>
              <w:rPr>
                <w:rFonts w:hint="eastAsia" w:ascii="宋体" w:hAnsi="宋体" w:eastAsia="宋体" w:cs="宋体"/>
                <w:sz w:val="24"/>
                <w:szCs w:val="24"/>
              </w:rPr>
              <w:t>4</w:t>
            </w:r>
          </w:p>
        </w:tc>
        <w:tc>
          <w:tcPr>
            <w:tcW w:w="1018" w:type="dxa"/>
            <w:vMerge w:val="restart"/>
            <w:vAlign w:val="center"/>
          </w:tcPr>
          <w:p w14:paraId="6AFA4FCB">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零配件更换</w:t>
            </w:r>
          </w:p>
        </w:tc>
        <w:tc>
          <w:tcPr>
            <w:tcW w:w="6520" w:type="dxa"/>
            <w:vAlign w:val="center"/>
          </w:tcPr>
          <w:p w14:paraId="07DCA9E9">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六</w:t>
            </w:r>
            <w:r>
              <w:rPr>
                <w:rFonts w:hint="eastAsia" w:ascii="宋体" w:hAnsi="宋体" w:eastAsia="宋体" w:cs="宋体"/>
                <w:sz w:val="24"/>
                <w:szCs w:val="24"/>
                <w:lang w:eastAsia="zh-CN"/>
              </w:rPr>
              <w:t>）</w:t>
            </w:r>
            <w:r>
              <w:rPr>
                <w:rFonts w:hint="eastAsia" w:ascii="宋体" w:hAnsi="宋体" w:eastAsia="宋体" w:cs="宋体"/>
                <w:sz w:val="24"/>
                <w:szCs w:val="24"/>
              </w:rPr>
              <w:t>当消防设备设施出现故障，乙方认为确需更换零配件，应提交相关分析报告并提供配件的型号、厂家、报价、维修工时等。如乙方不提交分析报告或报告内容不符合上述约定，每次扣1分。甲方自行购买配件的，由乙方负责免费安装、调试；如果乙方判断错误，致使甲方遭受损失，乙方承担全部责任。</w:t>
            </w:r>
          </w:p>
        </w:tc>
        <w:tc>
          <w:tcPr>
            <w:tcW w:w="709" w:type="dxa"/>
            <w:vAlign w:val="center"/>
          </w:tcPr>
          <w:p w14:paraId="147B909B">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73AF3FD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80" w:hRule="atLeast"/>
          <w:jc w:val="center"/>
        </w:trPr>
        <w:tc>
          <w:tcPr>
            <w:tcW w:w="740" w:type="dxa"/>
            <w:vMerge w:val="continue"/>
            <w:vAlign w:val="center"/>
          </w:tcPr>
          <w:p w14:paraId="75C966A1">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1018" w:type="dxa"/>
            <w:vMerge w:val="continue"/>
            <w:vAlign w:val="center"/>
          </w:tcPr>
          <w:p w14:paraId="374E3B55">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6520" w:type="dxa"/>
            <w:vAlign w:val="center"/>
          </w:tcPr>
          <w:p w14:paraId="017DDD97">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七</w:t>
            </w:r>
            <w:r>
              <w:rPr>
                <w:rFonts w:hint="eastAsia" w:ascii="宋体" w:hAnsi="宋体" w:eastAsia="宋体" w:cs="宋体"/>
                <w:sz w:val="24"/>
                <w:szCs w:val="24"/>
                <w:lang w:eastAsia="zh-CN"/>
              </w:rPr>
              <w:t>）</w:t>
            </w:r>
            <w:r>
              <w:rPr>
                <w:rFonts w:hint="eastAsia" w:ascii="宋体" w:hAnsi="宋体" w:eastAsia="宋体" w:cs="宋体"/>
                <w:sz w:val="24"/>
                <w:szCs w:val="24"/>
              </w:rPr>
              <w:t>乙方提供的有偿零配件价格须经甲方确认，且不得高于市场供应价格，零配件更换时乙方只可收取有偿零配件费用，不得再收取人工费用。</w:t>
            </w:r>
          </w:p>
        </w:tc>
        <w:tc>
          <w:tcPr>
            <w:tcW w:w="709" w:type="dxa"/>
            <w:vAlign w:val="center"/>
          </w:tcPr>
          <w:p w14:paraId="356D9243">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08917C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94" w:hRule="atLeast"/>
          <w:jc w:val="center"/>
        </w:trPr>
        <w:tc>
          <w:tcPr>
            <w:tcW w:w="740" w:type="dxa"/>
            <w:vMerge w:val="continue"/>
            <w:vAlign w:val="center"/>
          </w:tcPr>
          <w:p w14:paraId="1685A68F">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1018" w:type="dxa"/>
            <w:vMerge w:val="continue"/>
            <w:vAlign w:val="center"/>
          </w:tcPr>
          <w:p w14:paraId="744D15A5">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6520" w:type="dxa"/>
            <w:vAlign w:val="center"/>
          </w:tcPr>
          <w:p w14:paraId="3921A53A">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八</w:t>
            </w:r>
            <w:r>
              <w:rPr>
                <w:rFonts w:hint="eastAsia" w:ascii="宋体" w:hAnsi="宋体" w:eastAsia="宋体" w:cs="宋体"/>
                <w:sz w:val="24"/>
                <w:szCs w:val="24"/>
                <w:lang w:eastAsia="zh-CN"/>
              </w:rPr>
              <w:t>）</w:t>
            </w:r>
            <w:r>
              <w:rPr>
                <w:rFonts w:hint="eastAsia" w:ascii="宋体" w:hAnsi="宋体" w:eastAsia="宋体" w:cs="宋体"/>
                <w:sz w:val="24"/>
                <w:szCs w:val="24"/>
              </w:rPr>
              <w:t>乙方作为专业商家，应建议并提供性能可靠、质量合格的配件，如所提供的配件在正常使用情况下、正常使用期限内再次损坏，由乙方负责免费更换。</w:t>
            </w:r>
          </w:p>
        </w:tc>
        <w:tc>
          <w:tcPr>
            <w:tcW w:w="709" w:type="dxa"/>
            <w:vAlign w:val="center"/>
          </w:tcPr>
          <w:p w14:paraId="0D57AE8B">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2913791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jc w:val="center"/>
        </w:trPr>
        <w:tc>
          <w:tcPr>
            <w:tcW w:w="740" w:type="dxa"/>
            <w:vMerge w:val="continue"/>
            <w:vAlign w:val="center"/>
          </w:tcPr>
          <w:p w14:paraId="08D74C4A">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1018" w:type="dxa"/>
            <w:vMerge w:val="continue"/>
            <w:vAlign w:val="center"/>
          </w:tcPr>
          <w:p w14:paraId="3957475A">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c>
          <w:tcPr>
            <w:tcW w:w="6520" w:type="dxa"/>
            <w:vAlign w:val="center"/>
          </w:tcPr>
          <w:p w14:paraId="6CAD314B">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九</w:t>
            </w:r>
            <w:r>
              <w:rPr>
                <w:rFonts w:hint="eastAsia" w:ascii="宋体" w:hAnsi="宋体" w:eastAsia="宋体" w:cs="宋体"/>
                <w:sz w:val="24"/>
                <w:szCs w:val="24"/>
                <w:lang w:eastAsia="zh-CN"/>
              </w:rPr>
              <w:t>）</w:t>
            </w:r>
            <w:r>
              <w:rPr>
                <w:rFonts w:hint="eastAsia" w:ascii="宋体" w:hAnsi="宋体" w:eastAsia="宋体" w:cs="宋体"/>
                <w:sz w:val="24"/>
                <w:szCs w:val="24"/>
              </w:rPr>
              <w:t>对24小时不能修复的故障设备，乙方须提供备用设备，保证系统的正常运行，否则每次扣2分，因此发生意外事件的，责任由乙方承担。</w:t>
            </w:r>
          </w:p>
        </w:tc>
        <w:tc>
          <w:tcPr>
            <w:tcW w:w="709" w:type="dxa"/>
            <w:vAlign w:val="center"/>
          </w:tcPr>
          <w:p w14:paraId="292CF76A">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5428159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830" w:hRule="atLeast"/>
          <w:jc w:val="center"/>
        </w:trPr>
        <w:tc>
          <w:tcPr>
            <w:tcW w:w="8987" w:type="dxa"/>
            <w:gridSpan w:val="4"/>
            <w:vAlign w:val="center"/>
          </w:tcPr>
          <w:p w14:paraId="5F60E5F6">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情况说明：</w:t>
            </w:r>
          </w:p>
          <w:p w14:paraId="2267CB5D">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p w14:paraId="29B5CF71">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p w14:paraId="5B9900AC">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p w14:paraId="105CE507">
            <w:pPr>
              <w:pStyle w:val="18"/>
              <w:keepNext w:val="0"/>
              <w:keepLines w:val="0"/>
              <w:pageBreakBefore w:val="0"/>
              <w:widowControl/>
              <w:kinsoku/>
              <w:wordWrap/>
              <w:overflowPunct/>
              <w:topLinePunct w:val="0"/>
              <w:autoSpaceDE/>
              <w:autoSpaceDN/>
              <w:bidi w:val="0"/>
              <w:adjustRightInd/>
              <w:snapToGrid/>
              <w:spacing w:line="420" w:lineRule="exact"/>
              <w:ind w:firstLine="480"/>
              <w:jc w:val="center"/>
              <w:textAlignment w:val="auto"/>
              <w:rPr>
                <w:rFonts w:hint="eastAsia" w:ascii="宋体" w:hAnsi="宋体" w:eastAsia="宋体" w:cs="宋体"/>
                <w:sz w:val="24"/>
                <w:szCs w:val="24"/>
              </w:rPr>
            </w:pPr>
          </w:p>
        </w:tc>
      </w:tr>
      <w:tr w14:paraId="72189C0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624" w:hRule="atLeast"/>
          <w:jc w:val="center"/>
        </w:trPr>
        <w:tc>
          <w:tcPr>
            <w:tcW w:w="8987" w:type="dxa"/>
            <w:gridSpan w:val="4"/>
            <w:vAlign w:val="center"/>
          </w:tcPr>
          <w:p w14:paraId="43949FE5">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eastAsia" w:ascii="宋体" w:hAnsi="宋体" w:eastAsia="宋体" w:cs="宋体"/>
                <w:sz w:val="24"/>
                <w:szCs w:val="24"/>
              </w:rPr>
            </w:pPr>
            <w:r>
              <w:rPr>
                <w:rFonts w:hint="eastAsia" w:ascii="宋体" w:hAnsi="宋体" w:eastAsia="宋体" w:cs="宋体"/>
                <w:sz w:val="24"/>
                <w:szCs w:val="24"/>
              </w:rPr>
              <w:t>合计得分：    分，本次考核应扣除维保费    元。</w:t>
            </w:r>
          </w:p>
          <w:p w14:paraId="6A724940">
            <w:pPr>
              <w:pStyle w:val="18"/>
              <w:keepNext w:val="0"/>
              <w:keepLines w:val="0"/>
              <w:pageBreakBefore w:val="0"/>
              <w:widowControl/>
              <w:kinsoku/>
              <w:wordWrap/>
              <w:overflowPunct/>
              <w:topLinePunct w:val="0"/>
              <w:autoSpaceDE/>
              <w:autoSpaceDN/>
              <w:bidi w:val="0"/>
              <w:adjustRightInd/>
              <w:snapToGrid/>
              <w:spacing w:line="420" w:lineRule="exact"/>
              <w:jc w:val="both"/>
              <w:textAlignment w:val="auto"/>
              <w:rPr>
                <w:rFonts w:hint="default" w:ascii="宋体" w:hAnsi="宋体" w:eastAsia="宋体" w:cs="宋体"/>
                <w:sz w:val="24"/>
                <w:szCs w:val="24"/>
                <w:lang w:val="en-US" w:eastAsia="zh-CN"/>
              </w:rPr>
            </w:pPr>
            <w:r>
              <w:rPr>
                <w:rFonts w:hint="eastAsia" w:ascii="宋体" w:hAnsi="宋体" w:eastAsia="宋体" w:cs="宋体"/>
                <w:sz w:val="24"/>
                <w:szCs w:val="24"/>
                <w:lang w:eastAsia="zh-CN"/>
              </w:rPr>
              <w:t>考核日期：</w:t>
            </w:r>
            <w:r>
              <w:rPr>
                <w:rFonts w:hint="eastAsia" w:ascii="宋体" w:hAnsi="宋体" w:eastAsia="宋体" w:cs="宋体"/>
                <w:sz w:val="24"/>
                <w:szCs w:val="24"/>
                <w:lang w:val="en-US" w:eastAsia="zh-CN"/>
              </w:rPr>
              <w:t xml:space="preserve">   年   月  日</w:t>
            </w:r>
          </w:p>
        </w:tc>
      </w:tr>
    </w:tbl>
    <w:p w14:paraId="57DE43E0">
      <w:pPr>
        <w:pStyle w:val="10"/>
        <w:widowControl/>
        <w:spacing w:before="75" w:beforeLines="0" w:beforeAutospacing="0" w:after="75" w:afterLines="0" w:afterAutospacing="0"/>
        <w:outlineLvl w:val="1"/>
        <w:rPr>
          <w:b/>
          <w:bCs/>
          <w:color w:val="auto"/>
          <w:highlight w:val="none"/>
        </w:rPr>
      </w:pPr>
      <w:r>
        <w:rPr>
          <w:b/>
          <w:bCs/>
          <w:color w:val="auto"/>
          <w:highlight w:val="none"/>
        </w:rPr>
        <w:t>三、商务条件</w:t>
      </w:r>
      <w:bookmarkEnd w:id="13"/>
      <w:bookmarkEnd w:id="14"/>
      <w:r>
        <w:rPr>
          <w:rFonts w:hint="eastAsia" w:ascii="宋体" w:hAnsi="宋体" w:eastAsia="宋体" w:cs="宋体"/>
          <w:b/>
          <w:bCs/>
          <w:color w:val="auto"/>
          <w:highlight w:val="none"/>
          <w:lang w:eastAsia="zh-CN"/>
        </w:rPr>
        <w:t>（</w:t>
      </w:r>
      <w:r>
        <w:rPr>
          <w:rFonts w:hint="eastAsia" w:ascii="宋体" w:hAnsi="宋体" w:eastAsia="宋体" w:cs="宋体"/>
          <w:b/>
          <w:bCs/>
          <w:color w:val="auto"/>
          <w:highlight w:val="none"/>
          <w:lang w:val="en-US" w:eastAsia="zh-CN"/>
        </w:rPr>
        <w:t>以下要求均为不允许负偏离的实质性条款）</w:t>
      </w:r>
    </w:p>
    <w:p w14:paraId="3C936439">
      <w:pPr>
        <w:spacing w:line="440" w:lineRule="exact"/>
        <w:ind w:left="420" w:leftChars="200"/>
        <w:rPr>
          <w:rFonts w:hint="eastAsia" w:ascii="宋体" w:hAnsi="宋体" w:eastAsia="宋体" w:cs="宋体"/>
          <w:b/>
          <w:bCs/>
          <w:color w:val="auto"/>
          <w:sz w:val="24"/>
          <w:highlight w:val="none"/>
          <w:lang w:eastAsia="zh-CN"/>
        </w:rPr>
      </w:pPr>
      <w:r>
        <w:rPr>
          <w:rFonts w:hint="eastAsia" w:ascii="宋体" w:hAnsi="宋体" w:cs="宋体"/>
          <w:b/>
          <w:bCs/>
          <w:color w:val="auto"/>
          <w:sz w:val="24"/>
          <w:highlight w:val="none"/>
        </w:rPr>
        <w:t>包：1</w:t>
      </w:r>
    </w:p>
    <w:p w14:paraId="18921088">
      <w:pPr>
        <w:spacing w:line="440" w:lineRule="exact"/>
        <w:ind w:left="420" w:left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1、交付地点：福建省莆田市涵江区梧塘镇荔涵大道1001号湄洲湾职业技术学院</w:t>
      </w:r>
      <w:r>
        <w:rPr>
          <w:rFonts w:hint="eastAsia" w:ascii="宋体" w:hAnsi="宋体" w:cs="宋体"/>
          <w:color w:val="auto"/>
          <w:sz w:val="24"/>
          <w:highlight w:val="none"/>
          <w:lang w:eastAsia="zh-CN"/>
        </w:rPr>
        <w:t>。</w:t>
      </w:r>
    </w:p>
    <w:p w14:paraId="7B3CA133">
      <w:pPr>
        <w:keepNext w:val="0"/>
        <w:keepLines w:val="0"/>
        <w:pageBreakBefore w:val="0"/>
        <w:kinsoku/>
        <w:wordWrap/>
        <w:overflowPunct/>
        <w:topLinePunct w:val="0"/>
        <w:autoSpaceDE/>
        <w:autoSpaceDN/>
        <w:bidi w:val="0"/>
        <w:adjustRightInd/>
        <w:snapToGrid/>
        <w:spacing w:line="420" w:lineRule="exact"/>
        <w:ind w:left="420" w:leftChars="200"/>
        <w:textAlignment w:val="auto"/>
        <w:rPr>
          <w:rFonts w:hint="default" w:ascii="宋体" w:hAnsi="宋体" w:eastAsia="宋体" w:cs="宋体"/>
          <w:color w:val="auto"/>
          <w:sz w:val="24"/>
          <w:highlight w:val="none"/>
          <w:lang w:val="en-US" w:eastAsia="zh-CN"/>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服务方式</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以甲方要求为准</w:t>
      </w:r>
      <w:r>
        <w:rPr>
          <w:rFonts w:hint="eastAsia" w:ascii="宋体" w:hAnsi="宋体" w:cs="宋体"/>
          <w:color w:val="auto"/>
          <w:sz w:val="24"/>
          <w:highlight w:val="none"/>
        </w:rPr>
        <w:t>。</w:t>
      </w:r>
    </w:p>
    <w:p w14:paraId="2CCCCD58">
      <w:pPr>
        <w:keepNext w:val="0"/>
        <w:keepLines w:val="0"/>
        <w:pageBreakBefore w:val="0"/>
        <w:kinsoku/>
        <w:wordWrap/>
        <w:overflowPunct/>
        <w:topLinePunct w:val="0"/>
        <w:autoSpaceDE/>
        <w:autoSpaceDN/>
        <w:bidi w:val="0"/>
        <w:adjustRightInd/>
        <w:snapToGrid/>
        <w:spacing w:line="420" w:lineRule="exact"/>
        <w:ind w:left="420" w:leftChars="2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3、</w:t>
      </w:r>
      <w:r>
        <w:rPr>
          <w:rFonts w:hint="eastAsia" w:ascii="宋体" w:hAnsi="宋体" w:eastAsia="宋体" w:cs="宋体"/>
          <w:color w:val="auto"/>
          <w:sz w:val="24"/>
          <w:highlight w:val="none"/>
          <w:lang w:eastAsia="zh-CN"/>
        </w:rPr>
        <w:t>服务期限：从中标单位进场接收起至下一轮物业（或下一轮消防维保）招标进场移交之日，约为</w:t>
      </w:r>
      <w:r>
        <w:rPr>
          <w:rFonts w:hint="eastAsia" w:ascii="宋体" w:hAnsi="宋体" w:eastAsia="宋体" w:cs="宋体"/>
          <w:color w:val="auto"/>
          <w:sz w:val="24"/>
          <w:highlight w:val="none"/>
          <w:lang w:val="en-US" w:eastAsia="zh-CN"/>
        </w:rPr>
        <w:t>1年3个月（以实际移交时间为准）。</w:t>
      </w:r>
    </w:p>
    <w:p w14:paraId="2A6F2D98">
      <w:pPr>
        <w:spacing w:line="440" w:lineRule="exact"/>
        <w:ind w:left="420" w:leftChars="200"/>
        <w:rPr>
          <w:rFonts w:hint="eastAsia" w:ascii="宋体" w:hAnsi="宋体" w:eastAsia="宋体" w:cs="宋体"/>
          <w:color w:val="auto"/>
          <w:sz w:val="24"/>
          <w:highlight w:val="none"/>
          <w:lang w:eastAsia="zh-CN"/>
        </w:rPr>
      </w:pPr>
      <w:r>
        <w:rPr>
          <w:rFonts w:hint="eastAsia" w:ascii="宋体" w:hAnsi="宋体" w:cs="宋体"/>
          <w:color w:val="auto"/>
          <w:sz w:val="24"/>
          <w:highlight w:val="none"/>
        </w:rPr>
        <w:t>4、是否收取履约保证金：否</w:t>
      </w:r>
    </w:p>
    <w:p w14:paraId="0F182344">
      <w:pPr>
        <w:spacing w:line="440" w:lineRule="exact"/>
        <w:ind w:left="420" w:leftChars="200"/>
        <w:rPr>
          <w:rFonts w:hint="eastAsia" w:ascii="宋体" w:hAnsi="宋体" w:cs="宋体"/>
          <w:color w:val="auto"/>
          <w:sz w:val="24"/>
          <w:highlight w:val="none"/>
        </w:rPr>
      </w:pPr>
      <w:r>
        <w:rPr>
          <w:rFonts w:hint="eastAsia" w:ascii="宋体" w:hAnsi="宋体" w:cs="宋体"/>
          <w:color w:val="auto"/>
          <w:sz w:val="24"/>
          <w:highlight w:val="none"/>
        </w:rPr>
        <w:t>5、是否邀请供应商参与验收：否</w:t>
      </w:r>
    </w:p>
    <w:p w14:paraId="029CDE96">
      <w:pPr>
        <w:spacing w:line="440" w:lineRule="exact"/>
        <w:ind w:left="420" w:leftChars="200"/>
        <w:rPr>
          <w:rFonts w:hint="eastAsia"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、验收方式数据表格</w:t>
      </w:r>
    </w:p>
    <w:tbl>
      <w:tblPr>
        <w:tblStyle w:val="13"/>
        <w:tblW w:w="0" w:type="auto"/>
        <w:tblCellSpacing w:w="0" w:type="dxa"/>
        <w:tblInd w:w="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43"/>
        <w:gridCol w:w="7191"/>
      </w:tblGrid>
      <w:tr w14:paraId="70E748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blHeader/>
          <w:tblCellSpacing w:w="0" w:type="dxa"/>
        </w:trPr>
        <w:tc>
          <w:tcPr>
            <w:tcW w:w="1243" w:type="dxa"/>
            <w:noWrap w:val="0"/>
            <w:vAlign w:val="center"/>
          </w:tcPr>
          <w:p w14:paraId="17E522C2">
            <w:pPr>
              <w:spacing w:line="440" w:lineRule="exact"/>
              <w:jc w:val="center"/>
              <w:rPr>
                <w:rFonts w:hint="eastAsia" w:ascii="宋体" w:hAnsi="宋体" w:cs="宋体"/>
                <w:color w:val="auto"/>
                <w:sz w:val="24"/>
                <w:highlight w:val="none"/>
              </w:rPr>
            </w:pPr>
            <w:r>
              <w:rPr>
                <w:rFonts w:hint="eastAsia" w:ascii="宋体" w:hAnsi="宋体" w:cs="宋体"/>
                <w:color w:val="auto"/>
                <w:sz w:val="24"/>
                <w:highlight w:val="none"/>
              </w:rPr>
              <w:t>验收期次</w:t>
            </w:r>
          </w:p>
        </w:tc>
        <w:tc>
          <w:tcPr>
            <w:tcW w:w="7191" w:type="dxa"/>
            <w:noWrap w:val="0"/>
            <w:vAlign w:val="center"/>
          </w:tcPr>
          <w:p w14:paraId="5271B0F7">
            <w:pPr>
              <w:spacing w:line="440" w:lineRule="exact"/>
              <w:jc w:val="center"/>
              <w:rPr>
                <w:rFonts w:hint="eastAsia" w:ascii="宋体" w:hAnsi="宋体" w:cs="宋体"/>
                <w:color w:val="auto"/>
                <w:sz w:val="24"/>
                <w:highlight w:val="none"/>
              </w:rPr>
            </w:pPr>
            <w:r>
              <w:rPr>
                <w:rFonts w:hint="eastAsia" w:ascii="宋体" w:hAnsi="宋体" w:cs="宋体"/>
                <w:color w:val="auto"/>
                <w:sz w:val="24"/>
                <w:highlight w:val="none"/>
              </w:rPr>
              <w:t>验收期次说明</w:t>
            </w:r>
          </w:p>
        </w:tc>
      </w:tr>
      <w:tr w14:paraId="5C482C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trPr>
        <w:tc>
          <w:tcPr>
            <w:tcW w:w="1243" w:type="dxa"/>
            <w:noWrap w:val="0"/>
            <w:vAlign w:val="center"/>
          </w:tcPr>
          <w:p w14:paraId="59D340F2">
            <w:pPr>
              <w:spacing w:line="440" w:lineRule="exact"/>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7191" w:type="dxa"/>
            <w:noWrap w:val="0"/>
            <w:vAlign w:val="center"/>
          </w:tcPr>
          <w:p w14:paraId="05880357">
            <w:pPr>
              <w:spacing w:line="440" w:lineRule="exact"/>
              <w:rPr>
                <w:rFonts w:hint="eastAsia" w:ascii="宋体" w:hAnsi="宋体" w:cs="宋体"/>
                <w:color w:val="auto"/>
                <w:sz w:val="24"/>
                <w:highlight w:val="none"/>
              </w:rPr>
            </w:pPr>
            <w:r>
              <w:rPr>
                <w:rFonts w:hint="eastAsia" w:ascii="宋体" w:hAnsi="宋体" w:cs="宋体"/>
                <w:color w:val="auto"/>
                <w:sz w:val="24"/>
                <w:highlight w:val="none"/>
                <w:lang w:val="en-US" w:eastAsia="zh-CN"/>
              </w:rPr>
              <w:t>每月按照招标文件要求及考核标准验收</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若组织二次验收，验收中标人必须派代表参加，验收过程所发生的一切费用由中标人承担。</w:t>
            </w:r>
          </w:p>
        </w:tc>
      </w:tr>
    </w:tbl>
    <w:p w14:paraId="10434C55">
      <w:pPr>
        <w:spacing w:line="440" w:lineRule="exact"/>
        <w:ind w:left="420" w:leftChars="200"/>
        <w:rPr>
          <w:rFonts w:hint="eastAsia" w:ascii="宋体" w:hAnsi="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cs="宋体"/>
          <w:color w:val="auto"/>
          <w:sz w:val="24"/>
          <w:highlight w:val="none"/>
        </w:rPr>
        <w:t>、支付方式数据表格</w:t>
      </w:r>
    </w:p>
    <w:tbl>
      <w:tblPr>
        <w:tblStyle w:val="13"/>
        <w:tblW w:w="8416" w:type="dxa"/>
        <w:tblCellSpacing w:w="0" w:type="dxa"/>
        <w:tblInd w:w="1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1245"/>
        <w:gridCol w:w="7171"/>
      </w:tblGrid>
      <w:tr w14:paraId="7F9049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Header/>
          <w:tblCellSpacing w:w="0" w:type="dxa"/>
        </w:trPr>
        <w:tc>
          <w:tcPr>
            <w:tcW w:w="1245" w:type="dxa"/>
            <w:noWrap w:val="0"/>
            <w:vAlign w:val="center"/>
          </w:tcPr>
          <w:p w14:paraId="44207FAB">
            <w:pPr>
              <w:spacing w:line="440" w:lineRule="exact"/>
              <w:jc w:val="center"/>
              <w:rPr>
                <w:rFonts w:hint="eastAsia" w:ascii="宋体" w:hAnsi="宋体" w:cs="宋体"/>
                <w:color w:val="auto"/>
                <w:sz w:val="24"/>
                <w:highlight w:val="yellow"/>
              </w:rPr>
            </w:pPr>
            <w:r>
              <w:rPr>
                <w:rFonts w:hint="eastAsia" w:ascii="宋体" w:hAnsi="宋体" w:cs="宋体"/>
                <w:color w:val="auto"/>
                <w:sz w:val="24"/>
                <w:highlight w:val="yellow"/>
              </w:rPr>
              <w:t>支付期次</w:t>
            </w:r>
          </w:p>
        </w:tc>
        <w:tc>
          <w:tcPr>
            <w:tcW w:w="7171" w:type="dxa"/>
            <w:noWrap w:val="0"/>
            <w:vAlign w:val="center"/>
          </w:tcPr>
          <w:p w14:paraId="0B9B3E71">
            <w:pPr>
              <w:spacing w:line="440" w:lineRule="exact"/>
              <w:jc w:val="center"/>
              <w:rPr>
                <w:rFonts w:hint="eastAsia" w:ascii="宋体" w:hAnsi="宋体" w:cs="宋体"/>
                <w:color w:val="auto"/>
                <w:sz w:val="24"/>
                <w:highlight w:val="yellow"/>
              </w:rPr>
            </w:pPr>
            <w:r>
              <w:rPr>
                <w:rFonts w:hint="eastAsia" w:ascii="宋体" w:hAnsi="宋体" w:cs="宋体"/>
                <w:color w:val="auto"/>
                <w:sz w:val="24"/>
                <w:highlight w:val="yellow"/>
              </w:rPr>
              <w:t>支付期次说明</w:t>
            </w:r>
          </w:p>
        </w:tc>
      </w:tr>
      <w:tr w14:paraId="47A285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trPr>
        <w:tc>
          <w:tcPr>
            <w:tcW w:w="1245" w:type="dxa"/>
            <w:noWrap w:val="0"/>
            <w:vAlign w:val="center"/>
          </w:tcPr>
          <w:p w14:paraId="210AF56E">
            <w:pPr>
              <w:spacing w:line="440" w:lineRule="exact"/>
              <w:jc w:val="center"/>
              <w:rPr>
                <w:rFonts w:hint="eastAsia" w:ascii="宋体" w:hAnsi="宋体" w:eastAsia="宋体" w:cs="宋体"/>
                <w:color w:val="auto"/>
                <w:sz w:val="24"/>
                <w:highlight w:val="yellow"/>
                <w:lang w:eastAsia="zh-CN"/>
              </w:rPr>
            </w:pPr>
            <w:r>
              <w:rPr>
                <w:rFonts w:hint="eastAsia" w:ascii="宋体" w:hAnsi="宋体" w:cs="宋体"/>
                <w:color w:val="auto"/>
                <w:sz w:val="24"/>
                <w:highlight w:val="yellow"/>
                <w:lang w:val="en-US" w:eastAsia="zh-CN"/>
              </w:rPr>
              <w:t>1</w:t>
            </w:r>
          </w:p>
        </w:tc>
        <w:tc>
          <w:tcPr>
            <w:tcW w:w="7171" w:type="dxa"/>
            <w:noWrap w:val="0"/>
            <w:vAlign w:val="center"/>
          </w:tcPr>
          <w:p w14:paraId="521AA4E6">
            <w:pPr>
              <w:spacing w:line="440" w:lineRule="exact"/>
              <w:rPr>
                <w:rFonts w:hint="default" w:ascii="宋体" w:hAnsi="宋体" w:eastAsia="宋体" w:cs="宋体"/>
                <w:color w:val="auto"/>
                <w:sz w:val="24"/>
                <w:highlight w:val="yellow"/>
                <w:lang w:val="en-US" w:eastAsia="zh-CN"/>
              </w:rPr>
            </w:pPr>
            <w:r>
              <w:rPr>
                <w:rFonts w:hint="eastAsia" w:ascii="Times New Roman" w:hAnsi="Times New Roman" w:cs="Times New Roman"/>
                <w:b w:val="0"/>
                <w:bCs w:val="0"/>
                <w:i w:val="0"/>
                <w:iCs w:val="0"/>
                <w:color w:val="000000"/>
                <w:spacing w:val="0"/>
                <w:w w:val="100"/>
                <w:sz w:val="24"/>
                <w:szCs w:val="24"/>
                <w:highlight w:val="yellow"/>
                <w:vertAlign w:val="baseline"/>
                <w:lang w:val="en-US" w:eastAsia="zh-CN"/>
              </w:rPr>
              <w:t>按月分期结算，支付中标人</w:t>
            </w:r>
            <w:r>
              <w:rPr>
                <w:rFonts w:hint="eastAsia" w:ascii="宋体" w:hAnsi="宋体" w:eastAsia="宋体" w:cs="宋体"/>
                <w:sz w:val="24"/>
                <w:szCs w:val="24"/>
                <w:highlight w:val="yellow"/>
                <w:lang w:eastAsia="zh-CN"/>
              </w:rPr>
              <w:t>服务期限</w:t>
            </w:r>
            <w:r>
              <w:rPr>
                <w:rFonts w:hint="eastAsia" w:ascii="宋体" w:hAnsi="宋体" w:cs="宋体"/>
                <w:sz w:val="24"/>
                <w:szCs w:val="24"/>
                <w:highlight w:val="yellow"/>
                <w:lang w:val="en-US" w:eastAsia="zh-CN"/>
              </w:rPr>
              <w:t>第一个月至第三个月的费用</w:t>
            </w:r>
            <w:r>
              <w:rPr>
                <w:rFonts w:hint="eastAsia" w:ascii="Times New Roman" w:hAnsi="Times New Roman" w:cs="Times New Roman"/>
                <w:b w:val="0"/>
                <w:bCs w:val="0"/>
                <w:i w:val="0"/>
                <w:iCs w:val="0"/>
                <w:color w:val="000000"/>
                <w:spacing w:val="0"/>
                <w:w w:val="100"/>
                <w:sz w:val="24"/>
                <w:szCs w:val="24"/>
                <w:highlight w:val="yellow"/>
                <w:vertAlign w:val="baseline"/>
                <w:lang w:val="en-US" w:eastAsia="zh-CN"/>
              </w:rPr>
              <w:t>。</w:t>
            </w:r>
          </w:p>
        </w:tc>
      </w:tr>
      <w:tr w14:paraId="2DB981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trPr>
        <w:tc>
          <w:tcPr>
            <w:tcW w:w="1245" w:type="dxa"/>
            <w:noWrap w:val="0"/>
            <w:vAlign w:val="center"/>
          </w:tcPr>
          <w:p w14:paraId="46F9E5CA">
            <w:pPr>
              <w:spacing w:line="440" w:lineRule="exact"/>
              <w:jc w:val="center"/>
              <w:rPr>
                <w:rFonts w:hint="default" w:ascii="宋体" w:hAnsi="宋体" w:cs="宋体"/>
                <w:color w:val="auto"/>
                <w:sz w:val="24"/>
                <w:highlight w:val="yellow"/>
                <w:lang w:val="en-US" w:eastAsia="zh-CN"/>
              </w:rPr>
            </w:pPr>
            <w:r>
              <w:rPr>
                <w:rFonts w:hint="eastAsia" w:ascii="宋体" w:hAnsi="宋体" w:cs="宋体"/>
                <w:color w:val="auto"/>
                <w:sz w:val="24"/>
                <w:highlight w:val="yellow"/>
                <w:lang w:val="en-US" w:eastAsia="zh-CN"/>
              </w:rPr>
              <w:t>2</w:t>
            </w:r>
          </w:p>
        </w:tc>
        <w:tc>
          <w:tcPr>
            <w:tcW w:w="7171" w:type="dxa"/>
            <w:noWrap w:val="0"/>
            <w:vAlign w:val="center"/>
          </w:tcPr>
          <w:p w14:paraId="5E422A9B">
            <w:pPr>
              <w:spacing w:line="440" w:lineRule="exact"/>
              <w:rPr>
                <w:rFonts w:hint="eastAsia" w:ascii="Times New Roman" w:hAnsi="Times New Roman" w:cs="Times New Roman"/>
                <w:b w:val="0"/>
                <w:bCs w:val="0"/>
                <w:i w:val="0"/>
                <w:iCs w:val="0"/>
                <w:color w:val="000000"/>
                <w:spacing w:val="0"/>
                <w:w w:val="100"/>
                <w:sz w:val="24"/>
                <w:szCs w:val="24"/>
                <w:highlight w:val="yellow"/>
                <w:vertAlign w:val="baseline"/>
                <w:lang w:val="en-US" w:eastAsia="zh-CN"/>
              </w:rPr>
            </w:pPr>
            <w:r>
              <w:rPr>
                <w:rFonts w:hint="eastAsia" w:ascii="Times New Roman" w:hAnsi="Times New Roman" w:cs="Times New Roman"/>
                <w:b w:val="0"/>
                <w:bCs w:val="0"/>
                <w:i w:val="0"/>
                <w:iCs w:val="0"/>
                <w:color w:val="000000"/>
                <w:spacing w:val="0"/>
                <w:w w:val="100"/>
                <w:sz w:val="24"/>
                <w:szCs w:val="24"/>
                <w:highlight w:val="yellow"/>
                <w:vertAlign w:val="baseline"/>
                <w:lang w:val="en-US" w:eastAsia="zh-CN"/>
              </w:rPr>
              <w:t>按月分期结算，支付中标人</w:t>
            </w:r>
            <w:r>
              <w:rPr>
                <w:rFonts w:hint="eastAsia" w:ascii="宋体" w:hAnsi="宋体" w:eastAsia="宋体" w:cs="宋体"/>
                <w:sz w:val="24"/>
                <w:szCs w:val="24"/>
                <w:highlight w:val="yellow"/>
                <w:lang w:eastAsia="zh-CN"/>
              </w:rPr>
              <w:t>服务期限</w:t>
            </w:r>
            <w:r>
              <w:rPr>
                <w:rFonts w:hint="eastAsia" w:ascii="宋体" w:hAnsi="宋体" w:cs="宋体"/>
                <w:sz w:val="24"/>
                <w:szCs w:val="24"/>
                <w:highlight w:val="yellow"/>
                <w:lang w:val="en-US" w:eastAsia="zh-CN"/>
              </w:rPr>
              <w:t>第四个月至第六个月的费用</w:t>
            </w:r>
            <w:r>
              <w:rPr>
                <w:rFonts w:hint="eastAsia" w:ascii="Times New Roman" w:hAnsi="Times New Roman" w:cs="Times New Roman"/>
                <w:b w:val="0"/>
                <w:bCs w:val="0"/>
                <w:i w:val="0"/>
                <w:iCs w:val="0"/>
                <w:color w:val="000000"/>
                <w:spacing w:val="0"/>
                <w:w w:val="100"/>
                <w:sz w:val="24"/>
                <w:szCs w:val="24"/>
                <w:highlight w:val="yellow"/>
                <w:vertAlign w:val="baseline"/>
                <w:lang w:val="en-US" w:eastAsia="zh-CN"/>
              </w:rPr>
              <w:t>。</w:t>
            </w:r>
          </w:p>
        </w:tc>
      </w:tr>
      <w:tr w14:paraId="037C02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425" w:hRule="atLeast"/>
          <w:tblCellSpacing w:w="0" w:type="dxa"/>
        </w:trPr>
        <w:tc>
          <w:tcPr>
            <w:tcW w:w="1245" w:type="dxa"/>
            <w:noWrap w:val="0"/>
            <w:vAlign w:val="center"/>
          </w:tcPr>
          <w:p w14:paraId="1583B2F5">
            <w:pPr>
              <w:spacing w:line="440" w:lineRule="exact"/>
              <w:jc w:val="center"/>
              <w:rPr>
                <w:rFonts w:hint="default" w:ascii="宋体" w:hAnsi="宋体" w:cs="宋体"/>
                <w:color w:val="auto"/>
                <w:sz w:val="24"/>
                <w:highlight w:val="yellow"/>
                <w:lang w:val="en-US" w:eastAsia="zh-CN"/>
              </w:rPr>
            </w:pPr>
            <w:r>
              <w:rPr>
                <w:rFonts w:hint="eastAsia" w:ascii="宋体" w:hAnsi="宋体" w:cs="宋体"/>
                <w:color w:val="auto"/>
                <w:sz w:val="24"/>
                <w:highlight w:val="yellow"/>
                <w:lang w:val="en-US" w:eastAsia="zh-CN"/>
              </w:rPr>
              <w:t>3</w:t>
            </w:r>
          </w:p>
        </w:tc>
        <w:tc>
          <w:tcPr>
            <w:tcW w:w="7171" w:type="dxa"/>
            <w:noWrap w:val="0"/>
            <w:vAlign w:val="center"/>
          </w:tcPr>
          <w:p w14:paraId="77550612">
            <w:pPr>
              <w:spacing w:line="440" w:lineRule="exact"/>
              <w:rPr>
                <w:rFonts w:hint="eastAsia" w:ascii="Times New Roman" w:hAnsi="Times New Roman" w:cs="Times New Roman"/>
                <w:b w:val="0"/>
                <w:bCs w:val="0"/>
                <w:i w:val="0"/>
                <w:iCs w:val="0"/>
                <w:color w:val="000000"/>
                <w:spacing w:val="0"/>
                <w:w w:val="100"/>
                <w:sz w:val="24"/>
                <w:szCs w:val="24"/>
                <w:highlight w:val="yellow"/>
                <w:vertAlign w:val="baseline"/>
                <w:lang w:val="en-US" w:eastAsia="zh-CN"/>
              </w:rPr>
            </w:pPr>
            <w:r>
              <w:rPr>
                <w:rFonts w:hint="eastAsia" w:ascii="Times New Roman" w:hAnsi="Times New Roman" w:cs="Times New Roman"/>
                <w:b w:val="0"/>
                <w:bCs w:val="0"/>
                <w:i w:val="0"/>
                <w:iCs w:val="0"/>
                <w:color w:val="000000"/>
                <w:spacing w:val="0"/>
                <w:w w:val="100"/>
                <w:sz w:val="24"/>
                <w:szCs w:val="24"/>
                <w:highlight w:val="yellow"/>
                <w:vertAlign w:val="baseline"/>
                <w:lang w:val="en-US" w:eastAsia="zh-CN"/>
              </w:rPr>
              <w:t>按月分期结算，支付中标人</w:t>
            </w:r>
            <w:r>
              <w:rPr>
                <w:rFonts w:hint="eastAsia" w:ascii="宋体" w:hAnsi="宋体" w:eastAsia="宋体" w:cs="宋体"/>
                <w:sz w:val="24"/>
                <w:szCs w:val="24"/>
                <w:highlight w:val="yellow"/>
                <w:lang w:eastAsia="zh-CN"/>
              </w:rPr>
              <w:t>服务期限</w:t>
            </w:r>
            <w:r>
              <w:rPr>
                <w:rFonts w:hint="eastAsia" w:ascii="宋体" w:hAnsi="宋体" w:cs="宋体"/>
                <w:sz w:val="24"/>
                <w:szCs w:val="24"/>
                <w:highlight w:val="yellow"/>
                <w:lang w:val="en-US" w:eastAsia="zh-CN"/>
              </w:rPr>
              <w:t>第七个月至第九个月的费用</w:t>
            </w:r>
            <w:r>
              <w:rPr>
                <w:rFonts w:hint="eastAsia" w:ascii="Times New Roman" w:hAnsi="Times New Roman" w:cs="Times New Roman"/>
                <w:b w:val="0"/>
                <w:bCs w:val="0"/>
                <w:i w:val="0"/>
                <w:iCs w:val="0"/>
                <w:color w:val="000000"/>
                <w:spacing w:val="0"/>
                <w:w w:val="100"/>
                <w:sz w:val="24"/>
                <w:szCs w:val="24"/>
                <w:highlight w:val="yellow"/>
                <w:vertAlign w:val="baseline"/>
                <w:lang w:val="en-US" w:eastAsia="zh-CN"/>
              </w:rPr>
              <w:t>。</w:t>
            </w:r>
          </w:p>
        </w:tc>
      </w:tr>
      <w:tr w14:paraId="7CF7A7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trPr>
        <w:tc>
          <w:tcPr>
            <w:tcW w:w="1245" w:type="dxa"/>
            <w:noWrap w:val="0"/>
            <w:vAlign w:val="center"/>
          </w:tcPr>
          <w:p w14:paraId="1813D5D9">
            <w:pPr>
              <w:spacing w:line="440" w:lineRule="exact"/>
              <w:jc w:val="center"/>
              <w:rPr>
                <w:rFonts w:hint="default" w:ascii="宋体" w:hAnsi="宋体" w:cs="宋体"/>
                <w:color w:val="auto"/>
                <w:sz w:val="24"/>
                <w:highlight w:val="yellow"/>
                <w:lang w:val="en-US" w:eastAsia="zh-CN"/>
              </w:rPr>
            </w:pPr>
            <w:r>
              <w:rPr>
                <w:rFonts w:hint="eastAsia" w:ascii="宋体" w:hAnsi="宋体" w:cs="宋体"/>
                <w:color w:val="auto"/>
                <w:sz w:val="24"/>
                <w:highlight w:val="yellow"/>
                <w:lang w:val="en-US" w:eastAsia="zh-CN"/>
              </w:rPr>
              <w:t>4</w:t>
            </w:r>
          </w:p>
        </w:tc>
        <w:tc>
          <w:tcPr>
            <w:tcW w:w="7171" w:type="dxa"/>
            <w:noWrap w:val="0"/>
            <w:vAlign w:val="center"/>
          </w:tcPr>
          <w:p w14:paraId="48D08137">
            <w:pPr>
              <w:spacing w:line="440" w:lineRule="exact"/>
              <w:rPr>
                <w:rFonts w:hint="eastAsia" w:ascii="Times New Roman" w:hAnsi="Times New Roman" w:cs="Times New Roman"/>
                <w:b w:val="0"/>
                <w:bCs w:val="0"/>
                <w:i w:val="0"/>
                <w:iCs w:val="0"/>
                <w:color w:val="000000"/>
                <w:spacing w:val="0"/>
                <w:w w:val="100"/>
                <w:sz w:val="24"/>
                <w:szCs w:val="24"/>
                <w:highlight w:val="yellow"/>
                <w:vertAlign w:val="baseline"/>
                <w:lang w:val="en-US" w:eastAsia="zh-CN"/>
              </w:rPr>
            </w:pPr>
            <w:r>
              <w:rPr>
                <w:rFonts w:hint="eastAsia" w:ascii="Times New Roman" w:hAnsi="Times New Roman" w:cs="Times New Roman"/>
                <w:b w:val="0"/>
                <w:bCs w:val="0"/>
                <w:i w:val="0"/>
                <w:iCs w:val="0"/>
                <w:color w:val="000000"/>
                <w:spacing w:val="0"/>
                <w:w w:val="100"/>
                <w:sz w:val="24"/>
                <w:szCs w:val="24"/>
                <w:highlight w:val="yellow"/>
                <w:vertAlign w:val="baseline"/>
                <w:lang w:val="en-US" w:eastAsia="zh-CN"/>
              </w:rPr>
              <w:t>按月分期结算，支付中标人</w:t>
            </w:r>
            <w:r>
              <w:rPr>
                <w:rFonts w:hint="eastAsia" w:ascii="宋体" w:hAnsi="宋体" w:eastAsia="宋体" w:cs="宋体"/>
                <w:sz w:val="24"/>
                <w:szCs w:val="24"/>
                <w:highlight w:val="yellow"/>
                <w:lang w:eastAsia="zh-CN"/>
              </w:rPr>
              <w:t>服务期限</w:t>
            </w:r>
            <w:r>
              <w:rPr>
                <w:rFonts w:hint="eastAsia" w:ascii="宋体" w:hAnsi="宋体" w:cs="宋体"/>
                <w:sz w:val="24"/>
                <w:szCs w:val="24"/>
                <w:highlight w:val="yellow"/>
                <w:lang w:val="en-US" w:eastAsia="zh-CN"/>
              </w:rPr>
              <w:t>第十个月至第十二个月的费用</w:t>
            </w:r>
            <w:r>
              <w:rPr>
                <w:rFonts w:hint="eastAsia" w:ascii="Times New Roman" w:hAnsi="Times New Roman" w:cs="Times New Roman"/>
                <w:b w:val="0"/>
                <w:bCs w:val="0"/>
                <w:i w:val="0"/>
                <w:iCs w:val="0"/>
                <w:color w:val="000000"/>
                <w:spacing w:val="0"/>
                <w:w w:val="100"/>
                <w:sz w:val="24"/>
                <w:szCs w:val="24"/>
                <w:highlight w:val="yellow"/>
                <w:vertAlign w:val="baseline"/>
                <w:lang w:val="en-US" w:eastAsia="zh-CN"/>
              </w:rPr>
              <w:t>。</w:t>
            </w:r>
          </w:p>
        </w:tc>
      </w:tr>
      <w:tr w14:paraId="7BB14F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blCellSpacing w:w="0" w:type="dxa"/>
        </w:trPr>
        <w:tc>
          <w:tcPr>
            <w:tcW w:w="1245" w:type="dxa"/>
            <w:noWrap w:val="0"/>
            <w:vAlign w:val="center"/>
          </w:tcPr>
          <w:p w14:paraId="5373166B">
            <w:pPr>
              <w:spacing w:line="440" w:lineRule="exact"/>
              <w:jc w:val="center"/>
              <w:rPr>
                <w:rFonts w:hint="default" w:ascii="宋体" w:hAnsi="宋体" w:cs="宋体"/>
                <w:color w:val="auto"/>
                <w:sz w:val="24"/>
                <w:highlight w:val="yellow"/>
                <w:lang w:val="en-US" w:eastAsia="zh-CN"/>
              </w:rPr>
            </w:pPr>
            <w:r>
              <w:rPr>
                <w:rFonts w:hint="eastAsia" w:ascii="宋体" w:hAnsi="宋体" w:cs="宋体"/>
                <w:color w:val="auto"/>
                <w:sz w:val="24"/>
                <w:highlight w:val="yellow"/>
                <w:lang w:val="en-US" w:eastAsia="zh-CN"/>
              </w:rPr>
              <w:t>5</w:t>
            </w:r>
          </w:p>
        </w:tc>
        <w:tc>
          <w:tcPr>
            <w:tcW w:w="7171" w:type="dxa"/>
            <w:noWrap w:val="0"/>
            <w:vAlign w:val="center"/>
          </w:tcPr>
          <w:p w14:paraId="3E6A7278">
            <w:pPr>
              <w:spacing w:line="440" w:lineRule="exact"/>
              <w:rPr>
                <w:rFonts w:hint="default" w:ascii="Times New Roman" w:hAnsi="Times New Roman" w:cs="Times New Roman"/>
                <w:b w:val="0"/>
                <w:bCs w:val="0"/>
                <w:i w:val="0"/>
                <w:iCs w:val="0"/>
                <w:color w:val="000000"/>
                <w:spacing w:val="0"/>
                <w:w w:val="100"/>
                <w:sz w:val="24"/>
                <w:szCs w:val="24"/>
                <w:highlight w:val="yellow"/>
                <w:vertAlign w:val="baseline"/>
                <w:lang w:val="en-US" w:eastAsia="zh-CN"/>
              </w:rPr>
            </w:pPr>
            <w:r>
              <w:rPr>
                <w:rFonts w:hint="eastAsia" w:ascii="Times New Roman" w:hAnsi="Times New Roman" w:cs="Times New Roman"/>
                <w:b w:val="0"/>
                <w:bCs w:val="0"/>
                <w:i w:val="0"/>
                <w:iCs w:val="0"/>
                <w:color w:val="000000"/>
                <w:spacing w:val="0"/>
                <w:w w:val="100"/>
                <w:sz w:val="24"/>
                <w:szCs w:val="24"/>
                <w:highlight w:val="yellow"/>
                <w:vertAlign w:val="baseline"/>
                <w:lang w:val="en-US" w:eastAsia="zh-CN"/>
              </w:rPr>
              <w:t>按实结算中标人剩余</w:t>
            </w:r>
            <w:r>
              <w:rPr>
                <w:rFonts w:hint="eastAsia" w:ascii="宋体" w:hAnsi="宋体" w:eastAsia="宋体" w:cs="宋体"/>
                <w:sz w:val="24"/>
                <w:szCs w:val="24"/>
                <w:highlight w:val="yellow"/>
                <w:lang w:eastAsia="zh-CN"/>
              </w:rPr>
              <w:t>服务期限</w:t>
            </w:r>
            <w:r>
              <w:rPr>
                <w:rFonts w:hint="eastAsia" w:ascii="宋体" w:hAnsi="宋体" w:cs="宋体"/>
                <w:sz w:val="24"/>
                <w:szCs w:val="24"/>
                <w:highlight w:val="yellow"/>
                <w:lang w:val="en-US" w:eastAsia="zh-CN"/>
              </w:rPr>
              <w:t>的费用</w:t>
            </w:r>
            <w:r>
              <w:rPr>
                <w:rFonts w:hint="eastAsia" w:ascii="Times New Roman" w:hAnsi="Times New Roman" w:cs="Times New Roman"/>
                <w:b w:val="0"/>
                <w:bCs w:val="0"/>
                <w:i w:val="0"/>
                <w:iCs w:val="0"/>
                <w:color w:val="000000"/>
                <w:spacing w:val="0"/>
                <w:w w:val="100"/>
                <w:sz w:val="24"/>
                <w:szCs w:val="24"/>
                <w:highlight w:val="yellow"/>
                <w:vertAlign w:val="baseline"/>
                <w:lang w:val="en-US" w:eastAsia="zh-CN"/>
              </w:rPr>
              <w:t>。</w:t>
            </w:r>
          </w:p>
        </w:tc>
      </w:tr>
    </w:tbl>
    <w:p w14:paraId="5B993BAF">
      <w:pPr>
        <w:pStyle w:val="10"/>
        <w:widowControl/>
        <w:spacing w:before="75" w:beforeLines="0" w:beforeAutospacing="0" w:after="75" w:afterLines="0" w:afterAutospacing="0" w:line="465" w:lineRule="atLeast"/>
        <w:outlineLvl w:val="1"/>
        <w:rPr>
          <w:rFonts w:hint="eastAsia" w:ascii="宋体" w:hAnsi="宋体" w:cs="宋体"/>
          <w:color w:val="auto"/>
          <w:highlight w:val="none"/>
          <w:lang w:val="en-US" w:eastAsia="zh-CN"/>
        </w:rPr>
      </w:pPr>
      <w:r>
        <w:rPr>
          <w:rFonts w:hint="eastAsia" w:ascii="宋体" w:hAnsi="宋体" w:cs="宋体"/>
          <w:color w:val="auto"/>
          <w:highlight w:val="none"/>
          <w:lang w:val="en-US" w:eastAsia="zh-CN"/>
        </w:rPr>
        <w:t>四、其他事项</w:t>
      </w:r>
    </w:p>
    <w:p w14:paraId="4BE3A3D6">
      <w:pPr>
        <w:pStyle w:val="10"/>
        <w:widowControl/>
        <w:spacing w:before="75" w:beforeLines="0" w:beforeAutospacing="0" w:after="75" w:afterLines="0" w:afterAutospacing="0" w:line="465" w:lineRule="atLeast"/>
        <w:ind w:firstLine="480" w:firstLineChars="200"/>
        <w:outlineLvl w:val="1"/>
        <w:rPr>
          <w:rFonts w:hint="default" w:ascii="宋体" w:hAnsi="宋体" w:cs="宋体"/>
          <w:color w:val="auto"/>
          <w:highlight w:val="none"/>
          <w:lang w:val="en-US" w:eastAsia="zh-CN"/>
        </w:rPr>
      </w:pPr>
      <w:r>
        <w:rPr>
          <w:rFonts w:hint="eastAsia" w:ascii="宋体" w:hAnsi="宋体" w:cs="宋体"/>
          <w:color w:val="auto"/>
          <w:highlight w:val="none"/>
          <w:lang w:val="en-US" w:eastAsia="zh-CN"/>
        </w:rPr>
        <w:t>无。</w:t>
      </w:r>
    </w:p>
    <w:p w14:paraId="58EDFA54">
      <w:pPr>
        <w:pStyle w:val="10"/>
        <w:widowControl/>
        <w:spacing w:before="75" w:beforeLines="0" w:beforeAutospacing="0" w:after="75" w:afterLines="0" w:afterAutospacing="0"/>
        <w:ind w:firstLine="0" w:firstLineChars="0"/>
        <w:jc w:val="both"/>
        <w:rPr>
          <w:rStyle w:val="16"/>
          <w:rFonts w:hint="eastAsia" w:ascii="宋体" w:hAnsi="宋体" w:cs="宋体"/>
          <w:color w:val="auto"/>
          <w:highlight w:val="none"/>
        </w:rPr>
      </w:pPr>
      <w:bookmarkStart w:id="15" w:name="_Toc27523"/>
      <w:bookmarkStart w:id="16" w:name="_Toc22941"/>
      <w:bookmarkStart w:id="17" w:name="_Toc21674"/>
      <w:r>
        <w:rPr>
          <w:rStyle w:val="16"/>
          <w:rFonts w:hint="eastAsia" w:ascii="宋体" w:hAnsi="宋体" w:cs="宋体"/>
          <w:color w:val="auto"/>
          <w:highlight w:val="none"/>
        </w:rPr>
        <w:br w:type="page"/>
      </w:r>
    </w:p>
    <w:p w14:paraId="3AE112B9">
      <w:pPr>
        <w:pStyle w:val="10"/>
        <w:widowControl/>
        <w:spacing w:before="75" w:beforeLines="0" w:beforeAutospacing="0" w:after="75" w:afterLines="0" w:afterAutospacing="0"/>
        <w:jc w:val="center"/>
        <w:outlineLvl w:val="0"/>
        <w:rPr>
          <w:color w:val="auto"/>
          <w:highlight w:val="none"/>
        </w:rPr>
      </w:pPr>
      <w:r>
        <w:rPr>
          <w:rStyle w:val="16"/>
          <w:rFonts w:hint="eastAsia" w:ascii="宋体" w:hAnsi="宋体" w:cs="宋体"/>
          <w:color w:val="auto"/>
          <w:highlight w:val="none"/>
        </w:rPr>
        <w:t>第四章 合同主要条款及格式</w:t>
      </w:r>
      <w:bookmarkEnd w:id="15"/>
      <w:bookmarkEnd w:id="16"/>
      <w:bookmarkEnd w:id="17"/>
    </w:p>
    <w:p w14:paraId="5B52E0E4">
      <w:pPr>
        <w:rPr>
          <w:rFonts w:hint="eastAsia"/>
          <w:color w:val="auto"/>
        </w:rPr>
      </w:pPr>
      <w:bookmarkStart w:id="18" w:name="_Toc30056"/>
      <w:bookmarkStart w:id="19" w:name="_Toc10624"/>
    </w:p>
    <w:p w14:paraId="6AF6ECD2">
      <w:pPr>
        <w:pStyle w:val="10"/>
        <w:spacing w:before="75" w:beforeAutospacing="0" w:after="75" w:afterAutospacing="0"/>
        <w:jc w:val="center"/>
        <w:rPr>
          <w:rFonts w:hint="eastAsia" w:cs="宋体"/>
          <w:b/>
          <w:sz w:val="32"/>
          <w:szCs w:val="32"/>
        </w:rPr>
      </w:pPr>
      <w:r>
        <w:rPr>
          <w:rFonts w:hint="eastAsia"/>
          <w:color w:val="auto"/>
          <w:lang w:val="en-US" w:eastAsia="zh-CN"/>
        </w:rPr>
        <w:t xml:space="preserve">   </w:t>
      </w:r>
      <w:r>
        <w:rPr>
          <w:rFonts w:hint="eastAsia" w:ascii="仿宋" w:hAnsi="仿宋" w:eastAsia="仿宋" w:cs="仿宋"/>
          <w:color w:val="auto"/>
          <w:sz w:val="28"/>
          <w:szCs w:val="28"/>
          <w:lang w:val="en-US" w:eastAsia="zh-CN"/>
        </w:rPr>
        <w:t xml:space="preserve">                   </w:t>
      </w:r>
      <w:bookmarkEnd w:id="18"/>
      <w:bookmarkEnd w:id="19"/>
    </w:p>
    <w:p w14:paraId="69A02A16">
      <w:pPr>
        <w:jc w:val="center"/>
        <w:rPr>
          <w:rFonts w:hint="eastAsia" w:ascii="仿宋" w:hAnsi="仿宋" w:eastAsia="仿宋" w:cs="仿宋"/>
          <w:b/>
          <w:bCs/>
          <w:color w:val="auto"/>
          <w:sz w:val="44"/>
          <w:szCs w:val="44"/>
        </w:rPr>
      </w:pPr>
      <w:r>
        <w:rPr>
          <w:rFonts w:hint="eastAsia" w:ascii="仿宋" w:hAnsi="仿宋" w:eastAsia="仿宋" w:cs="仿宋"/>
          <w:b/>
          <w:bCs/>
          <w:color w:val="auto"/>
          <w:sz w:val="44"/>
          <w:szCs w:val="44"/>
          <w:u w:val="single"/>
          <w:lang w:val="en-US" w:eastAsia="zh-CN"/>
        </w:rPr>
        <w:t xml:space="preserve">            </w:t>
      </w:r>
      <w:r>
        <w:rPr>
          <w:rFonts w:hint="eastAsia" w:ascii="仿宋" w:hAnsi="仿宋" w:eastAsia="仿宋" w:cs="仿宋"/>
          <w:b/>
          <w:bCs/>
          <w:color w:val="auto"/>
          <w:sz w:val="44"/>
          <w:szCs w:val="44"/>
          <w:lang w:val="en-US" w:eastAsia="zh-CN"/>
        </w:rPr>
        <w:t>采购</w:t>
      </w:r>
      <w:r>
        <w:rPr>
          <w:rFonts w:hint="eastAsia" w:ascii="仿宋" w:hAnsi="仿宋" w:eastAsia="仿宋" w:cs="仿宋"/>
          <w:b/>
          <w:bCs/>
          <w:color w:val="auto"/>
          <w:sz w:val="44"/>
          <w:szCs w:val="44"/>
        </w:rPr>
        <w:t>合同</w:t>
      </w:r>
    </w:p>
    <w:p w14:paraId="1C57F369">
      <w:pPr>
        <w:jc w:val="center"/>
        <w:rPr>
          <w:rFonts w:hint="eastAsia" w:ascii="仿宋" w:hAnsi="仿宋" w:eastAsia="仿宋" w:cs="仿宋"/>
          <w:b/>
          <w:bCs/>
          <w:color w:val="auto"/>
          <w:sz w:val="44"/>
          <w:szCs w:val="44"/>
          <w:lang w:eastAsia="zh-CN"/>
        </w:rPr>
      </w:pPr>
      <w:r>
        <w:rPr>
          <w:rFonts w:hint="eastAsia" w:ascii="仿宋" w:hAnsi="仿宋" w:eastAsia="仿宋" w:cs="仿宋"/>
          <w:b/>
          <w:bCs/>
          <w:color w:val="auto"/>
          <w:sz w:val="44"/>
          <w:szCs w:val="44"/>
          <w:lang w:eastAsia="zh-CN"/>
        </w:rPr>
        <w:t>（参考模板）</w:t>
      </w:r>
    </w:p>
    <w:p w14:paraId="01E6FD68">
      <w:pPr>
        <w:rPr>
          <w:rFonts w:hint="eastAsia" w:ascii="仿宋" w:hAnsi="仿宋" w:eastAsia="仿宋" w:cs="仿宋"/>
          <w:b/>
          <w:bCs/>
          <w:color w:val="auto"/>
          <w:sz w:val="28"/>
          <w:szCs w:val="28"/>
        </w:rPr>
      </w:pPr>
    </w:p>
    <w:p w14:paraId="7BEAB86D">
      <w:pPr>
        <w:jc w:val="center"/>
        <w:rPr>
          <w:rFonts w:hint="eastAsia" w:ascii="仿宋" w:hAnsi="仿宋" w:eastAsia="仿宋" w:cs="仿宋"/>
          <w:b/>
          <w:bCs/>
          <w:color w:val="auto"/>
          <w:sz w:val="28"/>
          <w:szCs w:val="28"/>
        </w:rPr>
      </w:pPr>
    </w:p>
    <w:p w14:paraId="247EBD29">
      <w:pPr>
        <w:jc w:val="center"/>
        <w:rPr>
          <w:rFonts w:hint="eastAsia" w:ascii="仿宋" w:hAnsi="仿宋" w:eastAsia="仿宋" w:cs="仿宋"/>
          <w:b/>
          <w:bCs/>
          <w:color w:val="auto"/>
          <w:sz w:val="28"/>
          <w:szCs w:val="28"/>
        </w:rPr>
      </w:pPr>
    </w:p>
    <w:p w14:paraId="07ED838F">
      <w:pPr>
        <w:jc w:val="center"/>
        <w:rPr>
          <w:rFonts w:hint="eastAsia" w:ascii="仿宋" w:hAnsi="仿宋" w:eastAsia="仿宋" w:cs="仿宋"/>
          <w:b/>
          <w:bCs/>
          <w:color w:val="auto"/>
          <w:sz w:val="28"/>
          <w:szCs w:val="28"/>
        </w:rPr>
      </w:pPr>
    </w:p>
    <w:p w14:paraId="580C0778">
      <w:pPr>
        <w:jc w:val="center"/>
        <w:rPr>
          <w:rFonts w:hint="eastAsia" w:ascii="仿宋" w:hAnsi="仿宋" w:eastAsia="仿宋" w:cs="仿宋"/>
          <w:b/>
          <w:bCs/>
          <w:color w:val="auto"/>
          <w:sz w:val="28"/>
          <w:szCs w:val="28"/>
        </w:rPr>
      </w:pPr>
    </w:p>
    <w:p w14:paraId="321E39C4">
      <w:pPr>
        <w:keepNext w:val="0"/>
        <w:keepLines w:val="0"/>
        <w:pageBreakBefore w:val="0"/>
        <w:widowControl w:val="0"/>
        <w:kinsoku/>
        <w:wordWrap w:val="0"/>
        <w:overflowPunct/>
        <w:topLinePunct w:val="0"/>
        <w:autoSpaceDE/>
        <w:autoSpaceDN/>
        <w:bidi w:val="0"/>
        <w:adjustRightInd/>
        <w:snapToGrid/>
        <w:jc w:val="center"/>
        <w:textAlignment w:val="auto"/>
        <w:rPr>
          <w:rFonts w:hint="default" w:ascii="仿宋" w:hAnsi="仿宋" w:eastAsia="仿宋" w:cs="仿宋"/>
          <w:b/>
          <w:bCs/>
          <w:color w:val="auto"/>
          <w:sz w:val="32"/>
          <w:szCs w:val="32"/>
          <w:u w:val="single"/>
          <w:lang w:val="en-US" w:eastAsia="zh-CN"/>
        </w:rPr>
      </w:pPr>
      <w:r>
        <w:rPr>
          <w:rFonts w:hint="eastAsia" w:ascii="仿宋" w:hAnsi="仿宋" w:eastAsia="仿宋" w:cs="仿宋"/>
          <w:b/>
          <w:bCs/>
          <w:color w:val="auto"/>
          <w:sz w:val="32"/>
          <w:szCs w:val="32"/>
        </w:rPr>
        <w:t>项目名称：</w:t>
      </w:r>
      <w:r>
        <w:rPr>
          <w:rFonts w:hint="eastAsia" w:ascii="仿宋" w:hAnsi="仿宋" w:eastAsia="仿宋" w:cs="仿宋"/>
          <w:b/>
          <w:bCs/>
          <w:color w:val="auto"/>
          <w:sz w:val="32"/>
          <w:szCs w:val="32"/>
          <w:u w:val="single"/>
          <w:lang w:val="en-US" w:eastAsia="zh-CN"/>
        </w:rPr>
        <w:t xml:space="preserve">                    </w:t>
      </w:r>
    </w:p>
    <w:p w14:paraId="035B5FA1">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 w:hAnsi="仿宋" w:eastAsia="仿宋" w:cs="仿宋"/>
          <w:b/>
          <w:bCs/>
          <w:color w:val="auto"/>
          <w:sz w:val="32"/>
          <w:szCs w:val="32"/>
        </w:rPr>
      </w:pPr>
      <w:r>
        <w:rPr>
          <w:rFonts w:hint="eastAsia" w:ascii="仿宋" w:hAnsi="仿宋" w:eastAsia="仿宋" w:cs="仿宋"/>
          <w:b/>
          <w:bCs/>
          <w:color w:val="auto"/>
          <w:sz w:val="32"/>
          <w:szCs w:val="32"/>
        </w:rPr>
        <w:t>合同编号：</w:t>
      </w:r>
      <w:r>
        <w:rPr>
          <w:rFonts w:hint="eastAsia" w:ascii="仿宋" w:hAnsi="仿宋" w:eastAsia="仿宋" w:cs="仿宋"/>
          <w:b/>
          <w:bCs/>
          <w:color w:val="auto"/>
          <w:sz w:val="32"/>
          <w:szCs w:val="32"/>
          <w:u w:val="single"/>
          <w:lang w:val="en-US" w:eastAsia="zh-CN"/>
        </w:rPr>
        <w:t xml:space="preserve">                    </w:t>
      </w:r>
    </w:p>
    <w:p w14:paraId="7F48CA6E">
      <w:pPr>
        <w:keepNext w:val="0"/>
        <w:keepLines w:val="0"/>
        <w:pageBreakBefore w:val="0"/>
        <w:widowControl w:val="0"/>
        <w:kinsoku/>
        <w:wordWrap w:val="0"/>
        <w:overflowPunct/>
        <w:topLinePunct w:val="0"/>
        <w:autoSpaceDE/>
        <w:autoSpaceDN/>
        <w:bidi w:val="0"/>
        <w:adjustRightInd/>
        <w:snapToGrid/>
        <w:jc w:val="center"/>
        <w:textAlignment w:val="auto"/>
        <w:rPr>
          <w:rFonts w:hint="eastAsia" w:ascii="仿宋" w:hAnsi="仿宋" w:eastAsia="仿宋" w:cs="仿宋"/>
          <w:b/>
          <w:bCs/>
          <w:color w:val="auto"/>
          <w:sz w:val="32"/>
          <w:szCs w:val="32"/>
          <w:lang w:val="en-US" w:eastAsia="zh-CN"/>
        </w:rPr>
      </w:pPr>
      <w:r>
        <w:rPr>
          <w:rFonts w:hint="eastAsia" w:ascii="仿宋" w:hAnsi="仿宋" w:eastAsia="仿宋" w:cs="仿宋"/>
          <w:b/>
          <w:bCs/>
          <w:color w:val="auto"/>
          <w:sz w:val="32"/>
          <w:szCs w:val="32"/>
          <w:lang w:eastAsia="zh-CN"/>
        </w:rPr>
        <w:t>签订地点：</w:t>
      </w:r>
      <w:r>
        <w:rPr>
          <w:rFonts w:hint="eastAsia" w:ascii="仿宋" w:hAnsi="仿宋" w:eastAsia="仿宋" w:cs="仿宋"/>
          <w:b/>
          <w:bCs/>
          <w:color w:val="auto"/>
          <w:sz w:val="32"/>
          <w:szCs w:val="32"/>
          <w:u w:val="single"/>
          <w:lang w:val="en-US" w:eastAsia="zh-CN"/>
        </w:rPr>
        <w:t xml:space="preserve">                    </w:t>
      </w:r>
    </w:p>
    <w:p w14:paraId="6DDD2B75">
      <w:pPr>
        <w:keepNext w:val="0"/>
        <w:keepLines w:val="0"/>
        <w:pageBreakBefore w:val="0"/>
        <w:widowControl w:val="0"/>
        <w:kinsoku/>
        <w:wordWrap w:val="0"/>
        <w:overflowPunct/>
        <w:topLinePunct w:val="0"/>
        <w:autoSpaceDE/>
        <w:autoSpaceDN/>
        <w:bidi w:val="0"/>
        <w:adjustRightInd/>
        <w:snapToGrid/>
        <w:jc w:val="center"/>
        <w:textAlignment w:val="auto"/>
        <w:rPr>
          <w:rFonts w:hint="default" w:ascii="仿宋" w:hAnsi="仿宋" w:eastAsia="仿宋" w:cs="仿宋"/>
          <w:b/>
          <w:bCs/>
          <w:color w:val="auto"/>
          <w:sz w:val="32"/>
          <w:szCs w:val="32"/>
          <w:lang w:val="en-US" w:eastAsia="zh-CN"/>
        </w:rPr>
      </w:pPr>
      <w:r>
        <w:rPr>
          <w:rFonts w:hint="eastAsia" w:ascii="仿宋" w:hAnsi="仿宋" w:eastAsia="仿宋" w:cs="仿宋"/>
          <w:b/>
          <w:bCs/>
          <w:color w:val="auto"/>
          <w:sz w:val="32"/>
          <w:szCs w:val="32"/>
          <w:lang w:val="en-US" w:eastAsia="zh-CN"/>
        </w:rPr>
        <w:t xml:space="preserve"> </w:t>
      </w:r>
      <w:r>
        <w:rPr>
          <w:rFonts w:hint="eastAsia" w:ascii="仿宋" w:hAnsi="仿宋" w:eastAsia="仿宋" w:cs="仿宋"/>
          <w:b/>
          <w:bCs/>
          <w:color w:val="auto"/>
          <w:sz w:val="32"/>
          <w:szCs w:val="32"/>
          <w:lang w:eastAsia="zh-CN"/>
        </w:rPr>
        <w:t>签订日期：</w:t>
      </w:r>
      <w:r>
        <w:rPr>
          <w:rFonts w:hint="eastAsia" w:ascii="仿宋" w:hAnsi="仿宋" w:eastAsia="仿宋" w:cs="仿宋"/>
          <w:b/>
          <w:bCs/>
          <w:color w:val="auto"/>
          <w:sz w:val="32"/>
          <w:szCs w:val="32"/>
          <w:lang w:val="en-US" w:eastAsia="zh-CN"/>
        </w:rPr>
        <w:t xml:space="preserve">   202  年   月   日 </w:t>
      </w:r>
    </w:p>
    <w:p w14:paraId="325D2FCB">
      <w:pPr>
        <w:jc w:val="center"/>
        <w:rPr>
          <w:rFonts w:hint="eastAsia" w:ascii="仿宋" w:hAnsi="仿宋" w:eastAsia="仿宋" w:cs="仿宋"/>
          <w:color w:val="auto"/>
          <w:sz w:val="32"/>
          <w:szCs w:val="32"/>
        </w:rPr>
      </w:pPr>
    </w:p>
    <w:p w14:paraId="2DC6F58E">
      <w:pPr>
        <w:jc w:val="center"/>
        <w:rPr>
          <w:rFonts w:hint="eastAsia" w:ascii="仿宋" w:hAnsi="仿宋" w:eastAsia="仿宋" w:cs="仿宋"/>
          <w:color w:val="auto"/>
          <w:sz w:val="28"/>
          <w:szCs w:val="28"/>
          <w:lang w:val="en-US" w:eastAsia="zh-CN"/>
        </w:rPr>
      </w:pPr>
    </w:p>
    <w:p w14:paraId="23BBD8FC">
      <w:pPr>
        <w:jc w:val="center"/>
        <w:rPr>
          <w:rFonts w:hint="eastAsia" w:ascii="仿宋" w:hAnsi="仿宋" w:eastAsia="仿宋" w:cs="仿宋"/>
          <w:color w:val="auto"/>
          <w:sz w:val="28"/>
          <w:szCs w:val="28"/>
          <w:lang w:val="en-US" w:eastAsia="zh-CN"/>
        </w:rPr>
      </w:pPr>
    </w:p>
    <w:p w14:paraId="73C31C65">
      <w:pPr>
        <w:jc w:val="center"/>
        <w:rPr>
          <w:rFonts w:hint="eastAsia" w:ascii="仿宋" w:hAnsi="仿宋" w:eastAsia="仿宋" w:cs="仿宋"/>
          <w:color w:val="auto"/>
          <w:sz w:val="28"/>
          <w:szCs w:val="28"/>
          <w:lang w:val="en-US" w:eastAsia="zh-CN"/>
        </w:rPr>
      </w:pPr>
    </w:p>
    <w:p w14:paraId="3707A956">
      <w:pPr>
        <w:pStyle w:val="12"/>
        <w:rPr>
          <w:rFonts w:hint="eastAsia" w:ascii="仿宋" w:hAnsi="仿宋" w:eastAsia="仿宋" w:cs="仿宋"/>
          <w:color w:val="auto"/>
          <w:sz w:val="28"/>
          <w:szCs w:val="28"/>
          <w:lang w:val="en-US" w:eastAsia="zh-CN"/>
        </w:rPr>
      </w:pPr>
    </w:p>
    <w:p w14:paraId="1C4780CE">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仿宋" w:hAnsi="仿宋" w:eastAsia="仿宋" w:cs="仿宋"/>
          <w:b/>
          <w:bCs/>
          <w:color w:val="auto"/>
          <w:sz w:val="28"/>
          <w:szCs w:val="28"/>
        </w:rPr>
      </w:pPr>
      <w:r>
        <w:rPr>
          <w:rFonts w:hint="eastAsia" w:ascii="仿宋" w:hAnsi="仿宋" w:eastAsia="仿宋" w:cs="仿宋"/>
          <w:b/>
          <w:bCs/>
          <w:color w:val="auto"/>
          <w:sz w:val="28"/>
          <w:szCs w:val="28"/>
          <w:lang w:val="en-US" w:eastAsia="zh-CN"/>
        </w:rPr>
        <w:t>甲方（采购方）</w:t>
      </w:r>
      <w:r>
        <w:rPr>
          <w:rFonts w:hint="eastAsia" w:ascii="仿宋" w:hAnsi="仿宋" w:eastAsia="仿宋" w:cs="仿宋"/>
          <w:b/>
          <w:bCs/>
          <w:color w:val="auto"/>
          <w:sz w:val="28"/>
          <w:szCs w:val="28"/>
        </w:rPr>
        <w:t xml:space="preserve">：湄洲湾职业技术学院   </w:t>
      </w:r>
      <w:r>
        <w:rPr>
          <w:rFonts w:hint="eastAsia" w:ascii="仿宋" w:hAnsi="仿宋" w:eastAsia="仿宋" w:cs="仿宋"/>
          <w:b/>
          <w:bCs/>
          <w:color w:val="auto"/>
          <w:sz w:val="28"/>
          <w:szCs w:val="28"/>
          <w:lang w:val="en-US" w:eastAsia="zh-CN"/>
        </w:rPr>
        <w:t xml:space="preserve">                    </w:t>
      </w:r>
      <w:r>
        <w:rPr>
          <w:rFonts w:hint="eastAsia" w:ascii="仿宋" w:hAnsi="仿宋" w:eastAsia="仿宋" w:cs="仿宋"/>
          <w:b/>
          <w:bCs/>
          <w:color w:val="auto"/>
          <w:sz w:val="28"/>
          <w:szCs w:val="28"/>
        </w:rPr>
        <w:t xml:space="preserve"> </w:t>
      </w:r>
    </w:p>
    <w:p w14:paraId="7D26DE26">
      <w:pPr>
        <w:keepNext w:val="0"/>
        <w:keepLines w:val="0"/>
        <w:pageBreakBefore w:val="0"/>
        <w:widowControl w:val="0"/>
        <w:kinsoku/>
        <w:wordWrap/>
        <w:overflowPunct/>
        <w:topLinePunct w:val="0"/>
        <w:autoSpaceDE/>
        <w:autoSpaceDN/>
        <w:bidi w:val="0"/>
        <w:adjustRightInd/>
        <w:snapToGrid/>
        <w:spacing w:after="157" w:afterLines="50" w:line="520" w:lineRule="exact"/>
        <w:textAlignment w:val="auto"/>
        <w:rPr>
          <w:rFonts w:hint="eastAsia" w:ascii="仿宋" w:hAnsi="仿宋" w:eastAsia="仿宋" w:cs="仿宋"/>
          <w:b/>
          <w:bCs/>
          <w:color w:val="auto"/>
          <w:sz w:val="24"/>
          <w:szCs w:val="24"/>
        </w:rPr>
      </w:pPr>
      <w:r>
        <w:rPr>
          <w:rFonts w:hint="eastAsia" w:ascii="仿宋" w:hAnsi="仿宋" w:eastAsia="仿宋" w:cs="仿宋"/>
          <w:b/>
          <w:bCs/>
          <w:color w:val="auto"/>
          <w:sz w:val="28"/>
          <w:szCs w:val="28"/>
          <w:lang w:val="en-US" w:eastAsia="zh-CN"/>
        </w:rPr>
        <w:t>乙方（供货方）</w:t>
      </w:r>
      <w:r>
        <w:rPr>
          <w:rFonts w:hint="eastAsia" w:ascii="仿宋" w:hAnsi="仿宋" w:eastAsia="仿宋" w:cs="仿宋"/>
          <w:b/>
          <w:bCs/>
          <w:color w:val="auto"/>
          <w:sz w:val="28"/>
          <w:szCs w:val="28"/>
        </w:rPr>
        <w:t xml:space="preserve">：                      </w:t>
      </w:r>
      <w:r>
        <w:rPr>
          <w:rFonts w:hint="eastAsia" w:ascii="仿宋" w:hAnsi="仿宋" w:eastAsia="仿宋" w:cs="仿宋"/>
          <w:b/>
          <w:bCs/>
          <w:color w:val="auto"/>
          <w:sz w:val="28"/>
          <w:szCs w:val="28"/>
          <w:lang w:val="en-US" w:eastAsia="zh-CN"/>
        </w:rPr>
        <w:t xml:space="preserve"> </w:t>
      </w:r>
      <w:r>
        <w:rPr>
          <w:rFonts w:hint="eastAsia" w:ascii="仿宋" w:hAnsi="仿宋" w:eastAsia="仿宋" w:cs="仿宋"/>
          <w:b/>
          <w:bCs/>
          <w:color w:val="auto"/>
          <w:sz w:val="28"/>
          <w:szCs w:val="28"/>
        </w:rPr>
        <w:t xml:space="preserve">        </w:t>
      </w:r>
      <w:r>
        <w:rPr>
          <w:rFonts w:hint="eastAsia" w:ascii="仿宋" w:hAnsi="仿宋" w:eastAsia="仿宋" w:cs="仿宋"/>
          <w:b/>
          <w:bCs/>
          <w:color w:val="auto"/>
          <w:sz w:val="24"/>
          <w:szCs w:val="24"/>
        </w:rPr>
        <w:t xml:space="preserve">                 </w:t>
      </w:r>
    </w:p>
    <w:p w14:paraId="5A1FA8F8">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p>
    <w:p w14:paraId="1273A691">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p>
    <w:p w14:paraId="24CD8F5C">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根据项目编号为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的</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eastAsia="zh-CN"/>
        </w:rPr>
        <w:t>采购项目</w:t>
      </w:r>
      <w:r>
        <w:rPr>
          <w:rFonts w:hint="eastAsia" w:ascii="宋体" w:hAnsi="宋体" w:eastAsia="宋体" w:cs="宋体"/>
          <w:color w:val="auto"/>
          <w:sz w:val="24"/>
          <w:szCs w:val="24"/>
        </w:rPr>
        <w:t>（以下简称：“本项目”）</w:t>
      </w:r>
      <w:r>
        <w:rPr>
          <w:rFonts w:hint="eastAsia" w:ascii="宋体" w:hAnsi="宋体" w:eastAsia="宋体" w:cs="宋体"/>
          <w:color w:val="auto"/>
          <w:sz w:val="24"/>
          <w:szCs w:val="24"/>
          <w:highlight w:val="none"/>
        </w:rPr>
        <w:t>的</w:t>
      </w:r>
      <w:r>
        <w:rPr>
          <w:rFonts w:hint="eastAsia" w:ascii="宋体" w:hAnsi="宋体" w:eastAsia="宋体" w:cs="宋体"/>
          <w:color w:val="auto"/>
          <w:sz w:val="24"/>
          <w:szCs w:val="24"/>
          <w:highlight w:val="none"/>
          <w:u w:val="single"/>
          <w:lang w:eastAsia="zh-CN"/>
        </w:rPr>
        <w:t>招标</w:t>
      </w:r>
      <w:r>
        <w:rPr>
          <w:rFonts w:hint="eastAsia" w:ascii="宋体" w:hAnsi="宋体" w:eastAsia="宋体" w:cs="宋体"/>
          <w:color w:val="auto"/>
          <w:sz w:val="24"/>
          <w:szCs w:val="24"/>
          <w:highlight w:val="none"/>
          <w:u w:val="single"/>
          <w:lang w:val="en-US" w:eastAsia="zh-CN"/>
        </w:rPr>
        <w:t>/询价/</w:t>
      </w:r>
      <w:r>
        <w:rPr>
          <w:rFonts w:hint="eastAsia" w:ascii="宋体" w:hAnsi="宋体" w:eastAsia="宋体" w:cs="宋体"/>
          <w:color w:val="auto"/>
          <w:sz w:val="24"/>
          <w:szCs w:val="24"/>
          <w:highlight w:val="none"/>
          <w:u w:val="single"/>
        </w:rPr>
        <w:t>谈判</w:t>
      </w:r>
      <w:r>
        <w:rPr>
          <w:rFonts w:hint="eastAsia" w:ascii="宋体" w:hAnsi="宋体" w:eastAsia="宋体" w:cs="宋体"/>
          <w:color w:val="auto"/>
          <w:sz w:val="24"/>
          <w:szCs w:val="24"/>
          <w:highlight w:val="none"/>
          <w:u w:val="single"/>
          <w:lang w:val="en-US" w:eastAsia="zh-CN"/>
        </w:rPr>
        <w:t>/磋商</w:t>
      </w:r>
      <w:r>
        <w:rPr>
          <w:rFonts w:hint="eastAsia" w:ascii="宋体" w:hAnsi="宋体" w:eastAsia="宋体" w:cs="宋体"/>
          <w:color w:val="auto"/>
          <w:sz w:val="24"/>
          <w:szCs w:val="24"/>
          <w:highlight w:val="none"/>
        </w:rPr>
        <w:t>结果</w:t>
      </w:r>
      <w:r>
        <w:rPr>
          <w:rFonts w:hint="eastAsia" w:ascii="宋体" w:hAnsi="宋体" w:eastAsia="宋体" w:cs="宋体"/>
          <w:color w:val="auto"/>
          <w:sz w:val="24"/>
          <w:szCs w:val="24"/>
        </w:rPr>
        <w:t>，乙方为成交供应商。现经甲乙双方友好协商，就以下事项达成一致并签订本合同：</w:t>
      </w:r>
    </w:p>
    <w:p w14:paraId="0C2DA6CA">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rPr>
        <w:t>第一条</w:t>
      </w:r>
      <w:r>
        <w:rPr>
          <w:rFonts w:hint="eastAsia" w:ascii="宋体" w:hAnsi="宋体" w:eastAsia="宋体" w:cs="宋体"/>
          <w:b/>
          <w:bCs/>
          <w:color w:val="auto"/>
          <w:sz w:val="24"/>
          <w:szCs w:val="24"/>
          <w:lang w:val="en-US" w:eastAsia="zh-CN"/>
        </w:rPr>
        <w:t xml:space="preserve"> 下列合同文件是构成本合同不可分割的部分</w:t>
      </w:r>
    </w:p>
    <w:p w14:paraId="7875D974">
      <w:pPr>
        <w:pStyle w:val="12"/>
        <w:keepNext w:val="0"/>
        <w:keepLines w:val="0"/>
        <w:pageBreakBefore w:val="0"/>
        <w:widowControl w:val="0"/>
        <w:kinsoku/>
        <w:wordWrap/>
        <w:overflowPunct/>
        <w:topLinePunct w:val="0"/>
        <w:autoSpaceDE/>
        <w:autoSpaceDN/>
        <w:bidi w:val="0"/>
        <w:adjustRightInd/>
        <w:snapToGrid/>
        <w:spacing w:line="520" w:lineRule="exact"/>
        <w:ind w:left="0" w:leftChars="0" w:firstLine="0" w:firstLineChars="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 xml:space="preserve">    （一）本合同条款及附件（若有）；</w:t>
      </w:r>
    </w:p>
    <w:p w14:paraId="160B4FF5">
      <w:pPr>
        <w:pStyle w:val="12"/>
        <w:keepNext w:val="0"/>
        <w:keepLines w:val="0"/>
        <w:pageBreakBefore w:val="0"/>
        <w:widowControl w:val="0"/>
        <w:kinsoku/>
        <w:wordWrap/>
        <w:overflowPunct/>
        <w:topLinePunct w:val="0"/>
        <w:autoSpaceDE/>
        <w:autoSpaceDN/>
        <w:bidi w:val="0"/>
        <w:adjustRightInd/>
        <w:snapToGrid/>
        <w:spacing w:line="520" w:lineRule="exact"/>
        <w:ind w:left="0" w:leftChars="0" w:firstLine="464"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（二）招标、采购文件及其附件、补充文件；</w:t>
      </w:r>
    </w:p>
    <w:p w14:paraId="33F51E07">
      <w:pPr>
        <w:pStyle w:val="12"/>
        <w:keepNext w:val="0"/>
        <w:keepLines w:val="0"/>
        <w:pageBreakBefore w:val="0"/>
        <w:widowControl w:val="0"/>
        <w:kinsoku/>
        <w:wordWrap/>
        <w:overflowPunct/>
        <w:topLinePunct w:val="0"/>
        <w:autoSpaceDE/>
        <w:autoSpaceDN/>
        <w:bidi w:val="0"/>
        <w:adjustRightInd/>
        <w:snapToGrid/>
        <w:spacing w:line="520" w:lineRule="exact"/>
        <w:ind w:left="0" w:leftChars="0" w:firstLine="464"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（三）谈判、磋商文件及乙方的响应文件；</w:t>
      </w:r>
    </w:p>
    <w:p w14:paraId="027840AE">
      <w:pPr>
        <w:pStyle w:val="12"/>
        <w:keepNext w:val="0"/>
        <w:keepLines w:val="0"/>
        <w:pageBreakBefore w:val="0"/>
        <w:widowControl w:val="0"/>
        <w:kinsoku/>
        <w:wordWrap/>
        <w:overflowPunct/>
        <w:topLinePunct w:val="0"/>
        <w:autoSpaceDE/>
        <w:autoSpaceDN/>
        <w:bidi w:val="0"/>
        <w:adjustRightInd/>
        <w:snapToGrid/>
        <w:spacing w:line="520" w:lineRule="exact"/>
        <w:ind w:left="0" w:leftChars="0" w:firstLine="464"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（四）其他文件或材料：□无。□（若有联合协议或分包意向协议）。</w:t>
      </w:r>
    </w:p>
    <w:p w14:paraId="7347344D">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第</w:t>
      </w:r>
      <w:r>
        <w:rPr>
          <w:rFonts w:hint="eastAsia" w:ascii="宋体" w:hAnsi="宋体" w:eastAsia="宋体" w:cs="宋体"/>
          <w:b/>
          <w:bCs/>
          <w:color w:val="auto"/>
          <w:sz w:val="24"/>
          <w:szCs w:val="24"/>
          <w:lang w:val="en-US" w:eastAsia="zh-CN"/>
        </w:rPr>
        <w:t>二</w:t>
      </w:r>
      <w:r>
        <w:rPr>
          <w:rFonts w:hint="eastAsia" w:ascii="宋体" w:hAnsi="宋体" w:eastAsia="宋体" w:cs="宋体"/>
          <w:b/>
          <w:bCs/>
          <w:color w:val="auto"/>
          <w:sz w:val="24"/>
          <w:szCs w:val="24"/>
        </w:rPr>
        <w:t>条</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计划采购</w:t>
      </w:r>
      <w:r>
        <w:rPr>
          <w:rFonts w:hint="eastAsia" w:ascii="宋体" w:hAnsi="宋体" w:eastAsia="宋体" w:cs="宋体"/>
          <w:b/>
          <w:bCs/>
          <w:color w:val="auto"/>
          <w:sz w:val="24"/>
          <w:szCs w:val="24"/>
          <w:lang w:val="en-US" w:eastAsia="zh-CN"/>
        </w:rPr>
        <w:t>货物</w:t>
      </w:r>
      <w:r>
        <w:rPr>
          <w:rFonts w:hint="eastAsia" w:ascii="宋体" w:hAnsi="宋体" w:eastAsia="宋体" w:cs="宋体"/>
          <w:b/>
          <w:bCs/>
          <w:color w:val="auto"/>
          <w:sz w:val="24"/>
          <w:szCs w:val="24"/>
        </w:rPr>
        <w:t>的基本情况</w:t>
      </w:r>
    </w:p>
    <w:p w14:paraId="7E5068EB">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（一）产品名称、</w:t>
      </w:r>
      <w:r>
        <w:rPr>
          <w:rFonts w:hint="eastAsia" w:ascii="宋体" w:hAnsi="宋体" w:eastAsia="宋体" w:cs="宋体"/>
          <w:color w:val="auto"/>
          <w:sz w:val="24"/>
          <w:szCs w:val="24"/>
          <w:lang w:eastAsia="zh-CN"/>
        </w:rPr>
        <w:t>品牌、</w:t>
      </w:r>
      <w:r>
        <w:rPr>
          <w:rFonts w:hint="eastAsia" w:ascii="宋体" w:hAnsi="宋体" w:eastAsia="宋体" w:cs="宋体"/>
          <w:color w:val="auto"/>
          <w:sz w:val="24"/>
          <w:szCs w:val="24"/>
        </w:rPr>
        <w:t>型号、规格、单位、数量和总价</w:t>
      </w:r>
    </w:p>
    <w:tbl>
      <w:tblPr>
        <w:tblStyle w:val="13"/>
        <w:tblW w:w="4997" w:type="pct"/>
        <w:jc w:val="center"/>
        <w:tblLayout w:type="autofit"/>
        <w:tblCellMar>
          <w:top w:w="0" w:type="dxa"/>
          <w:left w:w="108" w:type="dxa"/>
          <w:bottom w:w="0" w:type="dxa"/>
          <w:right w:w="108" w:type="dxa"/>
        </w:tblCellMar>
      </w:tblPr>
      <w:tblGrid>
        <w:gridCol w:w="614"/>
        <w:gridCol w:w="989"/>
        <w:gridCol w:w="632"/>
        <w:gridCol w:w="632"/>
        <w:gridCol w:w="603"/>
        <w:gridCol w:w="782"/>
        <w:gridCol w:w="1065"/>
        <w:gridCol w:w="1017"/>
        <w:gridCol w:w="1462"/>
        <w:gridCol w:w="721"/>
      </w:tblGrid>
      <w:tr w14:paraId="4DD6F302">
        <w:tblPrEx>
          <w:tblCellMar>
            <w:top w:w="0" w:type="dxa"/>
            <w:left w:w="108" w:type="dxa"/>
            <w:bottom w:w="0" w:type="dxa"/>
            <w:right w:w="108" w:type="dxa"/>
          </w:tblCellMar>
        </w:tblPrEx>
        <w:trPr>
          <w:trHeight w:val="690" w:hRule="atLeast"/>
          <w:jc w:val="center"/>
        </w:trPr>
        <w:tc>
          <w:tcPr>
            <w:tcW w:w="361" w:type="pct"/>
            <w:tcBorders>
              <w:top w:val="single" w:color="auto" w:sz="4" w:space="0"/>
              <w:left w:val="single" w:color="auto" w:sz="4" w:space="0"/>
              <w:bottom w:val="single" w:color="auto" w:sz="4" w:space="0"/>
              <w:right w:val="single" w:color="auto" w:sz="4" w:space="0"/>
            </w:tcBorders>
            <w:noWrap w:val="0"/>
            <w:vAlign w:val="center"/>
          </w:tcPr>
          <w:p w14:paraId="7A18DFA6">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序号</w:t>
            </w:r>
          </w:p>
        </w:tc>
        <w:tc>
          <w:tcPr>
            <w:tcW w:w="581" w:type="pct"/>
            <w:tcBorders>
              <w:top w:val="single" w:color="auto" w:sz="4" w:space="0"/>
              <w:left w:val="single" w:color="auto" w:sz="4" w:space="0"/>
              <w:bottom w:val="single" w:color="auto" w:sz="4" w:space="0"/>
              <w:right w:val="single" w:color="auto" w:sz="4" w:space="0"/>
            </w:tcBorders>
            <w:noWrap w:val="0"/>
            <w:vAlign w:val="center"/>
          </w:tcPr>
          <w:p w14:paraId="52B6E7FF">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产品名称</w:t>
            </w:r>
          </w:p>
        </w:tc>
        <w:tc>
          <w:tcPr>
            <w:tcW w:w="371" w:type="pct"/>
            <w:tcBorders>
              <w:top w:val="single" w:color="auto" w:sz="4" w:space="0"/>
              <w:left w:val="single" w:color="auto" w:sz="4" w:space="0"/>
              <w:bottom w:val="single" w:color="auto" w:sz="4" w:space="0"/>
              <w:right w:val="single" w:color="auto" w:sz="4" w:space="0"/>
            </w:tcBorders>
            <w:noWrap w:val="0"/>
            <w:vAlign w:val="center"/>
          </w:tcPr>
          <w:p w14:paraId="6827E11C">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品牌</w:t>
            </w:r>
          </w:p>
        </w:tc>
        <w:tc>
          <w:tcPr>
            <w:tcW w:w="371" w:type="pct"/>
            <w:tcBorders>
              <w:top w:val="single" w:color="auto" w:sz="4" w:space="0"/>
              <w:left w:val="single" w:color="auto" w:sz="4" w:space="0"/>
              <w:bottom w:val="single" w:color="auto" w:sz="4" w:space="0"/>
              <w:right w:val="single" w:color="auto" w:sz="4" w:space="0"/>
            </w:tcBorders>
            <w:noWrap w:val="0"/>
            <w:vAlign w:val="center"/>
          </w:tcPr>
          <w:p w14:paraId="22727588">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型号</w:t>
            </w:r>
          </w:p>
        </w:tc>
        <w:tc>
          <w:tcPr>
            <w:tcW w:w="354" w:type="pct"/>
            <w:tcBorders>
              <w:top w:val="single" w:color="auto" w:sz="4" w:space="0"/>
              <w:left w:val="single" w:color="auto" w:sz="4" w:space="0"/>
              <w:bottom w:val="single" w:color="auto" w:sz="4" w:space="0"/>
              <w:right w:val="single" w:color="auto" w:sz="4" w:space="0"/>
            </w:tcBorders>
            <w:noWrap w:val="0"/>
            <w:vAlign w:val="center"/>
          </w:tcPr>
          <w:p w14:paraId="4CD8BEF1">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规格</w:t>
            </w:r>
          </w:p>
        </w:tc>
        <w:tc>
          <w:tcPr>
            <w:tcW w:w="459" w:type="pct"/>
            <w:tcBorders>
              <w:top w:val="single" w:color="auto" w:sz="4" w:space="0"/>
              <w:left w:val="single" w:color="auto" w:sz="4" w:space="0"/>
              <w:bottom w:val="single" w:color="auto" w:sz="4" w:space="0"/>
              <w:right w:val="single" w:color="auto" w:sz="4" w:space="0"/>
            </w:tcBorders>
            <w:noWrap w:val="0"/>
            <w:vAlign w:val="center"/>
          </w:tcPr>
          <w:p w14:paraId="094C69D6">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单位</w:t>
            </w:r>
          </w:p>
        </w:tc>
        <w:tc>
          <w:tcPr>
            <w:tcW w:w="625" w:type="pct"/>
            <w:tcBorders>
              <w:top w:val="single" w:color="auto" w:sz="4" w:space="0"/>
              <w:left w:val="single" w:color="auto" w:sz="4" w:space="0"/>
              <w:bottom w:val="single" w:color="auto" w:sz="4" w:space="0"/>
              <w:right w:val="single" w:color="auto" w:sz="4" w:space="0"/>
            </w:tcBorders>
            <w:noWrap w:val="0"/>
            <w:vAlign w:val="center"/>
          </w:tcPr>
          <w:p w14:paraId="6B5DEB79">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预估</w:t>
            </w:r>
            <w:r>
              <w:rPr>
                <w:rFonts w:hint="eastAsia" w:ascii="宋体" w:hAnsi="宋体" w:eastAsia="宋体" w:cs="宋体"/>
                <w:color w:val="auto"/>
                <w:sz w:val="24"/>
                <w:szCs w:val="24"/>
              </w:rPr>
              <w:t>数量</w:t>
            </w:r>
          </w:p>
        </w:tc>
        <w:tc>
          <w:tcPr>
            <w:tcW w:w="597" w:type="pct"/>
            <w:tcBorders>
              <w:top w:val="single" w:color="auto" w:sz="4" w:space="0"/>
              <w:left w:val="single" w:color="auto" w:sz="4" w:space="0"/>
              <w:bottom w:val="single" w:color="auto" w:sz="4" w:space="0"/>
              <w:right w:val="single" w:color="auto" w:sz="4" w:space="0"/>
            </w:tcBorders>
            <w:noWrap w:val="0"/>
            <w:vAlign w:val="center"/>
          </w:tcPr>
          <w:p w14:paraId="0093F551">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单价（元）</w:t>
            </w:r>
          </w:p>
        </w:tc>
        <w:tc>
          <w:tcPr>
            <w:tcW w:w="858" w:type="pct"/>
            <w:tcBorders>
              <w:top w:val="single" w:color="auto" w:sz="4" w:space="0"/>
              <w:left w:val="single" w:color="auto" w:sz="4" w:space="0"/>
              <w:bottom w:val="single" w:color="auto" w:sz="4" w:space="0"/>
              <w:right w:val="single" w:color="auto" w:sz="4" w:space="0"/>
            </w:tcBorders>
            <w:noWrap w:val="0"/>
            <w:vAlign w:val="center"/>
          </w:tcPr>
          <w:p w14:paraId="7F75B7C1">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暂定</w:t>
            </w:r>
            <w:r>
              <w:rPr>
                <w:rFonts w:hint="eastAsia" w:ascii="宋体" w:hAnsi="宋体" w:eastAsia="宋体" w:cs="宋体"/>
                <w:color w:val="auto"/>
                <w:sz w:val="24"/>
                <w:szCs w:val="24"/>
              </w:rPr>
              <w:t>金额</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元</w:t>
            </w:r>
            <w:r>
              <w:rPr>
                <w:rFonts w:hint="eastAsia" w:ascii="宋体" w:hAnsi="宋体" w:eastAsia="宋体" w:cs="宋体"/>
                <w:color w:val="auto"/>
                <w:sz w:val="24"/>
                <w:szCs w:val="24"/>
                <w:lang w:eastAsia="zh-CN"/>
              </w:rPr>
              <w:t>）</w:t>
            </w:r>
          </w:p>
        </w:tc>
        <w:tc>
          <w:tcPr>
            <w:tcW w:w="419" w:type="pct"/>
            <w:tcBorders>
              <w:top w:val="single" w:color="auto" w:sz="4" w:space="0"/>
              <w:left w:val="single" w:color="auto" w:sz="4" w:space="0"/>
              <w:bottom w:val="single" w:color="auto" w:sz="4" w:space="0"/>
              <w:right w:val="single" w:color="auto" w:sz="4" w:space="0"/>
            </w:tcBorders>
            <w:noWrap w:val="0"/>
            <w:vAlign w:val="center"/>
          </w:tcPr>
          <w:p w14:paraId="0D8BA3CE">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备注</w:t>
            </w:r>
          </w:p>
        </w:tc>
      </w:tr>
      <w:tr w14:paraId="6715726D">
        <w:tblPrEx>
          <w:tblCellMar>
            <w:top w:w="0" w:type="dxa"/>
            <w:left w:w="108" w:type="dxa"/>
            <w:bottom w:w="0" w:type="dxa"/>
            <w:right w:w="108" w:type="dxa"/>
          </w:tblCellMar>
        </w:tblPrEx>
        <w:trPr>
          <w:trHeight w:val="480" w:hRule="atLeast"/>
          <w:jc w:val="center"/>
        </w:trPr>
        <w:tc>
          <w:tcPr>
            <w:tcW w:w="361" w:type="pct"/>
            <w:tcBorders>
              <w:top w:val="single" w:color="auto" w:sz="4" w:space="0"/>
              <w:left w:val="single" w:color="auto" w:sz="4" w:space="0"/>
              <w:bottom w:val="single" w:color="auto" w:sz="4" w:space="0"/>
              <w:right w:val="single" w:color="auto" w:sz="4" w:space="0"/>
            </w:tcBorders>
            <w:noWrap w:val="0"/>
            <w:vAlign w:val="center"/>
          </w:tcPr>
          <w:p w14:paraId="09C5CAF4">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581" w:type="pct"/>
            <w:tcBorders>
              <w:top w:val="single" w:color="auto" w:sz="4" w:space="0"/>
              <w:left w:val="single" w:color="auto" w:sz="4" w:space="0"/>
              <w:bottom w:val="single" w:color="auto" w:sz="4" w:space="0"/>
              <w:right w:val="single" w:color="auto" w:sz="4" w:space="0"/>
            </w:tcBorders>
            <w:noWrap w:val="0"/>
            <w:vAlign w:val="center"/>
          </w:tcPr>
          <w:p w14:paraId="65A416A7">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14:paraId="4A3D69C2">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14:paraId="0CF4A6F3">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354" w:type="pct"/>
            <w:tcBorders>
              <w:top w:val="single" w:color="auto" w:sz="4" w:space="0"/>
              <w:left w:val="single" w:color="auto" w:sz="4" w:space="0"/>
              <w:bottom w:val="single" w:color="auto" w:sz="4" w:space="0"/>
              <w:right w:val="single" w:color="auto" w:sz="4" w:space="0"/>
            </w:tcBorders>
            <w:noWrap w:val="0"/>
            <w:vAlign w:val="center"/>
          </w:tcPr>
          <w:p w14:paraId="365E9CC7">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459" w:type="pct"/>
            <w:tcBorders>
              <w:top w:val="single" w:color="auto" w:sz="4" w:space="0"/>
              <w:left w:val="single" w:color="auto" w:sz="4" w:space="0"/>
              <w:bottom w:val="single" w:color="auto" w:sz="4" w:space="0"/>
              <w:right w:val="single" w:color="auto" w:sz="4" w:space="0"/>
            </w:tcBorders>
            <w:noWrap w:val="0"/>
            <w:vAlign w:val="center"/>
          </w:tcPr>
          <w:p w14:paraId="79AFABAA">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625" w:type="pct"/>
            <w:tcBorders>
              <w:top w:val="single" w:color="auto" w:sz="4" w:space="0"/>
              <w:left w:val="single" w:color="auto" w:sz="4" w:space="0"/>
              <w:bottom w:val="single" w:color="auto" w:sz="4" w:space="0"/>
              <w:right w:val="single" w:color="auto" w:sz="4" w:space="0"/>
            </w:tcBorders>
            <w:noWrap w:val="0"/>
            <w:vAlign w:val="center"/>
          </w:tcPr>
          <w:p w14:paraId="5467D314">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5AB54869">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858" w:type="pct"/>
            <w:tcBorders>
              <w:top w:val="single" w:color="auto" w:sz="4" w:space="0"/>
              <w:left w:val="single" w:color="auto" w:sz="4" w:space="0"/>
              <w:bottom w:val="single" w:color="auto" w:sz="4" w:space="0"/>
              <w:right w:val="single" w:color="auto" w:sz="4" w:space="0"/>
            </w:tcBorders>
            <w:noWrap w:val="0"/>
            <w:vAlign w:val="center"/>
          </w:tcPr>
          <w:p w14:paraId="19B019C2">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419" w:type="pct"/>
            <w:tcBorders>
              <w:top w:val="single" w:color="auto" w:sz="4" w:space="0"/>
              <w:left w:val="single" w:color="auto" w:sz="4" w:space="0"/>
              <w:bottom w:val="single" w:color="auto" w:sz="4" w:space="0"/>
              <w:right w:val="single" w:color="auto" w:sz="4" w:space="0"/>
            </w:tcBorders>
            <w:noWrap w:val="0"/>
            <w:vAlign w:val="center"/>
          </w:tcPr>
          <w:p w14:paraId="47E471A9">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r>
      <w:tr w14:paraId="3FBF5189">
        <w:tblPrEx>
          <w:tblCellMar>
            <w:top w:w="0" w:type="dxa"/>
            <w:left w:w="108" w:type="dxa"/>
            <w:bottom w:w="0" w:type="dxa"/>
            <w:right w:w="108" w:type="dxa"/>
          </w:tblCellMar>
        </w:tblPrEx>
        <w:trPr>
          <w:trHeight w:val="480" w:hRule="atLeast"/>
          <w:jc w:val="center"/>
        </w:trPr>
        <w:tc>
          <w:tcPr>
            <w:tcW w:w="361" w:type="pct"/>
            <w:tcBorders>
              <w:top w:val="single" w:color="auto" w:sz="4" w:space="0"/>
              <w:left w:val="single" w:color="auto" w:sz="4" w:space="0"/>
              <w:bottom w:val="single" w:color="auto" w:sz="4" w:space="0"/>
              <w:right w:val="single" w:color="auto" w:sz="4" w:space="0"/>
            </w:tcBorders>
            <w:noWrap w:val="0"/>
            <w:vAlign w:val="center"/>
          </w:tcPr>
          <w:p w14:paraId="09C43C60">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581" w:type="pct"/>
            <w:tcBorders>
              <w:top w:val="single" w:color="auto" w:sz="4" w:space="0"/>
              <w:left w:val="single" w:color="auto" w:sz="4" w:space="0"/>
              <w:bottom w:val="single" w:color="auto" w:sz="4" w:space="0"/>
              <w:right w:val="single" w:color="auto" w:sz="4" w:space="0"/>
            </w:tcBorders>
            <w:noWrap w:val="0"/>
            <w:vAlign w:val="center"/>
          </w:tcPr>
          <w:p w14:paraId="47D2E609">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14:paraId="509EA46A">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14:paraId="48095EBF">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354" w:type="pct"/>
            <w:tcBorders>
              <w:top w:val="single" w:color="auto" w:sz="4" w:space="0"/>
              <w:left w:val="single" w:color="auto" w:sz="4" w:space="0"/>
              <w:bottom w:val="single" w:color="auto" w:sz="4" w:space="0"/>
              <w:right w:val="single" w:color="auto" w:sz="4" w:space="0"/>
            </w:tcBorders>
            <w:noWrap w:val="0"/>
            <w:vAlign w:val="center"/>
          </w:tcPr>
          <w:p w14:paraId="0CA98C55">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459" w:type="pct"/>
            <w:tcBorders>
              <w:top w:val="single" w:color="auto" w:sz="4" w:space="0"/>
              <w:left w:val="single" w:color="auto" w:sz="4" w:space="0"/>
              <w:bottom w:val="single" w:color="auto" w:sz="4" w:space="0"/>
              <w:right w:val="single" w:color="auto" w:sz="4" w:space="0"/>
            </w:tcBorders>
            <w:noWrap w:val="0"/>
            <w:vAlign w:val="center"/>
          </w:tcPr>
          <w:p w14:paraId="463DB97A">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625" w:type="pct"/>
            <w:tcBorders>
              <w:top w:val="single" w:color="auto" w:sz="4" w:space="0"/>
              <w:left w:val="single" w:color="auto" w:sz="4" w:space="0"/>
              <w:bottom w:val="single" w:color="auto" w:sz="4" w:space="0"/>
              <w:right w:val="single" w:color="auto" w:sz="4" w:space="0"/>
            </w:tcBorders>
            <w:noWrap w:val="0"/>
            <w:vAlign w:val="center"/>
          </w:tcPr>
          <w:p w14:paraId="198D751C">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7BC15E71">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858" w:type="pct"/>
            <w:tcBorders>
              <w:top w:val="single" w:color="auto" w:sz="4" w:space="0"/>
              <w:left w:val="single" w:color="auto" w:sz="4" w:space="0"/>
              <w:bottom w:val="single" w:color="auto" w:sz="4" w:space="0"/>
              <w:right w:val="single" w:color="auto" w:sz="4" w:space="0"/>
            </w:tcBorders>
            <w:noWrap w:val="0"/>
            <w:vAlign w:val="center"/>
          </w:tcPr>
          <w:p w14:paraId="588D945A">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419" w:type="pct"/>
            <w:tcBorders>
              <w:top w:val="single" w:color="auto" w:sz="4" w:space="0"/>
              <w:left w:val="single" w:color="auto" w:sz="4" w:space="0"/>
              <w:bottom w:val="single" w:color="auto" w:sz="4" w:space="0"/>
              <w:right w:val="single" w:color="auto" w:sz="4" w:space="0"/>
            </w:tcBorders>
            <w:noWrap w:val="0"/>
            <w:vAlign w:val="center"/>
          </w:tcPr>
          <w:p w14:paraId="4ACCA9EA">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r>
      <w:tr w14:paraId="254B8DAD">
        <w:tblPrEx>
          <w:tblCellMar>
            <w:top w:w="0" w:type="dxa"/>
            <w:left w:w="108" w:type="dxa"/>
            <w:bottom w:w="0" w:type="dxa"/>
            <w:right w:w="108" w:type="dxa"/>
          </w:tblCellMar>
        </w:tblPrEx>
        <w:trPr>
          <w:trHeight w:val="480" w:hRule="atLeast"/>
          <w:jc w:val="center"/>
        </w:trPr>
        <w:tc>
          <w:tcPr>
            <w:tcW w:w="361" w:type="pct"/>
            <w:tcBorders>
              <w:top w:val="single" w:color="auto" w:sz="4" w:space="0"/>
              <w:left w:val="single" w:color="auto" w:sz="4" w:space="0"/>
              <w:bottom w:val="single" w:color="auto" w:sz="4" w:space="0"/>
              <w:right w:val="single" w:color="auto" w:sz="4" w:space="0"/>
            </w:tcBorders>
            <w:noWrap w:val="0"/>
            <w:vAlign w:val="center"/>
          </w:tcPr>
          <w:p w14:paraId="30E9604B">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581" w:type="pct"/>
            <w:tcBorders>
              <w:top w:val="single" w:color="auto" w:sz="4" w:space="0"/>
              <w:left w:val="single" w:color="auto" w:sz="4" w:space="0"/>
              <w:bottom w:val="single" w:color="auto" w:sz="4" w:space="0"/>
              <w:right w:val="single" w:color="auto" w:sz="4" w:space="0"/>
            </w:tcBorders>
            <w:noWrap w:val="0"/>
            <w:vAlign w:val="center"/>
          </w:tcPr>
          <w:p w14:paraId="0F61E3BB">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14:paraId="6948D728">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14:paraId="43175F82">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354" w:type="pct"/>
            <w:tcBorders>
              <w:top w:val="single" w:color="auto" w:sz="4" w:space="0"/>
              <w:left w:val="single" w:color="auto" w:sz="4" w:space="0"/>
              <w:bottom w:val="single" w:color="auto" w:sz="4" w:space="0"/>
              <w:right w:val="single" w:color="auto" w:sz="4" w:space="0"/>
            </w:tcBorders>
            <w:noWrap w:val="0"/>
            <w:vAlign w:val="center"/>
          </w:tcPr>
          <w:p w14:paraId="38D72E4F">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459" w:type="pct"/>
            <w:tcBorders>
              <w:top w:val="single" w:color="auto" w:sz="4" w:space="0"/>
              <w:left w:val="single" w:color="auto" w:sz="4" w:space="0"/>
              <w:bottom w:val="single" w:color="auto" w:sz="4" w:space="0"/>
              <w:right w:val="single" w:color="auto" w:sz="4" w:space="0"/>
            </w:tcBorders>
            <w:noWrap w:val="0"/>
            <w:vAlign w:val="center"/>
          </w:tcPr>
          <w:p w14:paraId="5B37A76F">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625" w:type="pct"/>
            <w:tcBorders>
              <w:top w:val="single" w:color="auto" w:sz="4" w:space="0"/>
              <w:left w:val="single" w:color="auto" w:sz="4" w:space="0"/>
              <w:bottom w:val="single" w:color="auto" w:sz="4" w:space="0"/>
              <w:right w:val="single" w:color="auto" w:sz="4" w:space="0"/>
            </w:tcBorders>
            <w:noWrap w:val="0"/>
            <w:vAlign w:val="center"/>
          </w:tcPr>
          <w:p w14:paraId="51A6252E">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76920DEA">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858" w:type="pct"/>
            <w:tcBorders>
              <w:top w:val="single" w:color="auto" w:sz="4" w:space="0"/>
              <w:left w:val="single" w:color="auto" w:sz="4" w:space="0"/>
              <w:bottom w:val="single" w:color="auto" w:sz="4" w:space="0"/>
              <w:right w:val="single" w:color="auto" w:sz="4" w:space="0"/>
            </w:tcBorders>
            <w:noWrap w:val="0"/>
            <w:vAlign w:val="center"/>
          </w:tcPr>
          <w:p w14:paraId="55E278E6">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419" w:type="pct"/>
            <w:tcBorders>
              <w:top w:val="single" w:color="auto" w:sz="4" w:space="0"/>
              <w:left w:val="single" w:color="auto" w:sz="4" w:space="0"/>
              <w:bottom w:val="single" w:color="auto" w:sz="4" w:space="0"/>
              <w:right w:val="single" w:color="auto" w:sz="4" w:space="0"/>
            </w:tcBorders>
            <w:noWrap w:val="0"/>
            <w:vAlign w:val="center"/>
          </w:tcPr>
          <w:p w14:paraId="324F7CB0">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r>
      <w:tr w14:paraId="035598D3">
        <w:tblPrEx>
          <w:tblCellMar>
            <w:top w:w="0" w:type="dxa"/>
            <w:left w:w="108" w:type="dxa"/>
            <w:bottom w:w="0" w:type="dxa"/>
            <w:right w:w="108" w:type="dxa"/>
          </w:tblCellMar>
        </w:tblPrEx>
        <w:trPr>
          <w:trHeight w:val="467" w:hRule="atLeast"/>
          <w:jc w:val="center"/>
        </w:trPr>
        <w:tc>
          <w:tcPr>
            <w:tcW w:w="361" w:type="pct"/>
            <w:tcBorders>
              <w:top w:val="single" w:color="auto" w:sz="4" w:space="0"/>
              <w:left w:val="single" w:color="auto" w:sz="4" w:space="0"/>
              <w:bottom w:val="single" w:color="auto" w:sz="4" w:space="0"/>
              <w:right w:val="single" w:color="auto" w:sz="4" w:space="0"/>
            </w:tcBorders>
            <w:noWrap w:val="0"/>
            <w:vAlign w:val="center"/>
          </w:tcPr>
          <w:p w14:paraId="079010D2">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合计</w:t>
            </w:r>
          </w:p>
        </w:tc>
        <w:tc>
          <w:tcPr>
            <w:tcW w:w="581" w:type="pct"/>
            <w:tcBorders>
              <w:top w:val="single" w:color="auto" w:sz="4" w:space="0"/>
              <w:left w:val="single" w:color="auto" w:sz="4" w:space="0"/>
              <w:bottom w:val="single" w:color="auto" w:sz="4" w:space="0"/>
              <w:right w:val="single" w:color="auto" w:sz="4" w:space="0"/>
            </w:tcBorders>
            <w:noWrap w:val="0"/>
            <w:vAlign w:val="center"/>
          </w:tcPr>
          <w:p w14:paraId="04BC330C">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14:paraId="4B4B4CA0">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371" w:type="pct"/>
            <w:tcBorders>
              <w:top w:val="single" w:color="auto" w:sz="4" w:space="0"/>
              <w:left w:val="single" w:color="auto" w:sz="4" w:space="0"/>
              <w:bottom w:val="single" w:color="auto" w:sz="4" w:space="0"/>
              <w:right w:val="single" w:color="auto" w:sz="4" w:space="0"/>
            </w:tcBorders>
            <w:noWrap w:val="0"/>
            <w:vAlign w:val="center"/>
          </w:tcPr>
          <w:p w14:paraId="52948D0E">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354" w:type="pct"/>
            <w:tcBorders>
              <w:top w:val="single" w:color="auto" w:sz="4" w:space="0"/>
              <w:left w:val="single" w:color="auto" w:sz="4" w:space="0"/>
              <w:bottom w:val="single" w:color="auto" w:sz="4" w:space="0"/>
              <w:right w:val="single" w:color="auto" w:sz="4" w:space="0"/>
            </w:tcBorders>
            <w:noWrap w:val="0"/>
            <w:vAlign w:val="center"/>
          </w:tcPr>
          <w:p w14:paraId="14835F34">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459" w:type="pct"/>
            <w:tcBorders>
              <w:top w:val="single" w:color="auto" w:sz="4" w:space="0"/>
              <w:left w:val="single" w:color="auto" w:sz="4" w:space="0"/>
              <w:bottom w:val="single" w:color="auto" w:sz="4" w:space="0"/>
              <w:right w:val="single" w:color="auto" w:sz="4" w:space="0"/>
            </w:tcBorders>
            <w:noWrap w:val="0"/>
            <w:vAlign w:val="center"/>
          </w:tcPr>
          <w:p w14:paraId="62F3B8FD">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625" w:type="pct"/>
            <w:tcBorders>
              <w:top w:val="single" w:color="auto" w:sz="4" w:space="0"/>
              <w:left w:val="single" w:color="auto" w:sz="4" w:space="0"/>
              <w:bottom w:val="single" w:color="auto" w:sz="4" w:space="0"/>
              <w:right w:val="single" w:color="auto" w:sz="4" w:space="0"/>
            </w:tcBorders>
            <w:noWrap w:val="0"/>
            <w:vAlign w:val="center"/>
          </w:tcPr>
          <w:p w14:paraId="0F4CD462">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597" w:type="pct"/>
            <w:tcBorders>
              <w:top w:val="single" w:color="auto" w:sz="4" w:space="0"/>
              <w:left w:val="single" w:color="auto" w:sz="4" w:space="0"/>
              <w:bottom w:val="single" w:color="auto" w:sz="4" w:space="0"/>
              <w:right w:val="single" w:color="auto" w:sz="4" w:space="0"/>
            </w:tcBorders>
            <w:noWrap w:val="0"/>
            <w:vAlign w:val="center"/>
          </w:tcPr>
          <w:p w14:paraId="75137996">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c>
          <w:tcPr>
            <w:tcW w:w="858" w:type="pct"/>
            <w:tcBorders>
              <w:top w:val="single" w:color="auto" w:sz="4" w:space="0"/>
              <w:left w:val="single" w:color="auto" w:sz="4" w:space="0"/>
              <w:bottom w:val="single" w:color="auto" w:sz="4" w:space="0"/>
              <w:right w:val="single" w:color="auto" w:sz="4" w:space="0"/>
            </w:tcBorders>
            <w:noWrap w:val="0"/>
            <w:vAlign w:val="center"/>
          </w:tcPr>
          <w:p w14:paraId="2D96DF9E">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lang w:val="en-US" w:eastAsia="zh-CN"/>
              </w:rPr>
            </w:pPr>
          </w:p>
        </w:tc>
        <w:tc>
          <w:tcPr>
            <w:tcW w:w="419" w:type="pct"/>
            <w:tcBorders>
              <w:top w:val="single" w:color="auto" w:sz="4" w:space="0"/>
              <w:left w:val="single" w:color="auto" w:sz="4" w:space="0"/>
              <w:bottom w:val="single" w:color="auto" w:sz="4" w:space="0"/>
              <w:right w:val="single" w:color="auto" w:sz="4" w:space="0"/>
            </w:tcBorders>
            <w:noWrap w:val="0"/>
            <w:vAlign w:val="center"/>
          </w:tcPr>
          <w:p w14:paraId="7F66C7DF">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r>
      <w:tr w14:paraId="42030149">
        <w:tblPrEx>
          <w:tblCellMar>
            <w:top w:w="0" w:type="dxa"/>
            <w:left w:w="108" w:type="dxa"/>
            <w:bottom w:w="0" w:type="dxa"/>
            <w:right w:w="108" w:type="dxa"/>
          </w:tblCellMar>
        </w:tblPrEx>
        <w:trPr>
          <w:trHeight w:val="480" w:hRule="atLeast"/>
          <w:jc w:val="center"/>
        </w:trPr>
        <w:tc>
          <w:tcPr>
            <w:tcW w:w="5000" w:type="pct"/>
            <w:gridSpan w:val="10"/>
            <w:tcBorders>
              <w:top w:val="single" w:color="auto" w:sz="4" w:space="0"/>
              <w:left w:val="single" w:color="auto" w:sz="4" w:space="0"/>
              <w:bottom w:val="single" w:color="auto" w:sz="4" w:space="0"/>
              <w:right w:val="single" w:color="auto" w:sz="4" w:space="0"/>
            </w:tcBorders>
            <w:noWrap w:val="0"/>
            <w:vAlign w:val="center"/>
          </w:tcPr>
          <w:p w14:paraId="0FCA21E1">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暂定</w:t>
            </w:r>
            <w:r>
              <w:rPr>
                <w:rFonts w:hint="eastAsia" w:ascii="宋体" w:hAnsi="宋体" w:eastAsia="宋体" w:cs="宋体"/>
                <w:color w:val="auto"/>
                <w:sz w:val="24"/>
                <w:szCs w:val="24"/>
              </w:rPr>
              <w:t>含税总价</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人民币（大写）：</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元整（¥：</w:t>
            </w:r>
            <w:r>
              <w:rPr>
                <w:rFonts w:hint="eastAsia" w:ascii="宋体" w:hAnsi="宋体" w:eastAsia="宋体" w:cs="宋体"/>
                <w:color w:val="auto"/>
                <w:sz w:val="24"/>
                <w:szCs w:val="24"/>
                <w:lang w:val="en-US" w:eastAsia="zh-CN"/>
              </w:rPr>
              <w:t>000</w:t>
            </w:r>
            <w:r>
              <w:rPr>
                <w:rFonts w:hint="eastAsia" w:ascii="宋体" w:hAnsi="宋体" w:eastAsia="宋体" w:cs="宋体"/>
                <w:color w:val="auto"/>
                <w:sz w:val="24"/>
                <w:szCs w:val="24"/>
              </w:rPr>
              <w:t>.00元）</w:t>
            </w:r>
            <w:r>
              <w:rPr>
                <w:rFonts w:hint="eastAsia" w:ascii="宋体" w:hAnsi="宋体" w:eastAsia="宋体" w:cs="宋体"/>
                <w:color w:val="auto"/>
                <w:sz w:val="24"/>
                <w:szCs w:val="24"/>
                <w:lang w:eastAsia="zh-CN"/>
              </w:rPr>
              <w:t>。</w:t>
            </w:r>
          </w:p>
          <w:p w14:paraId="27309455">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其中：</w:t>
            </w:r>
          </w:p>
          <w:p w14:paraId="216613B0">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暂定</w:t>
            </w:r>
            <w:r>
              <w:rPr>
                <w:rFonts w:hint="eastAsia" w:ascii="宋体" w:hAnsi="宋体" w:eastAsia="宋体" w:cs="宋体"/>
                <w:color w:val="auto"/>
                <w:sz w:val="24"/>
                <w:szCs w:val="24"/>
              </w:rPr>
              <w:t>不含税总价</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人民币（大写）：</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元整（¥：</w:t>
            </w:r>
            <w:r>
              <w:rPr>
                <w:rFonts w:hint="eastAsia" w:ascii="宋体" w:hAnsi="宋体" w:eastAsia="宋体" w:cs="宋体"/>
                <w:color w:val="auto"/>
                <w:sz w:val="24"/>
                <w:szCs w:val="24"/>
                <w:lang w:val="en-US" w:eastAsia="zh-CN"/>
              </w:rPr>
              <w:t>000</w:t>
            </w:r>
            <w:r>
              <w:rPr>
                <w:rFonts w:hint="eastAsia" w:ascii="宋体" w:hAnsi="宋体" w:eastAsia="宋体" w:cs="宋体"/>
                <w:color w:val="auto"/>
                <w:sz w:val="24"/>
                <w:szCs w:val="24"/>
              </w:rPr>
              <w:t>.00元）；</w:t>
            </w:r>
          </w:p>
          <w:p w14:paraId="01F23DC6">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暂定</w:t>
            </w:r>
            <w:r>
              <w:rPr>
                <w:rFonts w:hint="eastAsia" w:ascii="宋体" w:hAnsi="宋体" w:eastAsia="宋体" w:cs="宋体"/>
                <w:color w:val="auto"/>
                <w:sz w:val="24"/>
                <w:szCs w:val="24"/>
              </w:rPr>
              <w:t>税费金额</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人民币（大写）：</w:t>
            </w:r>
            <w:r>
              <w:rPr>
                <w:rFonts w:hint="eastAsia" w:ascii="宋体" w:hAnsi="宋体" w:eastAsia="宋体" w:cs="宋体"/>
                <w:color w:val="auto"/>
                <w:sz w:val="24"/>
                <w:szCs w:val="24"/>
                <w:lang w:val="en-US" w:eastAsia="zh-CN"/>
              </w:rPr>
              <w:t xml:space="preserve">           </w:t>
            </w:r>
            <w:r>
              <w:rPr>
                <w:rFonts w:hint="eastAsia" w:ascii="宋体" w:hAnsi="宋体" w:eastAsia="宋体" w:cs="宋体"/>
                <w:color w:val="auto"/>
                <w:sz w:val="24"/>
                <w:szCs w:val="24"/>
              </w:rPr>
              <w:t>元整（¥：</w:t>
            </w:r>
            <w:r>
              <w:rPr>
                <w:rFonts w:hint="eastAsia" w:ascii="宋体" w:hAnsi="宋体" w:eastAsia="宋体" w:cs="宋体"/>
                <w:color w:val="auto"/>
                <w:sz w:val="24"/>
                <w:szCs w:val="24"/>
                <w:lang w:val="en-US" w:eastAsia="zh-CN"/>
              </w:rPr>
              <w:t>000</w:t>
            </w:r>
            <w:r>
              <w:rPr>
                <w:rFonts w:hint="eastAsia" w:ascii="宋体" w:hAnsi="宋体" w:eastAsia="宋体" w:cs="宋体"/>
                <w:color w:val="auto"/>
                <w:sz w:val="24"/>
                <w:szCs w:val="24"/>
              </w:rPr>
              <w:t>.00元）。</w:t>
            </w:r>
          </w:p>
          <w:p w14:paraId="18198507">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若相关政府部门调整增值税税率的，则前述</w:t>
            </w:r>
            <w:r>
              <w:rPr>
                <w:rFonts w:hint="eastAsia" w:ascii="宋体" w:hAnsi="宋体" w:eastAsia="宋体" w:cs="宋体"/>
                <w:color w:val="auto"/>
                <w:sz w:val="24"/>
                <w:szCs w:val="24"/>
                <w:lang w:val="en-US" w:eastAsia="zh-CN"/>
              </w:rPr>
              <w:t>暂定</w:t>
            </w:r>
            <w:r>
              <w:rPr>
                <w:rFonts w:hint="eastAsia" w:ascii="宋体" w:hAnsi="宋体" w:eastAsia="宋体" w:cs="宋体"/>
                <w:color w:val="auto"/>
                <w:sz w:val="24"/>
                <w:szCs w:val="24"/>
              </w:rPr>
              <w:t>不含税</w:t>
            </w:r>
            <w:r>
              <w:rPr>
                <w:rFonts w:hint="eastAsia" w:ascii="宋体" w:hAnsi="宋体" w:eastAsia="宋体" w:cs="宋体"/>
                <w:color w:val="auto"/>
                <w:sz w:val="24"/>
                <w:szCs w:val="24"/>
                <w:lang w:val="en-US" w:eastAsia="zh-CN"/>
              </w:rPr>
              <w:t>总价</w:t>
            </w:r>
            <w:r>
              <w:rPr>
                <w:rFonts w:hint="eastAsia" w:ascii="宋体" w:hAnsi="宋体" w:eastAsia="宋体" w:cs="宋体"/>
                <w:color w:val="auto"/>
                <w:sz w:val="24"/>
                <w:szCs w:val="24"/>
              </w:rPr>
              <w:t>不变，</w:t>
            </w:r>
            <w:r>
              <w:rPr>
                <w:rFonts w:hint="eastAsia" w:ascii="宋体" w:hAnsi="宋体" w:eastAsia="宋体" w:cs="宋体"/>
                <w:color w:val="auto"/>
                <w:sz w:val="24"/>
                <w:szCs w:val="24"/>
                <w:lang w:eastAsia="zh-CN"/>
              </w:rPr>
              <w:t>暂定</w:t>
            </w:r>
            <w:r>
              <w:rPr>
                <w:rFonts w:hint="eastAsia" w:ascii="宋体" w:hAnsi="宋体" w:eastAsia="宋体" w:cs="宋体"/>
                <w:color w:val="auto"/>
                <w:sz w:val="24"/>
                <w:szCs w:val="24"/>
              </w:rPr>
              <w:t>税费金额及</w:t>
            </w:r>
            <w:r>
              <w:rPr>
                <w:rFonts w:hint="eastAsia" w:ascii="宋体" w:hAnsi="宋体" w:eastAsia="宋体" w:cs="宋体"/>
                <w:color w:val="auto"/>
                <w:sz w:val="24"/>
                <w:szCs w:val="24"/>
                <w:lang w:eastAsia="zh-CN"/>
              </w:rPr>
              <w:t>暂定</w:t>
            </w:r>
            <w:r>
              <w:rPr>
                <w:rFonts w:hint="eastAsia" w:ascii="宋体" w:hAnsi="宋体" w:eastAsia="宋体" w:cs="宋体"/>
                <w:color w:val="auto"/>
                <w:sz w:val="24"/>
                <w:szCs w:val="24"/>
                <w:lang w:val="en-US" w:eastAsia="zh-CN"/>
              </w:rPr>
              <w:t>含税</w:t>
            </w:r>
            <w:r>
              <w:rPr>
                <w:rFonts w:hint="eastAsia" w:ascii="宋体" w:hAnsi="宋体" w:eastAsia="宋体" w:cs="宋体"/>
                <w:color w:val="auto"/>
                <w:sz w:val="24"/>
                <w:szCs w:val="24"/>
              </w:rPr>
              <w:t>总价按照调整后的增值税税率相应调整。</w:t>
            </w:r>
          </w:p>
        </w:tc>
      </w:tr>
    </w:tbl>
    <w:p w14:paraId="4D6C754E">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上述单价为综合单价，已包括物资款、运输费、装卸车费、利润、风险费以及乙方因出售该物资应该缴纳的一切税费等全部费用。</w:t>
      </w:r>
    </w:p>
    <w:p w14:paraId="76D77D11">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本合同签订之日起</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日内，乙方需向甲方缴纳履约保证金</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元，该履约保证金于本合同甲乙双方权利义务履约完毕后无息退还乙方。乙方未按照合同约定支付履约保证金的，视为乙方违约，甲方有权要求乙方按照合同标的的百分之三十支付违约金。</w:t>
      </w:r>
    </w:p>
    <w:p w14:paraId="7AFF4078">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甲方</w:t>
      </w:r>
      <w:r>
        <w:rPr>
          <w:rFonts w:hint="eastAsia" w:ascii="宋体" w:hAnsi="宋体" w:eastAsia="宋体" w:cs="宋体"/>
          <w:color w:val="auto"/>
          <w:sz w:val="24"/>
          <w:szCs w:val="24"/>
        </w:rPr>
        <w:t>指定</w:t>
      </w:r>
      <w:r>
        <w:rPr>
          <w:rFonts w:hint="eastAsia" w:ascii="宋体" w:hAnsi="宋体" w:eastAsia="宋体" w:cs="宋体"/>
          <w:color w:val="auto"/>
          <w:sz w:val="24"/>
          <w:szCs w:val="24"/>
          <w:lang w:val="en-US" w:eastAsia="zh-CN"/>
        </w:rPr>
        <w:t>收款</w:t>
      </w:r>
      <w:r>
        <w:rPr>
          <w:rFonts w:hint="eastAsia" w:ascii="宋体" w:hAnsi="宋体" w:eastAsia="宋体" w:cs="宋体"/>
          <w:color w:val="auto"/>
          <w:sz w:val="24"/>
          <w:szCs w:val="24"/>
        </w:rPr>
        <w:t>账户：</w:t>
      </w:r>
    </w:p>
    <w:tbl>
      <w:tblPr>
        <w:tblStyle w:val="14"/>
        <w:tblW w:w="83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0"/>
        <w:gridCol w:w="6413"/>
      </w:tblGrid>
      <w:tr w14:paraId="78747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90" w:type="dxa"/>
            <w:noWrap w:val="0"/>
            <w:vAlign w:val="center"/>
          </w:tcPr>
          <w:p w14:paraId="306C11AD">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账户名称</w:t>
            </w:r>
          </w:p>
        </w:tc>
        <w:tc>
          <w:tcPr>
            <w:tcW w:w="6413" w:type="dxa"/>
            <w:noWrap w:val="0"/>
            <w:vAlign w:val="top"/>
          </w:tcPr>
          <w:p w14:paraId="34D29E0A">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r>
      <w:tr w14:paraId="0570F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90" w:type="dxa"/>
            <w:noWrap w:val="0"/>
            <w:vAlign w:val="center"/>
          </w:tcPr>
          <w:p w14:paraId="3EE5B786">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开户行</w:t>
            </w:r>
          </w:p>
        </w:tc>
        <w:tc>
          <w:tcPr>
            <w:tcW w:w="6413" w:type="dxa"/>
            <w:noWrap w:val="0"/>
            <w:vAlign w:val="top"/>
          </w:tcPr>
          <w:p w14:paraId="11271B8C">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r>
      <w:tr w14:paraId="7A8FA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90" w:type="dxa"/>
            <w:noWrap w:val="0"/>
            <w:vAlign w:val="center"/>
          </w:tcPr>
          <w:p w14:paraId="5E3058BF">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账号</w:t>
            </w:r>
          </w:p>
        </w:tc>
        <w:tc>
          <w:tcPr>
            <w:tcW w:w="6413" w:type="dxa"/>
            <w:noWrap w:val="0"/>
            <w:vAlign w:val="top"/>
          </w:tcPr>
          <w:p w14:paraId="44E2EC6F">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r>
    </w:tbl>
    <w:p w14:paraId="40D5A93D">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rPr>
        <w:t>第</w:t>
      </w:r>
      <w:r>
        <w:rPr>
          <w:rFonts w:hint="eastAsia" w:ascii="宋体" w:hAnsi="宋体" w:eastAsia="宋体" w:cs="宋体"/>
          <w:b/>
          <w:bCs/>
          <w:color w:val="auto"/>
          <w:sz w:val="24"/>
          <w:szCs w:val="24"/>
          <w:lang w:val="en-US" w:eastAsia="zh-CN"/>
        </w:rPr>
        <w:t>三</w:t>
      </w:r>
      <w:r>
        <w:rPr>
          <w:rFonts w:hint="eastAsia" w:ascii="宋体" w:hAnsi="宋体" w:eastAsia="宋体" w:cs="宋体"/>
          <w:b/>
          <w:bCs/>
          <w:color w:val="auto"/>
          <w:sz w:val="24"/>
          <w:szCs w:val="24"/>
        </w:rPr>
        <w:t>条</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产品质量要求</w:t>
      </w:r>
      <w:r>
        <w:rPr>
          <w:rFonts w:hint="eastAsia" w:ascii="宋体" w:hAnsi="宋体" w:eastAsia="宋体" w:cs="宋体"/>
          <w:b/>
          <w:bCs/>
          <w:color w:val="auto"/>
          <w:sz w:val="24"/>
          <w:szCs w:val="24"/>
          <w:lang w:eastAsia="zh-CN"/>
        </w:rPr>
        <w:t>、</w:t>
      </w:r>
      <w:r>
        <w:rPr>
          <w:rFonts w:hint="eastAsia" w:ascii="宋体" w:hAnsi="宋体" w:eastAsia="宋体" w:cs="宋体"/>
          <w:b/>
          <w:bCs/>
          <w:color w:val="auto"/>
          <w:sz w:val="24"/>
          <w:szCs w:val="24"/>
          <w:lang w:val="en-US" w:eastAsia="zh-CN"/>
        </w:rPr>
        <w:t>保修维保服务、其他要求</w:t>
      </w:r>
    </w:p>
    <w:p w14:paraId="06354C3C">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一</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乙方交付货物质量应符合国家现行的最新标准，若有地方标准或企业标准高于国家标准，以更高的标准为准，确保供应材料的质量满足</w:t>
      </w:r>
      <w:r>
        <w:rPr>
          <w:rFonts w:hint="eastAsia" w:ascii="宋体" w:hAnsi="宋体" w:eastAsia="宋体" w:cs="宋体"/>
          <w:color w:val="auto"/>
          <w:sz w:val="24"/>
          <w:szCs w:val="24"/>
          <w:lang w:val="en-US" w:eastAsia="zh-CN"/>
        </w:rPr>
        <w:t>甲方正常</w:t>
      </w:r>
      <w:r>
        <w:rPr>
          <w:rFonts w:hint="eastAsia" w:ascii="宋体" w:hAnsi="宋体" w:eastAsia="宋体" w:cs="宋体"/>
          <w:color w:val="auto"/>
          <w:sz w:val="24"/>
          <w:szCs w:val="24"/>
        </w:rPr>
        <w:t>使用要求。</w:t>
      </w:r>
    </w:p>
    <w:p w14:paraId="49CF4A39">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（二）</w:t>
      </w:r>
      <w:r>
        <w:rPr>
          <w:rFonts w:hint="eastAsia" w:ascii="宋体" w:hAnsi="宋体" w:eastAsia="宋体" w:cs="宋体"/>
          <w:color w:val="auto"/>
          <w:sz w:val="24"/>
          <w:szCs w:val="24"/>
        </w:rPr>
        <w:t>产品质量</w:t>
      </w:r>
      <w:r>
        <w:rPr>
          <w:rFonts w:hint="eastAsia" w:ascii="宋体" w:hAnsi="宋体" w:eastAsia="宋体" w:cs="宋体"/>
          <w:color w:val="auto"/>
          <w:sz w:val="24"/>
          <w:szCs w:val="24"/>
          <w:lang w:val="en-US" w:eastAsia="zh-CN"/>
        </w:rPr>
        <w:t>保修期、售后维保服务：</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w:t>
      </w:r>
    </w:p>
    <w:p w14:paraId="4CAB26F5">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（三）其他要求：</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w:t>
      </w:r>
    </w:p>
    <w:p w14:paraId="669C187E">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u w:val="single"/>
          <w:lang w:val="en-US" w:eastAsia="zh-CN"/>
        </w:rPr>
      </w:pPr>
      <w:r>
        <w:rPr>
          <w:rFonts w:hint="eastAsia" w:ascii="宋体" w:hAnsi="宋体" w:eastAsia="宋体" w:cs="宋体"/>
          <w:b/>
          <w:bCs/>
          <w:color w:val="auto"/>
          <w:sz w:val="24"/>
          <w:szCs w:val="24"/>
          <w:u w:val="single"/>
          <w:lang w:val="en-US" w:eastAsia="zh-CN"/>
        </w:rPr>
        <w:t>例如：（以下文本供参考，具体要求以合同标的需要进行约定）</w:t>
      </w:r>
    </w:p>
    <w:p w14:paraId="28C27C82">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u w:val="single"/>
          <w:lang w:val="en-US" w:eastAsia="zh-CN"/>
        </w:rPr>
        <w:t>（1）质量保证范围：保修期内，非因操作不当造成要更换的零配件及货物由乙方负责保修、保换。</w:t>
      </w:r>
    </w:p>
    <w:p w14:paraId="59D15B3D">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u w:val="single"/>
          <w:lang w:val="en-US" w:eastAsia="zh-CN"/>
        </w:rPr>
        <w:t>（2）本合同乙方所供应的货物质量保证期自验收合格之日起3年。</w:t>
      </w:r>
    </w:p>
    <w:p w14:paraId="682293EC">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u w:val="single"/>
          <w:lang w:val="en-US" w:eastAsia="zh-CN"/>
        </w:rPr>
        <w:t>（3）售后服务约定具体如下：</w:t>
      </w:r>
    </w:p>
    <w:p w14:paraId="6852E3F7">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u w:val="single"/>
          <w:lang w:val="en-US" w:eastAsia="zh-CN"/>
        </w:rPr>
        <w:t>①在免费保修期内产品发生故障乙方免费提供咨询、更换损坏的零件和维修服务。</w:t>
      </w:r>
    </w:p>
    <w:p w14:paraId="42DAFD50">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u w:val="single"/>
          <w:lang w:val="en-US" w:eastAsia="zh-CN"/>
        </w:rPr>
        <w:t>②保修期内，非因操作不当造成要更换的零配件及货物由乙方负责保修、保换。保修期内发生故障报修，乙方接到报修通知，到达现场维修响应时间为8小时以内，乙方及时 调查并找出故障原因，24小时内修复或者免费更换整个或部分有故障的产品，直至满足本项目的指标和性能的要求。</w:t>
      </w:r>
    </w:p>
    <w:p w14:paraId="665CDA13">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highlight w:val="yellow"/>
          <w:u w:val="single"/>
        </w:rPr>
      </w:pPr>
      <w:r>
        <w:rPr>
          <w:rFonts w:hint="eastAsia" w:ascii="宋体" w:hAnsi="宋体" w:eastAsia="宋体" w:cs="宋体"/>
          <w:color w:val="auto"/>
          <w:sz w:val="24"/>
          <w:szCs w:val="24"/>
          <w:highlight w:val="none"/>
          <w:u w:val="single"/>
          <w:lang w:val="en-US" w:eastAsia="zh-CN"/>
        </w:rPr>
        <w:t>③质保期结束后，如需要更换配件，只收取成本费；乙方仍应负责对设备提供终身维护服务。服务三包，包运输、包安装、包售后服务。保修期外发生故障报修，乙方接到报修通知，到达现场维修响应时间为24小时以内，乙方及时调查并找出故障原因，48小时内修复或者更换整个或部分有故障的产品，直至满足本项目的指标和性能的要求。</w:t>
      </w:r>
    </w:p>
    <w:p w14:paraId="09A60DE0">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第</w:t>
      </w:r>
      <w:r>
        <w:rPr>
          <w:rFonts w:hint="eastAsia" w:ascii="宋体" w:hAnsi="宋体" w:eastAsia="宋体" w:cs="宋体"/>
          <w:b/>
          <w:bCs/>
          <w:color w:val="auto"/>
          <w:sz w:val="24"/>
          <w:szCs w:val="24"/>
          <w:lang w:val="en-US" w:eastAsia="zh-CN"/>
        </w:rPr>
        <w:t>四</w:t>
      </w:r>
      <w:r>
        <w:rPr>
          <w:rFonts w:hint="eastAsia" w:ascii="宋体" w:hAnsi="宋体" w:eastAsia="宋体" w:cs="宋体"/>
          <w:b/>
          <w:bCs/>
          <w:color w:val="auto"/>
          <w:sz w:val="24"/>
          <w:szCs w:val="24"/>
        </w:rPr>
        <w:t>条</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交付时间、地点</w:t>
      </w:r>
    </w:p>
    <w:p w14:paraId="41B96830">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（一）交货时间：</w:t>
      </w:r>
      <w:r>
        <w:rPr>
          <w:rFonts w:hint="eastAsia" w:ascii="宋体" w:hAnsi="宋体" w:eastAsia="宋体" w:cs="宋体"/>
          <w:color w:val="auto"/>
          <w:sz w:val="24"/>
          <w:szCs w:val="24"/>
          <w:lang w:val="en-US" w:eastAsia="zh-CN"/>
        </w:rPr>
        <w:t>本合同签订</w:t>
      </w:r>
      <w:r>
        <w:rPr>
          <w:rFonts w:hint="eastAsia" w:ascii="宋体" w:hAnsi="宋体" w:eastAsia="宋体" w:cs="宋体"/>
          <w:color w:val="auto"/>
          <w:sz w:val="24"/>
          <w:szCs w:val="24"/>
        </w:rPr>
        <w:t>之日起</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日内交货。</w:t>
      </w:r>
    </w:p>
    <w:p w14:paraId="2E0FF75D">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（二）交货地点：</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w:t>
      </w:r>
    </w:p>
    <w:p w14:paraId="18EBFE52">
      <w:pPr>
        <w:pStyle w:val="12"/>
        <w:keepNext w:val="0"/>
        <w:keepLines w:val="0"/>
        <w:pageBreakBefore w:val="0"/>
        <w:widowControl w:val="0"/>
        <w:kinsoku/>
        <w:wordWrap/>
        <w:overflowPunct/>
        <w:topLinePunct w:val="0"/>
        <w:autoSpaceDE/>
        <w:autoSpaceDN/>
        <w:bidi w:val="0"/>
        <w:adjustRightInd/>
        <w:snapToGrid/>
        <w:spacing w:line="520" w:lineRule="exact"/>
        <w:ind w:left="0" w:leftChars="0" w:firstLine="464" w:firstLineChars="200"/>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color w:val="auto"/>
          <w:sz w:val="24"/>
          <w:szCs w:val="24"/>
          <w:lang w:val="en-US" w:eastAsia="zh-CN"/>
        </w:rPr>
        <w:t>（三）交货条件：货物验收合格。</w:t>
      </w:r>
    </w:p>
    <w:p w14:paraId="3A4F76A3">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第</w:t>
      </w:r>
      <w:r>
        <w:rPr>
          <w:rFonts w:hint="eastAsia" w:ascii="宋体" w:hAnsi="宋体" w:eastAsia="宋体" w:cs="宋体"/>
          <w:b/>
          <w:bCs/>
          <w:color w:val="auto"/>
          <w:sz w:val="24"/>
          <w:szCs w:val="24"/>
          <w:lang w:val="en-US" w:eastAsia="zh-CN"/>
        </w:rPr>
        <w:t>五</w:t>
      </w:r>
      <w:r>
        <w:rPr>
          <w:rFonts w:hint="eastAsia" w:ascii="宋体" w:hAnsi="宋体" w:eastAsia="宋体" w:cs="宋体"/>
          <w:b/>
          <w:bCs/>
          <w:color w:val="auto"/>
          <w:sz w:val="24"/>
          <w:szCs w:val="24"/>
        </w:rPr>
        <w:t>条</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货物质量保证、验收</w:t>
      </w:r>
    </w:p>
    <w:p w14:paraId="5B92B197">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（一）乙方保证严格按照磋商文件、响应文件</w:t>
      </w:r>
      <w:r>
        <w:rPr>
          <w:rFonts w:hint="eastAsia" w:ascii="宋体" w:hAnsi="宋体" w:eastAsia="宋体" w:cs="宋体"/>
          <w:color w:val="auto"/>
          <w:sz w:val="24"/>
          <w:szCs w:val="24"/>
          <w:lang w:eastAsia="zh-CN"/>
        </w:rPr>
        <w:t>、投标文件</w:t>
      </w:r>
      <w:r>
        <w:rPr>
          <w:rFonts w:hint="eastAsia" w:ascii="宋体" w:hAnsi="宋体" w:eastAsia="宋体" w:cs="宋体"/>
          <w:color w:val="auto"/>
          <w:sz w:val="24"/>
          <w:szCs w:val="24"/>
          <w:lang w:val="en-US" w:eastAsia="zh-CN"/>
        </w:rPr>
        <w:t>及本</w:t>
      </w:r>
      <w:r>
        <w:rPr>
          <w:rFonts w:hint="eastAsia" w:ascii="宋体" w:hAnsi="宋体" w:eastAsia="宋体" w:cs="宋体"/>
          <w:color w:val="auto"/>
          <w:sz w:val="24"/>
          <w:szCs w:val="24"/>
        </w:rPr>
        <w:t>合同</w:t>
      </w:r>
      <w:r>
        <w:rPr>
          <w:rFonts w:hint="eastAsia" w:ascii="宋体" w:hAnsi="宋体" w:eastAsia="宋体" w:cs="宋体"/>
          <w:color w:val="auto"/>
          <w:sz w:val="24"/>
          <w:szCs w:val="24"/>
          <w:lang w:val="en-US" w:eastAsia="zh-CN"/>
        </w:rPr>
        <w:t>约定</w:t>
      </w:r>
      <w:r>
        <w:rPr>
          <w:rFonts w:hint="eastAsia" w:ascii="宋体" w:hAnsi="宋体" w:eastAsia="宋体" w:cs="宋体"/>
          <w:color w:val="auto"/>
          <w:sz w:val="24"/>
          <w:szCs w:val="24"/>
        </w:rPr>
        <w:t>供货，保证合同项下货物是全新的合格产品，并完全符合</w:t>
      </w:r>
      <w:r>
        <w:rPr>
          <w:rFonts w:hint="eastAsia" w:ascii="宋体" w:hAnsi="宋体" w:eastAsia="宋体" w:cs="宋体"/>
          <w:color w:val="auto"/>
          <w:sz w:val="24"/>
          <w:szCs w:val="24"/>
          <w:lang w:val="en-US" w:eastAsia="zh-CN"/>
        </w:rPr>
        <w:t>约</w:t>
      </w:r>
      <w:r>
        <w:rPr>
          <w:rFonts w:hint="eastAsia" w:ascii="宋体" w:hAnsi="宋体" w:eastAsia="宋体" w:cs="宋体"/>
          <w:color w:val="auto"/>
          <w:sz w:val="24"/>
          <w:szCs w:val="24"/>
        </w:rPr>
        <w:t>定的质量、规格、性能和技术标准要求。若乙方交付货物有任何缺陷，乙方必须承担由此产生的一切经济责任。</w:t>
      </w:r>
    </w:p>
    <w:p w14:paraId="17D7E430">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二）乙方提供的全部货物均应采用标准保护措施进行包装，除采购文件中的采购需求另有要求外，乙方所提供的货物包装应当参照财政部办公厅等联合印发的关于印发《商品包装政府采购需求标准（试行）》、《快递包装政府采购需求标准（试行）》的通知</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财办库〔2020〕123号</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要求，包装应适用于远距离运输、防潮、防震、防锈和防野蛮装卸等要求，确保货物安全无损运抵现场。由于包装、运输、安装、调试等</w:t>
      </w:r>
      <w:r>
        <w:rPr>
          <w:rFonts w:hint="eastAsia" w:ascii="宋体" w:hAnsi="宋体" w:eastAsia="宋体" w:cs="宋体"/>
          <w:color w:val="auto"/>
          <w:sz w:val="24"/>
          <w:szCs w:val="24"/>
          <w:lang w:eastAsia="zh-CN"/>
        </w:rPr>
        <w:t>原因</w:t>
      </w:r>
      <w:r>
        <w:rPr>
          <w:rFonts w:hint="eastAsia" w:ascii="宋体" w:hAnsi="宋体" w:eastAsia="宋体" w:cs="宋体"/>
          <w:color w:val="auto"/>
          <w:sz w:val="24"/>
          <w:szCs w:val="24"/>
        </w:rPr>
        <w:t>所引起的货物损坏或损失均由乙方承担</w:t>
      </w:r>
      <w:r>
        <w:rPr>
          <w:rFonts w:hint="eastAsia" w:ascii="宋体" w:hAnsi="宋体" w:eastAsia="宋体" w:cs="宋体"/>
          <w:color w:val="auto"/>
          <w:sz w:val="24"/>
          <w:szCs w:val="24"/>
          <w:lang w:eastAsia="zh-CN"/>
        </w:rPr>
        <w:t>。</w:t>
      </w:r>
    </w:p>
    <w:p w14:paraId="7E4F49F6">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（三）乙方交付货物时，必须提供有关的产品说明书、保修卡、质量保证书等相关资料和原配的附件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质量证明书原件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若有</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随货提供装车时的磅码单原件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若有</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供货清单</w:t>
      </w:r>
      <w:r>
        <w:rPr>
          <w:rFonts w:hint="eastAsia" w:ascii="宋体" w:hAnsi="宋体" w:eastAsia="宋体" w:cs="宋体"/>
          <w:color w:val="auto"/>
          <w:sz w:val="24"/>
          <w:szCs w:val="24"/>
          <w:lang w:val="en-US" w:eastAsia="zh-CN"/>
        </w:rPr>
        <w:t>等相关货物资料文件，原装进口产品（设备）交货时须提供中文产品说明书、保修卡、质量保证书、装箱单、商检证明等资料。制造编号与包装箱编号应一致，否则甲方有权拒收，并不视为违约</w:t>
      </w: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初验合格后，甲方与乙方还要按相关规范检验（试验），检验报告合格基本确认产品质量合格。</w:t>
      </w:r>
    </w:p>
    <w:p w14:paraId="43C5AA0B">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（四）甲方指定</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名</w:t>
      </w:r>
      <w:r>
        <w:rPr>
          <w:rFonts w:hint="eastAsia" w:ascii="宋体" w:hAnsi="宋体" w:eastAsia="宋体" w:cs="宋体"/>
          <w:color w:val="auto"/>
          <w:sz w:val="24"/>
          <w:szCs w:val="24"/>
        </w:rPr>
        <w:t>货物交接验收人员</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负责乙方所有到场货物交接验收工作</w:t>
      </w:r>
      <w:r>
        <w:rPr>
          <w:rFonts w:hint="eastAsia" w:ascii="宋体" w:hAnsi="宋体" w:eastAsia="宋体" w:cs="宋体"/>
          <w:color w:val="auto"/>
          <w:sz w:val="24"/>
          <w:szCs w:val="24"/>
          <w:lang w:eastAsia="zh-CN"/>
        </w:rPr>
        <w:t>。</w:t>
      </w:r>
    </w:p>
    <w:p w14:paraId="7AFCB7B8">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姓名</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电话：</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 xml:space="preserve">    </w:t>
      </w:r>
    </w:p>
    <w:p w14:paraId="7734E69D">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五</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货物运抵交货地点后，双方按乙方供货清单核对到货数量、外观、规格型号、化验报告、品质检验报告等。如发现包装破损，应</w:t>
      </w:r>
      <w:r>
        <w:rPr>
          <w:rFonts w:hint="eastAsia" w:ascii="宋体" w:hAnsi="宋体" w:eastAsia="宋体" w:cs="宋体"/>
          <w:color w:val="auto"/>
          <w:sz w:val="24"/>
          <w:szCs w:val="24"/>
          <w:lang w:eastAsia="zh-CN"/>
        </w:rPr>
        <w:t>做出</w:t>
      </w:r>
      <w:r>
        <w:rPr>
          <w:rFonts w:hint="eastAsia" w:ascii="宋体" w:hAnsi="宋体" w:eastAsia="宋体" w:cs="宋体"/>
          <w:color w:val="auto"/>
          <w:sz w:val="24"/>
          <w:szCs w:val="24"/>
        </w:rPr>
        <w:t>记录并立即检查，确认是否对货物本身造成损坏。如发现货物损坏，乙方应负全部责任并</w:t>
      </w:r>
      <w:r>
        <w:rPr>
          <w:rFonts w:hint="eastAsia" w:ascii="宋体" w:hAnsi="宋体" w:eastAsia="宋体" w:cs="宋体"/>
          <w:color w:val="auto"/>
          <w:sz w:val="24"/>
          <w:szCs w:val="24"/>
          <w:lang w:val="en-US" w:eastAsia="zh-CN"/>
        </w:rPr>
        <w:t>在</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小时/日内</w:t>
      </w:r>
      <w:r>
        <w:rPr>
          <w:rFonts w:hint="eastAsia" w:ascii="宋体" w:hAnsi="宋体" w:eastAsia="宋体" w:cs="宋体"/>
          <w:color w:val="auto"/>
          <w:sz w:val="24"/>
          <w:szCs w:val="24"/>
        </w:rPr>
        <w:t>更换</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因更换产生的运费由乙方承担</w:t>
      </w:r>
      <w:r>
        <w:rPr>
          <w:rFonts w:hint="eastAsia" w:ascii="宋体" w:hAnsi="宋体" w:eastAsia="宋体" w:cs="宋体"/>
          <w:color w:val="auto"/>
          <w:sz w:val="24"/>
          <w:szCs w:val="24"/>
        </w:rPr>
        <w:t>。</w:t>
      </w:r>
    </w:p>
    <w:p w14:paraId="6B303E79">
      <w:pPr>
        <w:keepNext w:val="0"/>
        <w:keepLines w:val="0"/>
        <w:pageBreakBefore w:val="0"/>
        <w:widowControl w:val="0"/>
        <w:kinsoku/>
        <w:wordWrap w:val="0"/>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（六）验收时乙方代表必须在场，甲方将根据磋商文件要求、</w:t>
      </w:r>
      <w:r>
        <w:rPr>
          <w:rFonts w:hint="eastAsia" w:ascii="宋体" w:hAnsi="宋体" w:eastAsia="宋体" w:cs="宋体"/>
          <w:color w:val="auto"/>
          <w:sz w:val="24"/>
          <w:szCs w:val="24"/>
          <w:lang w:eastAsia="zh-CN"/>
        </w:rPr>
        <w:t>投标文件、</w:t>
      </w:r>
      <w:r>
        <w:rPr>
          <w:rFonts w:hint="eastAsia" w:ascii="宋体" w:hAnsi="宋体" w:eastAsia="宋体" w:cs="宋体"/>
          <w:color w:val="auto"/>
          <w:sz w:val="24"/>
          <w:szCs w:val="24"/>
        </w:rPr>
        <w:t>乙方所供货物的规格和产品标准及我国相关技术规范和技术标准进行验收。</w:t>
      </w:r>
    </w:p>
    <w:p w14:paraId="617F6113">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（七）甲方对单价、型号、规格、数量和重量核对无误后，甲方货物交接验收人应当在乙方供货清单上签字确认。经</w:t>
      </w:r>
      <w:r>
        <w:rPr>
          <w:rFonts w:hint="eastAsia" w:ascii="宋体" w:hAnsi="宋体" w:eastAsia="宋体" w:cs="宋体"/>
          <w:color w:val="auto"/>
          <w:sz w:val="24"/>
          <w:szCs w:val="24"/>
          <w:lang w:eastAsia="zh-CN"/>
        </w:rPr>
        <w:t>甲方货物</w:t>
      </w:r>
      <w:r>
        <w:rPr>
          <w:rFonts w:hint="eastAsia" w:ascii="宋体" w:hAnsi="宋体" w:eastAsia="宋体" w:cs="宋体"/>
          <w:color w:val="auto"/>
          <w:sz w:val="24"/>
          <w:szCs w:val="24"/>
        </w:rPr>
        <w:t>交接验收人共同签字确认的供货清单，方可作为确认实际供货量的依据，但不作为判定质量的依据。</w:t>
      </w:r>
    </w:p>
    <w:p w14:paraId="0390B1E8">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（八）乙方按照甲方指定的地点进行安装调试；安装调测时使用的工具、设备由乙方提供。</w:t>
      </w:r>
    </w:p>
    <w:p w14:paraId="30EA9C48">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九</w:t>
      </w:r>
      <w:r>
        <w:rPr>
          <w:rFonts w:hint="eastAsia" w:ascii="宋体" w:hAnsi="宋体" w:eastAsia="宋体" w:cs="宋体"/>
          <w:color w:val="auto"/>
          <w:sz w:val="24"/>
          <w:szCs w:val="24"/>
        </w:rPr>
        <w:t>）甲方有权对乙方货品随机取样，经合同</w:t>
      </w:r>
      <w:r>
        <w:rPr>
          <w:rFonts w:hint="eastAsia" w:ascii="宋体" w:hAnsi="宋体" w:eastAsia="宋体" w:cs="宋体"/>
          <w:color w:val="auto"/>
          <w:sz w:val="24"/>
          <w:szCs w:val="24"/>
          <w:lang w:val="en-US" w:eastAsia="zh-CN"/>
        </w:rPr>
        <w:t>双方</w:t>
      </w:r>
      <w:r>
        <w:rPr>
          <w:rFonts w:hint="eastAsia" w:ascii="宋体" w:hAnsi="宋体" w:eastAsia="宋体" w:cs="宋体"/>
          <w:color w:val="auto"/>
          <w:sz w:val="24"/>
          <w:szCs w:val="24"/>
        </w:rPr>
        <w:t>在样品上做标识确认后，将样品密封封存，</w:t>
      </w:r>
      <w:r>
        <w:rPr>
          <w:rFonts w:hint="eastAsia" w:ascii="宋体" w:hAnsi="宋体" w:eastAsia="宋体" w:cs="宋体"/>
          <w:color w:val="auto"/>
          <w:sz w:val="24"/>
          <w:szCs w:val="24"/>
          <w:lang w:val="en-US" w:eastAsia="zh-CN"/>
        </w:rPr>
        <w:t>由甲方保存。必要时</w:t>
      </w:r>
      <w:r>
        <w:rPr>
          <w:rFonts w:hint="eastAsia" w:ascii="宋体" w:hAnsi="宋体" w:eastAsia="宋体" w:cs="宋体"/>
          <w:color w:val="auto"/>
          <w:sz w:val="24"/>
          <w:szCs w:val="24"/>
        </w:rPr>
        <w:t>甲方</w:t>
      </w:r>
      <w:r>
        <w:rPr>
          <w:rFonts w:hint="eastAsia" w:ascii="宋体" w:hAnsi="宋体" w:eastAsia="宋体" w:cs="宋体"/>
          <w:color w:val="auto"/>
          <w:sz w:val="24"/>
          <w:szCs w:val="24"/>
          <w:lang w:val="en-US" w:eastAsia="zh-CN"/>
        </w:rPr>
        <w:t>有权单方送检，如送检不合格，乙方应无条件根据甲方的要求进行退货或更换。由此产生的损失由乙方承担，</w:t>
      </w:r>
      <w:r>
        <w:rPr>
          <w:rFonts w:hint="eastAsia" w:ascii="宋体" w:hAnsi="宋体" w:eastAsia="宋体" w:cs="宋体"/>
          <w:color w:val="auto"/>
          <w:sz w:val="24"/>
          <w:szCs w:val="24"/>
        </w:rPr>
        <w:t>造成逾期交货的，应承担逾期交货违约责任。</w:t>
      </w:r>
    </w:p>
    <w:p w14:paraId="4461FF50">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十</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经权威部门鉴定，确定由于质量问题造成的任何损失，不论初验或检验试验合格与否，均由乙方负责，承担甲方的一切损失。</w:t>
      </w:r>
    </w:p>
    <w:p w14:paraId="2E8962EF">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第</w:t>
      </w:r>
      <w:r>
        <w:rPr>
          <w:rFonts w:hint="eastAsia" w:ascii="宋体" w:hAnsi="宋体" w:eastAsia="宋体" w:cs="宋体"/>
          <w:b/>
          <w:bCs/>
          <w:color w:val="auto"/>
          <w:sz w:val="24"/>
          <w:szCs w:val="24"/>
          <w:lang w:val="en-US" w:eastAsia="zh-CN"/>
        </w:rPr>
        <w:t>六</w:t>
      </w:r>
      <w:r>
        <w:rPr>
          <w:rFonts w:hint="eastAsia" w:ascii="宋体" w:hAnsi="宋体" w:eastAsia="宋体" w:cs="宋体"/>
          <w:b/>
          <w:bCs/>
          <w:color w:val="auto"/>
          <w:sz w:val="24"/>
          <w:szCs w:val="24"/>
        </w:rPr>
        <w:t>条 结算依据</w:t>
      </w:r>
    </w:p>
    <w:p w14:paraId="40647F13">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（一）实际供货量以双方核对无误的供货清单上的数量为准。甲方根据实际</w:t>
      </w:r>
      <w:r>
        <w:rPr>
          <w:rFonts w:hint="eastAsia" w:ascii="宋体" w:hAnsi="宋体" w:eastAsia="宋体" w:cs="宋体"/>
          <w:color w:val="auto"/>
          <w:sz w:val="24"/>
          <w:szCs w:val="24"/>
          <w:lang w:val="en-US" w:eastAsia="zh-CN"/>
        </w:rPr>
        <w:t>验收合格</w:t>
      </w:r>
      <w:r>
        <w:rPr>
          <w:rFonts w:hint="eastAsia" w:ascii="宋体" w:hAnsi="宋体" w:eastAsia="宋体" w:cs="宋体"/>
          <w:color w:val="auto"/>
          <w:sz w:val="24"/>
          <w:szCs w:val="24"/>
        </w:rPr>
        <w:t>货物量×单价制作结算书，结算书须经甲方</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名指定货物交接验收人员</w:t>
      </w:r>
      <w:r>
        <w:rPr>
          <w:rFonts w:hint="eastAsia" w:ascii="宋体" w:hAnsi="宋体" w:eastAsia="宋体" w:cs="宋体"/>
          <w:color w:val="auto"/>
          <w:sz w:val="24"/>
          <w:szCs w:val="24"/>
        </w:rPr>
        <w:t>签字确认后方可作为结算依据。货款结算金额应以</w:t>
      </w:r>
      <w:r>
        <w:rPr>
          <w:rFonts w:hint="eastAsia" w:ascii="宋体" w:hAnsi="宋体" w:eastAsia="宋体" w:cs="宋体"/>
          <w:color w:val="auto"/>
          <w:sz w:val="24"/>
          <w:szCs w:val="24"/>
          <w:lang w:val="en-US" w:eastAsia="zh-CN"/>
        </w:rPr>
        <w:t>双方共同签字确认</w:t>
      </w:r>
      <w:r>
        <w:rPr>
          <w:rFonts w:hint="eastAsia" w:ascii="宋体" w:hAnsi="宋体" w:eastAsia="宋体" w:cs="宋体"/>
          <w:color w:val="auto"/>
          <w:sz w:val="24"/>
          <w:szCs w:val="24"/>
        </w:rPr>
        <w:t>的货款结算书为准。</w:t>
      </w:r>
    </w:p>
    <w:p w14:paraId="7F9B01A0">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（二）乙方应在结算前</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日以函件形式向甲方提供供应货款明细表以供</w:t>
      </w:r>
      <w:r>
        <w:rPr>
          <w:rFonts w:hint="eastAsia" w:ascii="宋体" w:hAnsi="宋体" w:eastAsia="宋体" w:cs="宋体"/>
          <w:color w:val="auto"/>
          <w:sz w:val="24"/>
          <w:szCs w:val="24"/>
          <w:lang w:eastAsia="zh-CN"/>
        </w:rPr>
        <w:t>甲方核对。</w:t>
      </w:r>
    </w:p>
    <w:p w14:paraId="5C686631">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 xml:space="preserve">第七条 </w:t>
      </w:r>
      <w:r>
        <w:rPr>
          <w:rFonts w:hint="eastAsia" w:ascii="宋体" w:hAnsi="宋体" w:eastAsia="宋体" w:cs="宋体"/>
          <w:b/>
          <w:bCs/>
          <w:color w:val="auto"/>
          <w:sz w:val="24"/>
          <w:szCs w:val="24"/>
        </w:rPr>
        <w:t>付款方式</w:t>
      </w:r>
    </w:p>
    <w:p w14:paraId="4C4B69A3">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（一）</w:t>
      </w:r>
      <w:r>
        <w:rPr>
          <w:rFonts w:hint="eastAsia" w:ascii="宋体" w:hAnsi="宋体" w:eastAsia="宋体" w:cs="宋体"/>
          <w:color w:val="auto"/>
          <w:sz w:val="24"/>
          <w:szCs w:val="24"/>
        </w:rPr>
        <w:t>付款</w:t>
      </w:r>
      <w:r>
        <w:rPr>
          <w:rFonts w:hint="eastAsia" w:ascii="宋体" w:hAnsi="宋体" w:eastAsia="宋体" w:cs="宋体"/>
          <w:color w:val="auto"/>
          <w:sz w:val="24"/>
          <w:szCs w:val="24"/>
          <w:lang w:val="en-US" w:eastAsia="zh-CN"/>
        </w:rPr>
        <w:t>期限</w:t>
      </w:r>
      <w:r>
        <w:rPr>
          <w:rFonts w:hint="eastAsia" w:ascii="宋体" w:hAnsi="宋体" w:eastAsia="宋体" w:cs="宋体"/>
          <w:color w:val="auto"/>
          <w:sz w:val="24"/>
          <w:szCs w:val="24"/>
        </w:rPr>
        <w:t>：</w:t>
      </w:r>
      <w:r>
        <w:rPr>
          <w:rFonts w:hint="eastAsia" w:ascii="宋体" w:hAnsi="宋体" w:eastAsia="宋体" w:cs="宋体"/>
          <w:color w:val="auto"/>
          <w:sz w:val="24"/>
          <w:szCs w:val="24"/>
          <w:u w:val="none"/>
          <w:lang w:val="en-US" w:eastAsia="zh-CN"/>
        </w:rPr>
        <w:t>全部货物安装完成并经验收合格后支付</w:t>
      </w:r>
      <w:r>
        <w:rPr>
          <w:rFonts w:hint="eastAsia" w:ascii="宋体" w:hAnsi="宋体" w:eastAsia="宋体" w:cs="宋体"/>
          <w:color w:val="auto"/>
          <w:sz w:val="24"/>
          <w:szCs w:val="24"/>
        </w:rPr>
        <w:t>。</w:t>
      </w:r>
    </w:p>
    <w:p w14:paraId="47359B57">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（二）</w:t>
      </w:r>
      <w:r>
        <w:rPr>
          <w:rFonts w:hint="eastAsia" w:ascii="宋体" w:hAnsi="宋体" w:eastAsia="宋体" w:cs="宋体"/>
          <w:color w:val="auto"/>
          <w:sz w:val="24"/>
          <w:szCs w:val="24"/>
          <w:lang w:val="en-US" w:eastAsia="zh-CN"/>
        </w:rPr>
        <w:t>付款方式：银行转账。</w:t>
      </w:r>
    </w:p>
    <w:p w14:paraId="44DB0329">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乙方指定</w:t>
      </w:r>
      <w:r>
        <w:rPr>
          <w:rFonts w:hint="eastAsia" w:ascii="宋体" w:hAnsi="宋体" w:eastAsia="宋体" w:cs="宋体"/>
          <w:color w:val="auto"/>
          <w:sz w:val="24"/>
          <w:szCs w:val="24"/>
          <w:lang w:val="en-US" w:eastAsia="zh-CN"/>
        </w:rPr>
        <w:t>收款</w:t>
      </w:r>
      <w:r>
        <w:rPr>
          <w:rFonts w:hint="eastAsia" w:ascii="宋体" w:hAnsi="宋体" w:eastAsia="宋体" w:cs="宋体"/>
          <w:color w:val="auto"/>
          <w:sz w:val="24"/>
          <w:szCs w:val="24"/>
        </w:rPr>
        <w:t>账户：</w:t>
      </w:r>
    </w:p>
    <w:tbl>
      <w:tblPr>
        <w:tblStyle w:val="14"/>
        <w:tblW w:w="830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890"/>
        <w:gridCol w:w="6413"/>
      </w:tblGrid>
      <w:tr w14:paraId="64618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90" w:type="dxa"/>
            <w:noWrap w:val="0"/>
            <w:vAlign w:val="center"/>
          </w:tcPr>
          <w:p w14:paraId="36C3C591">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账户名称</w:t>
            </w:r>
          </w:p>
        </w:tc>
        <w:tc>
          <w:tcPr>
            <w:tcW w:w="6413" w:type="dxa"/>
            <w:noWrap w:val="0"/>
            <w:vAlign w:val="top"/>
          </w:tcPr>
          <w:p w14:paraId="553AB4D2">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r>
      <w:tr w14:paraId="24A3B7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90" w:type="dxa"/>
            <w:noWrap w:val="0"/>
            <w:vAlign w:val="center"/>
          </w:tcPr>
          <w:p w14:paraId="276BBEFE">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开户行</w:t>
            </w:r>
          </w:p>
        </w:tc>
        <w:tc>
          <w:tcPr>
            <w:tcW w:w="6413" w:type="dxa"/>
            <w:noWrap w:val="0"/>
            <w:vAlign w:val="top"/>
          </w:tcPr>
          <w:p w14:paraId="30521FCC">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r>
      <w:tr w14:paraId="0BDA83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890" w:type="dxa"/>
            <w:noWrap w:val="0"/>
            <w:vAlign w:val="center"/>
          </w:tcPr>
          <w:p w14:paraId="0FAB7E33">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账号</w:t>
            </w:r>
          </w:p>
        </w:tc>
        <w:tc>
          <w:tcPr>
            <w:tcW w:w="6413" w:type="dxa"/>
            <w:noWrap w:val="0"/>
            <w:vAlign w:val="top"/>
          </w:tcPr>
          <w:p w14:paraId="616CE345">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tc>
      </w:tr>
    </w:tbl>
    <w:p w14:paraId="72C4E813">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（三）付款前提：乙方在收到甲乙双方共同确认的货款结算书后应提供真实合</w:t>
      </w:r>
      <w:r>
        <w:rPr>
          <w:rFonts w:hint="eastAsia" w:ascii="宋体" w:hAnsi="宋体" w:eastAsia="宋体" w:cs="宋体"/>
          <w:color w:val="auto"/>
          <w:sz w:val="24"/>
          <w:szCs w:val="24"/>
        </w:rPr>
        <w:t>法有效的增值税发票给甲方</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否则甲方有权拒绝付款并且不承担由此产生的逾期付款违约责任。</w:t>
      </w:r>
      <w:r>
        <w:rPr>
          <w:rFonts w:hint="eastAsia" w:ascii="宋体" w:hAnsi="宋体" w:eastAsia="宋体" w:cs="宋体"/>
          <w:color w:val="auto"/>
          <w:sz w:val="24"/>
          <w:szCs w:val="24"/>
          <w:lang w:eastAsia="zh-CN"/>
        </w:rPr>
        <w:t>在符合上述付款前提下，甲方应在收到乙方增值税发票后</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工作日内完成支付。</w:t>
      </w:r>
    </w:p>
    <w:p w14:paraId="6F6E53BC">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四</w:t>
      </w:r>
      <w:r>
        <w:rPr>
          <w:rFonts w:hint="eastAsia" w:ascii="宋体" w:hAnsi="宋体" w:eastAsia="宋体" w:cs="宋体"/>
          <w:color w:val="auto"/>
          <w:sz w:val="24"/>
          <w:szCs w:val="24"/>
          <w:lang w:eastAsia="zh-CN"/>
        </w:rPr>
        <w:t>）若甲方延迟付款超过</w:t>
      </w:r>
      <w:r>
        <w:rPr>
          <w:rFonts w:hint="eastAsia" w:ascii="宋体" w:hAnsi="宋体" w:eastAsia="宋体" w:cs="宋体"/>
          <w:color w:val="auto"/>
          <w:sz w:val="24"/>
          <w:szCs w:val="24"/>
          <w:lang w:val="en-US" w:eastAsia="zh-CN"/>
        </w:rPr>
        <w:t>90</w:t>
      </w:r>
      <w:r>
        <w:rPr>
          <w:rFonts w:hint="eastAsia" w:ascii="宋体" w:hAnsi="宋体" w:eastAsia="宋体" w:cs="宋体"/>
          <w:color w:val="auto"/>
          <w:sz w:val="24"/>
          <w:szCs w:val="24"/>
          <w:lang w:eastAsia="zh-CN"/>
        </w:rPr>
        <w:t>日，乙方应书面发催款函（收信地址为甲方</w:t>
      </w:r>
      <w:r>
        <w:rPr>
          <w:rFonts w:hint="eastAsia" w:ascii="宋体" w:hAnsi="宋体" w:eastAsia="宋体" w:cs="宋体"/>
          <w:color w:val="auto"/>
          <w:sz w:val="24"/>
          <w:szCs w:val="24"/>
          <w:lang w:val="en-US" w:eastAsia="zh-CN"/>
        </w:rPr>
        <w:t>有效通信地址或</w:t>
      </w:r>
      <w:r>
        <w:rPr>
          <w:rFonts w:hint="eastAsia" w:ascii="宋体" w:hAnsi="宋体" w:eastAsia="宋体" w:cs="宋体"/>
          <w:color w:val="auto"/>
          <w:sz w:val="24"/>
          <w:szCs w:val="24"/>
          <w:lang w:eastAsia="zh-CN"/>
        </w:rPr>
        <w:t>工商注册地址，写明项目名称和欠款金额，附有关材料）。否则，视为乙方同意延迟付款并免除甲方逾期付款违约责任。</w:t>
      </w:r>
    </w:p>
    <w:p w14:paraId="7FE9B729">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五）乙方开具的发票应符合规定，否则甲方有权拒绝收票。甲方收票并不视为对乙方开具发票合法性、真实性和有效性认可，若发生乙方开具发票发生假发票、导致甲方无法抵扣、被税务处罚、缴纳税款或滞纳金等情形，一切责任由乙方承担。</w:t>
      </w:r>
    </w:p>
    <w:p w14:paraId="3B7FE6F6">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第</w:t>
      </w:r>
      <w:r>
        <w:rPr>
          <w:rFonts w:hint="eastAsia" w:ascii="宋体" w:hAnsi="宋体" w:eastAsia="宋体" w:cs="宋体"/>
          <w:b/>
          <w:bCs/>
          <w:color w:val="auto"/>
          <w:sz w:val="24"/>
          <w:szCs w:val="24"/>
          <w:lang w:val="en-US" w:eastAsia="zh-CN"/>
        </w:rPr>
        <w:t>八</w:t>
      </w:r>
      <w:r>
        <w:rPr>
          <w:rFonts w:hint="eastAsia" w:ascii="宋体" w:hAnsi="宋体" w:eastAsia="宋体" w:cs="宋体"/>
          <w:b/>
          <w:bCs/>
          <w:color w:val="auto"/>
          <w:sz w:val="24"/>
          <w:szCs w:val="24"/>
        </w:rPr>
        <w:t>条 知识产权</w:t>
      </w:r>
      <w:r>
        <w:rPr>
          <w:rFonts w:hint="eastAsia" w:ascii="宋体" w:hAnsi="宋体" w:eastAsia="宋体" w:cs="宋体"/>
          <w:b/>
          <w:bCs/>
          <w:color w:val="auto"/>
          <w:sz w:val="24"/>
          <w:szCs w:val="24"/>
          <w:lang w:val="en-US" w:eastAsia="zh-CN"/>
        </w:rPr>
        <w:t>瑕疵</w:t>
      </w:r>
      <w:r>
        <w:rPr>
          <w:rFonts w:hint="eastAsia" w:ascii="宋体" w:hAnsi="宋体" w:eastAsia="宋体" w:cs="宋体"/>
          <w:b/>
          <w:bCs/>
          <w:color w:val="auto"/>
          <w:sz w:val="24"/>
          <w:szCs w:val="24"/>
        </w:rPr>
        <w:t>担保</w:t>
      </w:r>
    </w:p>
    <w:p w14:paraId="70DC253B">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一</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乙方提供的采购标的应符合国家知识产权法律、法规的规定且非假冒伪劣品；乙方还应保证甲方不受到第三方关于侵犯知识产权及专利权、商标权或工业设计权等知识产权方面的指控，任何第三方如果提出此方面指控均与甲方无关，乙方应与第三方交涉，并承担可能发生的一切法律责任、费用和后果</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同时乙方需按照合同总价的百分之三十向甲方支付违约金</w:t>
      </w:r>
      <w:r>
        <w:rPr>
          <w:rFonts w:hint="eastAsia" w:ascii="宋体" w:hAnsi="宋体" w:eastAsia="宋体" w:cs="宋体"/>
          <w:b w:val="0"/>
          <w:bCs w:val="0"/>
          <w:color w:val="auto"/>
          <w:sz w:val="24"/>
          <w:szCs w:val="24"/>
        </w:rPr>
        <w:t>；若甲方因此而遭致损失，则乙方应赔偿该损失</w:t>
      </w:r>
      <w:r>
        <w:rPr>
          <w:rFonts w:hint="eastAsia" w:ascii="宋体" w:hAnsi="宋体" w:eastAsia="宋体" w:cs="宋体"/>
          <w:b w:val="0"/>
          <w:bCs w:val="0"/>
          <w:color w:val="auto"/>
          <w:sz w:val="24"/>
          <w:szCs w:val="24"/>
          <w:lang w:val="en-US" w:eastAsia="zh-CN"/>
        </w:rPr>
        <w:t>（包括但不限于重新招标产生的费用及给甲方造成的其他直接及间接损失等）</w:t>
      </w:r>
      <w:r>
        <w:rPr>
          <w:rFonts w:hint="eastAsia" w:ascii="宋体" w:hAnsi="宋体" w:eastAsia="宋体" w:cs="宋体"/>
          <w:b w:val="0"/>
          <w:bCs w:val="0"/>
          <w:color w:val="auto"/>
          <w:sz w:val="24"/>
          <w:szCs w:val="24"/>
        </w:rPr>
        <w:t>。</w:t>
      </w:r>
    </w:p>
    <w:p w14:paraId="0ACC3CE3">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二</w:t>
      </w: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rPr>
        <w:t>若乙方提供的采购标的不符合国家知识产权法律、法规的规定或被有关主管机关认定为假冒伪劣品，则乙方中标资格将被取消，同时乙方需按照合同总价的</w:t>
      </w:r>
      <w:r>
        <w:rPr>
          <w:rFonts w:hint="eastAsia" w:ascii="宋体" w:hAnsi="宋体" w:eastAsia="宋体" w:cs="宋体"/>
          <w:b w:val="0"/>
          <w:bCs w:val="0"/>
          <w:color w:val="auto"/>
          <w:sz w:val="24"/>
          <w:szCs w:val="24"/>
          <w:lang w:val="en-US" w:eastAsia="zh-CN"/>
        </w:rPr>
        <w:t>百分之三十</w:t>
      </w:r>
      <w:r>
        <w:rPr>
          <w:rFonts w:hint="eastAsia" w:ascii="宋体" w:hAnsi="宋体" w:eastAsia="宋体" w:cs="宋体"/>
          <w:b w:val="0"/>
          <w:bCs w:val="0"/>
          <w:color w:val="auto"/>
          <w:sz w:val="24"/>
          <w:szCs w:val="24"/>
        </w:rPr>
        <w:t>向甲方支付违约金；甲方还将按照有关法律、法规和规章的规定进行处理，具体如下：乙方保证所提供的产品具有独立知识产权，保证甲方在使用乙方所提供的产品时不受任何专利或版权等方面的侵权困扰，如出现类似纠纷，乙方对由此产生的后果负全部责任，并赔偿甲方由此而造成的全部损失（包括但不限于重新招标产生的费用及给甲方造成的其他直接及间接损失等）。乙方交付产品的知识产权归属于甲方所有。</w:t>
      </w:r>
    </w:p>
    <w:p w14:paraId="6EDDDC83">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lang w:val="en-US" w:eastAsia="zh-CN"/>
        </w:rPr>
      </w:pPr>
      <w:r>
        <w:rPr>
          <w:rFonts w:hint="eastAsia" w:ascii="宋体" w:hAnsi="宋体" w:eastAsia="宋体" w:cs="宋体"/>
          <w:b/>
          <w:bCs/>
          <w:color w:val="auto"/>
          <w:sz w:val="24"/>
          <w:szCs w:val="24"/>
        </w:rPr>
        <w:t>第</w:t>
      </w:r>
      <w:r>
        <w:rPr>
          <w:rFonts w:hint="eastAsia" w:ascii="宋体" w:hAnsi="宋体" w:eastAsia="宋体" w:cs="宋体"/>
          <w:b/>
          <w:bCs/>
          <w:color w:val="auto"/>
          <w:sz w:val="24"/>
          <w:szCs w:val="24"/>
          <w:lang w:val="en-US" w:eastAsia="zh-CN"/>
        </w:rPr>
        <w:t>九</w:t>
      </w:r>
      <w:r>
        <w:rPr>
          <w:rFonts w:hint="eastAsia" w:ascii="宋体" w:hAnsi="宋体" w:eastAsia="宋体" w:cs="宋体"/>
          <w:b/>
          <w:bCs/>
          <w:color w:val="auto"/>
          <w:sz w:val="24"/>
          <w:szCs w:val="24"/>
        </w:rPr>
        <w:t xml:space="preserve">条 </w:t>
      </w:r>
      <w:r>
        <w:rPr>
          <w:rFonts w:hint="eastAsia" w:ascii="宋体" w:hAnsi="宋体" w:eastAsia="宋体" w:cs="宋体"/>
          <w:b/>
          <w:bCs/>
          <w:color w:val="auto"/>
          <w:sz w:val="24"/>
          <w:szCs w:val="24"/>
          <w:lang w:val="en-US" w:eastAsia="zh-CN"/>
        </w:rPr>
        <w:t>标的物毁损、灭失责任</w:t>
      </w:r>
    </w:p>
    <w:p w14:paraId="0C8506E7">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乙方将货物运输至甲方指定地点，移交给甲方指定货物交接验收人之前，货物毁损、灭失责任由乙方自行承担。</w:t>
      </w:r>
    </w:p>
    <w:p w14:paraId="0038A6A1">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第</w:t>
      </w:r>
      <w:r>
        <w:rPr>
          <w:rFonts w:hint="eastAsia" w:ascii="宋体" w:hAnsi="宋体" w:eastAsia="宋体" w:cs="宋体"/>
          <w:b/>
          <w:bCs/>
          <w:color w:val="auto"/>
          <w:sz w:val="24"/>
          <w:szCs w:val="24"/>
          <w:lang w:val="en-US" w:eastAsia="zh-CN"/>
        </w:rPr>
        <w:t>十</w:t>
      </w:r>
      <w:r>
        <w:rPr>
          <w:rFonts w:hint="eastAsia" w:ascii="宋体" w:hAnsi="宋体" w:eastAsia="宋体" w:cs="宋体"/>
          <w:b/>
          <w:bCs/>
          <w:color w:val="auto"/>
          <w:sz w:val="24"/>
          <w:szCs w:val="24"/>
        </w:rPr>
        <w:t>条</w:t>
      </w:r>
      <w:r>
        <w:rPr>
          <w:rFonts w:hint="eastAsia" w:ascii="宋体" w:hAnsi="宋体" w:eastAsia="宋体" w:cs="宋体"/>
          <w:b/>
          <w:bCs/>
          <w:color w:val="auto"/>
          <w:sz w:val="24"/>
          <w:szCs w:val="24"/>
          <w:lang w:val="en-US" w:eastAsia="zh-CN"/>
        </w:rPr>
        <w:t xml:space="preserve"> </w:t>
      </w:r>
      <w:r>
        <w:rPr>
          <w:rFonts w:hint="eastAsia" w:ascii="宋体" w:hAnsi="宋体" w:eastAsia="宋体" w:cs="宋体"/>
          <w:b/>
          <w:bCs/>
          <w:color w:val="auto"/>
          <w:sz w:val="24"/>
          <w:szCs w:val="24"/>
        </w:rPr>
        <w:t>不可抗力</w:t>
      </w:r>
    </w:p>
    <w:p w14:paraId="3B8EC968">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一</w:t>
      </w:r>
      <w:r>
        <w:rPr>
          <w:rFonts w:hint="eastAsia" w:ascii="宋体" w:hAnsi="宋体" w:eastAsia="宋体" w:cs="宋体"/>
          <w:color w:val="auto"/>
          <w:sz w:val="24"/>
          <w:szCs w:val="24"/>
          <w:lang w:eastAsia="zh-CN"/>
        </w:rPr>
        <w:t>）</w:t>
      </w:r>
      <w:r>
        <w:rPr>
          <w:rFonts w:hint="eastAsia" w:ascii="宋体" w:hAnsi="宋体" w:eastAsia="宋体" w:cs="宋体"/>
          <w:b w:val="0"/>
          <w:bCs w:val="0"/>
          <w:color w:val="auto"/>
          <w:sz w:val="24"/>
          <w:szCs w:val="24"/>
        </w:rPr>
        <w:t>本合同中的不可抗力指不能预见、不能避免、不能克服的客观情况，包括但不限于：自然灾害如</w:t>
      </w:r>
      <w:r>
        <w:rPr>
          <w:rFonts w:hint="eastAsia" w:ascii="宋体" w:hAnsi="宋体" w:eastAsia="宋体" w:cs="宋体"/>
          <w:b w:val="0"/>
          <w:bCs w:val="0"/>
          <w:color w:val="auto"/>
          <w:sz w:val="24"/>
          <w:szCs w:val="24"/>
          <w:u w:val="single"/>
          <w:lang w:val="en-US" w:eastAsia="zh-CN"/>
        </w:rPr>
        <w:t xml:space="preserve"> 5 </w:t>
      </w:r>
      <w:r>
        <w:rPr>
          <w:rFonts w:hint="eastAsia" w:ascii="宋体" w:hAnsi="宋体" w:eastAsia="宋体" w:cs="宋体"/>
          <w:b w:val="0"/>
          <w:bCs w:val="0"/>
          <w:color w:val="auto"/>
          <w:sz w:val="24"/>
          <w:szCs w:val="24"/>
          <w:lang w:val="en-US" w:eastAsia="zh-CN"/>
        </w:rPr>
        <w:t>级以上</w:t>
      </w:r>
      <w:r>
        <w:rPr>
          <w:rFonts w:hint="eastAsia" w:ascii="宋体" w:hAnsi="宋体" w:eastAsia="宋体" w:cs="宋体"/>
          <w:b w:val="0"/>
          <w:bCs w:val="0"/>
          <w:color w:val="auto"/>
          <w:sz w:val="24"/>
          <w:szCs w:val="24"/>
        </w:rPr>
        <w:t>地震、</w:t>
      </w:r>
      <w:r>
        <w:rPr>
          <w:rFonts w:hint="eastAsia" w:ascii="宋体" w:hAnsi="宋体" w:eastAsia="宋体" w:cs="宋体"/>
          <w:b w:val="0"/>
          <w:bCs w:val="0"/>
          <w:color w:val="auto"/>
          <w:sz w:val="24"/>
          <w:szCs w:val="24"/>
          <w:u w:val="single"/>
          <w:lang w:val="en-US" w:eastAsia="zh-CN"/>
        </w:rPr>
        <w:t xml:space="preserve"> 10 </w:t>
      </w:r>
      <w:r>
        <w:rPr>
          <w:rFonts w:hint="eastAsia" w:ascii="宋体" w:hAnsi="宋体" w:eastAsia="宋体" w:cs="宋体"/>
          <w:b w:val="0"/>
          <w:bCs w:val="0"/>
          <w:color w:val="auto"/>
          <w:sz w:val="24"/>
          <w:szCs w:val="24"/>
          <w:lang w:val="en-US" w:eastAsia="zh-CN"/>
        </w:rPr>
        <w:t>级以上</w:t>
      </w:r>
      <w:r>
        <w:rPr>
          <w:rFonts w:hint="eastAsia" w:ascii="宋体" w:hAnsi="宋体" w:eastAsia="宋体" w:cs="宋体"/>
          <w:b w:val="0"/>
          <w:bCs w:val="0"/>
          <w:color w:val="auto"/>
          <w:sz w:val="24"/>
          <w:szCs w:val="24"/>
        </w:rPr>
        <w:t>台风、洪水、火灾及政府行为、法律规定或其适用的变化或其他任何无法预见、避免或控制的事件。</w:t>
      </w:r>
    </w:p>
    <w:p w14:paraId="73BB3ADD">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b w:val="0"/>
          <w:bCs w:val="0"/>
          <w:color w:val="auto"/>
          <w:sz w:val="24"/>
          <w:szCs w:val="24"/>
          <w:lang w:eastAsia="zh-CN"/>
        </w:rPr>
        <w:t>（</w:t>
      </w:r>
      <w:r>
        <w:rPr>
          <w:rFonts w:hint="eastAsia" w:ascii="宋体" w:hAnsi="宋体" w:eastAsia="宋体" w:cs="宋体"/>
          <w:b w:val="0"/>
          <w:bCs w:val="0"/>
          <w:color w:val="auto"/>
          <w:sz w:val="24"/>
          <w:szCs w:val="24"/>
          <w:lang w:val="en-US" w:eastAsia="zh-CN"/>
        </w:rPr>
        <w:t>二</w:t>
      </w:r>
      <w:r>
        <w:rPr>
          <w:rFonts w:hint="eastAsia" w:ascii="宋体" w:hAnsi="宋体" w:eastAsia="宋体" w:cs="宋体"/>
          <w:b w:val="0"/>
          <w:bCs w:val="0"/>
          <w:color w:val="auto"/>
          <w:sz w:val="24"/>
          <w:szCs w:val="24"/>
          <w:lang w:eastAsia="zh-CN"/>
        </w:rPr>
        <w:t>）</w:t>
      </w:r>
      <w:r>
        <w:rPr>
          <w:rFonts w:hint="eastAsia" w:ascii="宋体" w:hAnsi="宋体" w:eastAsia="宋体" w:cs="宋体"/>
          <w:color w:val="auto"/>
          <w:sz w:val="24"/>
          <w:szCs w:val="24"/>
        </w:rPr>
        <w:t>因不可抗力造成违约的，遭受不可抗力一方应及时向对方通报不能履行或不能完全履行的理由，并在随后取得有关主管机关证明后的15日内向另一方提供不可抗力发生以及持续期间的充分证据。</w:t>
      </w:r>
      <w:r>
        <w:rPr>
          <w:rFonts w:hint="eastAsia" w:ascii="宋体" w:hAnsi="宋体" w:eastAsia="宋体" w:cs="宋体"/>
          <w:color w:val="auto"/>
          <w:sz w:val="24"/>
          <w:szCs w:val="24"/>
          <w:lang w:val="en-US" w:eastAsia="zh-CN"/>
        </w:rPr>
        <w:t>逾期提供的，遭受不可抗力</w:t>
      </w:r>
      <w:r>
        <w:rPr>
          <w:rFonts w:hint="eastAsia" w:ascii="宋体" w:hAnsi="宋体" w:eastAsia="宋体" w:cs="宋体"/>
          <w:color w:val="auto"/>
          <w:sz w:val="24"/>
          <w:szCs w:val="24"/>
        </w:rPr>
        <w:t>一</w:t>
      </w:r>
      <w:r>
        <w:rPr>
          <w:rFonts w:hint="eastAsia" w:ascii="宋体" w:hAnsi="宋体" w:eastAsia="宋体" w:cs="宋体"/>
          <w:color w:val="auto"/>
          <w:sz w:val="24"/>
          <w:szCs w:val="24"/>
          <w:lang w:val="en-US" w:eastAsia="zh-CN"/>
        </w:rPr>
        <w:t>方不得主张逾期履行、部分履行或者不履行，且不得要求减、免承担违约责任。</w:t>
      </w:r>
    </w:p>
    <w:p w14:paraId="36CD0307">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lang w:val="en-US" w:eastAsia="zh-CN"/>
        </w:rPr>
        <w:t xml:space="preserve">第十一条 </w:t>
      </w:r>
      <w:r>
        <w:rPr>
          <w:rFonts w:hint="eastAsia" w:ascii="宋体" w:hAnsi="宋体" w:eastAsia="宋体" w:cs="宋体"/>
          <w:b/>
          <w:bCs/>
          <w:color w:val="auto"/>
          <w:sz w:val="24"/>
          <w:szCs w:val="24"/>
        </w:rPr>
        <w:t>违约责任</w:t>
      </w:r>
    </w:p>
    <w:p w14:paraId="1F8C2922">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（一）若乙方未及时足额交货，应承担逾期违约责任，每延迟一天应向甲方支付合同</w:t>
      </w:r>
      <w:r>
        <w:rPr>
          <w:rFonts w:hint="eastAsia" w:ascii="宋体" w:hAnsi="宋体" w:eastAsia="宋体" w:cs="宋体"/>
          <w:color w:val="auto"/>
          <w:sz w:val="24"/>
          <w:szCs w:val="24"/>
          <w:lang w:val="en-US" w:eastAsia="zh-CN"/>
        </w:rPr>
        <w:t>签约</w:t>
      </w:r>
      <w:r>
        <w:rPr>
          <w:rFonts w:hint="eastAsia" w:ascii="宋体" w:hAnsi="宋体" w:eastAsia="宋体" w:cs="宋体"/>
          <w:color w:val="auto"/>
          <w:sz w:val="24"/>
          <w:szCs w:val="24"/>
        </w:rPr>
        <w:t>总金额的</w:t>
      </w:r>
      <w:r>
        <w:rPr>
          <w:rFonts w:hint="eastAsia" w:ascii="宋体" w:hAnsi="宋体" w:eastAsia="宋体" w:cs="宋体"/>
          <w:color w:val="auto"/>
          <w:sz w:val="24"/>
          <w:szCs w:val="24"/>
          <w:lang w:val="en-US" w:eastAsia="zh-CN"/>
        </w:rPr>
        <w:t>万分之</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b/>
          <w:bCs/>
          <w:color w:val="auto"/>
          <w:sz w:val="24"/>
          <w:szCs w:val="24"/>
          <w:u w:val="single"/>
          <w:lang w:val="en-US" w:eastAsia="zh-CN"/>
        </w:rPr>
        <w:t>3</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作为违约金</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甲方有权从</w:t>
      </w:r>
      <w:r>
        <w:rPr>
          <w:rFonts w:hint="eastAsia" w:ascii="宋体" w:hAnsi="宋体" w:eastAsia="宋体" w:cs="宋体"/>
          <w:color w:val="auto"/>
          <w:sz w:val="24"/>
          <w:szCs w:val="24"/>
          <w:lang w:val="en-US" w:eastAsia="zh-CN"/>
        </w:rPr>
        <w:t>应付的</w:t>
      </w:r>
      <w:r>
        <w:rPr>
          <w:rFonts w:hint="eastAsia" w:ascii="宋体" w:hAnsi="宋体" w:eastAsia="宋体" w:cs="宋体"/>
          <w:color w:val="auto"/>
          <w:sz w:val="24"/>
          <w:szCs w:val="24"/>
        </w:rPr>
        <w:t>货款中直接扣除。</w:t>
      </w:r>
    </w:p>
    <w:p w14:paraId="7ABF06A6">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（二）</w:t>
      </w:r>
      <w:r>
        <w:rPr>
          <w:rFonts w:hint="eastAsia" w:ascii="宋体" w:hAnsi="宋体" w:eastAsia="宋体" w:cs="宋体"/>
          <w:color w:val="auto"/>
          <w:sz w:val="24"/>
          <w:szCs w:val="24"/>
          <w:lang w:val="en-US" w:eastAsia="zh-CN"/>
        </w:rPr>
        <w:t>乙方在合同履行过程中存在下列情形之一的，视为乙方根本违约，甲方有权没收履约保证金，乙方除无条件退还甲方已支付的货款外，应按合同签约总金额百分之三十向甲方支付违约金，并向甲方赔偿由此产生的一切损失（包括但不限于重新招标产生的费用及给甲方造成的其他直接及间接损失等）：</w:t>
      </w:r>
    </w:p>
    <w:p w14:paraId="555AA7F0">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超过约定交货期10日仍未交货</w:t>
      </w:r>
      <w:r>
        <w:rPr>
          <w:rFonts w:hint="eastAsia" w:ascii="宋体" w:hAnsi="宋体" w:eastAsia="宋体" w:cs="宋体"/>
          <w:color w:val="auto"/>
          <w:sz w:val="24"/>
          <w:szCs w:val="24"/>
          <w:lang w:val="en-US" w:eastAsia="zh-CN"/>
        </w:rPr>
        <w:t>的</w:t>
      </w:r>
      <w:r>
        <w:rPr>
          <w:rFonts w:hint="eastAsia" w:ascii="宋体" w:hAnsi="宋体" w:eastAsia="宋体" w:cs="宋体"/>
          <w:color w:val="auto"/>
          <w:sz w:val="24"/>
          <w:szCs w:val="24"/>
        </w:rPr>
        <w:t>，甲方</w:t>
      </w:r>
      <w:r>
        <w:rPr>
          <w:rFonts w:hint="eastAsia" w:ascii="宋体" w:hAnsi="宋体" w:eastAsia="宋体" w:cs="宋体"/>
          <w:color w:val="auto"/>
          <w:sz w:val="24"/>
          <w:szCs w:val="24"/>
          <w:lang w:val="en-US" w:eastAsia="zh-CN"/>
        </w:rPr>
        <w:t>有权</w:t>
      </w:r>
      <w:r>
        <w:rPr>
          <w:rFonts w:hint="eastAsia" w:ascii="宋体" w:hAnsi="宋体" w:eastAsia="宋体" w:cs="宋体"/>
          <w:color w:val="auto"/>
          <w:sz w:val="24"/>
          <w:szCs w:val="24"/>
        </w:rPr>
        <w:t>解除合同</w:t>
      </w:r>
      <w:r>
        <w:rPr>
          <w:rFonts w:hint="eastAsia" w:ascii="宋体" w:hAnsi="宋体" w:eastAsia="宋体" w:cs="宋体"/>
          <w:color w:val="auto"/>
          <w:sz w:val="24"/>
          <w:szCs w:val="24"/>
          <w:lang w:eastAsia="zh-CN"/>
        </w:rPr>
        <w:t>；</w:t>
      </w:r>
    </w:p>
    <w:p w14:paraId="4F7E1B17">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乙方交付货物存在质量缺陷或权利瑕疵</w:t>
      </w:r>
      <w:r>
        <w:rPr>
          <w:rFonts w:hint="eastAsia" w:ascii="宋体" w:hAnsi="宋体" w:eastAsia="宋体" w:cs="宋体"/>
          <w:color w:val="auto"/>
          <w:sz w:val="24"/>
          <w:szCs w:val="24"/>
          <w:lang w:val="en-US" w:eastAsia="zh-CN"/>
        </w:rPr>
        <w:t>的</w:t>
      </w:r>
      <w:r>
        <w:rPr>
          <w:rFonts w:hint="eastAsia" w:ascii="宋体" w:hAnsi="宋体" w:eastAsia="宋体" w:cs="宋体"/>
          <w:color w:val="auto"/>
          <w:sz w:val="24"/>
          <w:szCs w:val="24"/>
        </w:rPr>
        <w:t>，甲方</w:t>
      </w:r>
      <w:r>
        <w:rPr>
          <w:rFonts w:hint="eastAsia" w:ascii="宋体" w:hAnsi="宋体" w:eastAsia="宋体" w:cs="宋体"/>
          <w:color w:val="auto"/>
          <w:sz w:val="24"/>
          <w:szCs w:val="24"/>
          <w:lang w:val="en-US" w:eastAsia="zh-CN"/>
        </w:rPr>
        <w:t>有权</w:t>
      </w:r>
      <w:r>
        <w:rPr>
          <w:rFonts w:hint="eastAsia" w:ascii="宋体" w:hAnsi="宋体" w:eastAsia="宋体" w:cs="宋体"/>
          <w:color w:val="auto"/>
          <w:sz w:val="24"/>
          <w:szCs w:val="24"/>
        </w:rPr>
        <w:t>解除合同</w:t>
      </w:r>
      <w:r>
        <w:rPr>
          <w:rFonts w:hint="eastAsia" w:ascii="宋体" w:hAnsi="宋体" w:eastAsia="宋体" w:cs="宋体"/>
          <w:color w:val="auto"/>
          <w:sz w:val="24"/>
          <w:szCs w:val="24"/>
          <w:lang w:eastAsia="zh-CN"/>
        </w:rPr>
        <w:t>；</w:t>
      </w:r>
    </w:p>
    <w:p w14:paraId="2895BB1F">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乙方单方面解除合同。</w:t>
      </w:r>
    </w:p>
    <w:p w14:paraId="0760C710">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w:t>
      </w:r>
      <w:r>
        <w:rPr>
          <w:rFonts w:hint="eastAsia" w:ascii="宋体" w:hAnsi="宋体" w:eastAsia="宋体" w:cs="宋体"/>
          <w:color w:val="auto"/>
          <w:sz w:val="24"/>
          <w:szCs w:val="24"/>
          <w:lang w:val="en-US" w:eastAsia="zh-CN"/>
        </w:rPr>
        <w:t>三</w:t>
      </w:r>
      <w:r>
        <w:rPr>
          <w:rFonts w:hint="eastAsia" w:ascii="宋体" w:hAnsi="宋体" w:eastAsia="宋体" w:cs="宋体"/>
          <w:color w:val="auto"/>
          <w:sz w:val="24"/>
          <w:szCs w:val="24"/>
        </w:rPr>
        <w:t>）甲方应按本合同约定支付货款，否则应按</w:t>
      </w:r>
      <w:r>
        <w:rPr>
          <w:rFonts w:hint="eastAsia" w:ascii="宋体" w:hAnsi="宋体" w:eastAsia="宋体" w:cs="宋体"/>
          <w:color w:val="auto"/>
          <w:sz w:val="24"/>
          <w:szCs w:val="24"/>
          <w:lang w:val="en-US" w:eastAsia="zh-CN"/>
        </w:rPr>
        <w:t>全国银行间同业拆借中心公布的一年期贷款市场报价利率</w:t>
      </w:r>
      <w:r>
        <w:rPr>
          <w:rFonts w:hint="eastAsia" w:ascii="宋体" w:hAnsi="宋体" w:eastAsia="宋体" w:cs="宋体"/>
          <w:color w:val="auto"/>
          <w:sz w:val="24"/>
          <w:szCs w:val="24"/>
        </w:rPr>
        <w:t>向乙方支付</w:t>
      </w:r>
      <w:r>
        <w:rPr>
          <w:rFonts w:hint="eastAsia" w:ascii="宋体" w:hAnsi="宋体" w:eastAsia="宋体" w:cs="宋体"/>
          <w:color w:val="auto"/>
          <w:sz w:val="24"/>
          <w:szCs w:val="24"/>
          <w:lang w:val="en-US" w:eastAsia="zh-CN"/>
        </w:rPr>
        <w:t>违约金</w:t>
      </w:r>
      <w:r>
        <w:rPr>
          <w:rFonts w:hint="eastAsia" w:ascii="宋体" w:hAnsi="宋体" w:eastAsia="宋体" w:cs="宋体"/>
          <w:color w:val="auto"/>
          <w:sz w:val="24"/>
          <w:szCs w:val="24"/>
        </w:rPr>
        <w:t>。</w:t>
      </w:r>
    </w:p>
    <w:p w14:paraId="2EAD48D0">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b w:val="0"/>
          <w:bCs w:val="0"/>
          <w:color w:val="auto"/>
          <w:sz w:val="24"/>
          <w:szCs w:val="24"/>
          <w:u w:val="none"/>
        </w:rPr>
      </w:pPr>
      <w:r>
        <w:rPr>
          <w:rFonts w:hint="eastAsia" w:ascii="宋体" w:hAnsi="宋体" w:eastAsia="宋体" w:cs="宋体"/>
          <w:color w:val="auto"/>
          <w:sz w:val="24"/>
          <w:szCs w:val="24"/>
          <w:u w:val="none"/>
          <w:lang w:val="en-US" w:eastAsia="zh-CN"/>
        </w:rPr>
        <w:t>（四）因乙方违约行为，甲方主张债权或挽回损失所产生的案件受理费、保全费、诉讼责任保险费、保全担保费、公告费、鉴定费、律师费等费用由乙方承担。</w:t>
      </w:r>
    </w:p>
    <w:p w14:paraId="67D8AB80">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b/>
          <w:bCs/>
          <w:color w:val="auto"/>
          <w:sz w:val="24"/>
          <w:szCs w:val="24"/>
        </w:rPr>
      </w:pPr>
      <w:r>
        <w:rPr>
          <w:rFonts w:hint="eastAsia" w:ascii="宋体" w:hAnsi="宋体" w:eastAsia="宋体" w:cs="宋体"/>
          <w:b/>
          <w:bCs/>
          <w:color w:val="auto"/>
          <w:sz w:val="24"/>
          <w:szCs w:val="24"/>
        </w:rPr>
        <w:t>第十</w:t>
      </w:r>
      <w:r>
        <w:rPr>
          <w:rFonts w:hint="eastAsia" w:ascii="宋体" w:hAnsi="宋体" w:eastAsia="宋体" w:cs="宋体"/>
          <w:b/>
          <w:bCs/>
          <w:color w:val="auto"/>
          <w:sz w:val="24"/>
          <w:szCs w:val="24"/>
          <w:lang w:val="en-US" w:eastAsia="zh-CN"/>
        </w:rPr>
        <w:t>二</w:t>
      </w:r>
      <w:r>
        <w:rPr>
          <w:rFonts w:hint="eastAsia" w:ascii="宋体" w:hAnsi="宋体" w:eastAsia="宋体" w:cs="宋体"/>
          <w:b/>
          <w:bCs/>
          <w:color w:val="auto"/>
          <w:sz w:val="24"/>
          <w:szCs w:val="24"/>
        </w:rPr>
        <w:t>条 联络与送达</w:t>
      </w:r>
    </w:p>
    <w:p w14:paraId="2EC664FF">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（一）甲方指定联系地址：</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；联系人：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；手机：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。用</w:t>
      </w:r>
      <w:r>
        <w:rPr>
          <w:rFonts w:hint="eastAsia" w:ascii="宋体" w:hAnsi="宋体" w:eastAsia="宋体" w:cs="宋体"/>
          <w:color w:val="auto"/>
          <w:sz w:val="24"/>
          <w:szCs w:val="24"/>
          <w:lang w:val="en-US" w:eastAsia="zh-CN"/>
        </w:rPr>
        <w:t>EMS</w:t>
      </w:r>
      <w:r>
        <w:rPr>
          <w:rFonts w:hint="eastAsia" w:ascii="宋体" w:hAnsi="宋体" w:eastAsia="宋体" w:cs="宋体"/>
          <w:color w:val="auto"/>
          <w:sz w:val="24"/>
          <w:szCs w:val="24"/>
        </w:rPr>
        <w:t>特快专递邮寄到前述地址视为有效送达甲方</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此地址和联系方式仅适用于本合同日常履行沟通联系，但法院/仲裁机构送达法律文书需向甲方工商注册地址送达</w:t>
      </w:r>
      <w:r>
        <w:rPr>
          <w:rFonts w:hint="eastAsia" w:ascii="宋体" w:hAnsi="宋体" w:eastAsia="宋体" w:cs="宋体"/>
          <w:color w:val="auto"/>
          <w:sz w:val="24"/>
          <w:szCs w:val="24"/>
        </w:rPr>
        <w:t>。</w:t>
      </w:r>
    </w:p>
    <w:p w14:paraId="73A541DE">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（二）乙方指定联系地址：</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；联系人：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；手机：</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w:t>
      </w:r>
      <w:r>
        <w:rPr>
          <w:rFonts w:hint="eastAsia" w:ascii="宋体" w:hAnsi="宋体" w:eastAsia="宋体" w:cs="宋体"/>
          <w:color w:val="auto"/>
          <w:sz w:val="24"/>
          <w:szCs w:val="24"/>
          <w:lang w:eastAsia="zh-CN"/>
        </w:rPr>
        <w:t>电子邮箱</w:t>
      </w:r>
      <w:r>
        <w:rPr>
          <w:rFonts w:hint="eastAsia" w:ascii="宋体" w:hAnsi="宋体" w:eastAsia="宋体" w:cs="宋体"/>
          <w:color w:val="auto"/>
          <w:sz w:val="24"/>
          <w:szCs w:val="24"/>
        </w:rPr>
        <w:t>：</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。用</w:t>
      </w:r>
      <w:r>
        <w:rPr>
          <w:rFonts w:hint="eastAsia" w:ascii="宋体" w:hAnsi="宋体" w:eastAsia="宋体" w:cs="宋体"/>
          <w:color w:val="auto"/>
          <w:sz w:val="24"/>
          <w:szCs w:val="24"/>
          <w:lang w:val="en-US" w:eastAsia="zh-CN"/>
        </w:rPr>
        <w:t>EMS</w:t>
      </w:r>
      <w:r>
        <w:rPr>
          <w:rFonts w:hint="eastAsia" w:ascii="宋体" w:hAnsi="宋体" w:eastAsia="宋体" w:cs="宋体"/>
          <w:color w:val="auto"/>
          <w:sz w:val="24"/>
          <w:szCs w:val="24"/>
        </w:rPr>
        <w:t>特快专递邮寄到前述地址，或通过手机、QQ、微信、电子邮箱等方式</w:t>
      </w:r>
      <w:r>
        <w:rPr>
          <w:rFonts w:hint="eastAsia" w:ascii="宋体" w:hAnsi="宋体" w:eastAsia="宋体" w:cs="宋体"/>
          <w:color w:val="auto"/>
          <w:sz w:val="24"/>
          <w:szCs w:val="24"/>
          <w:lang w:eastAsia="zh-CN"/>
        </w:rPr>
        <w:t>发送各类文件、函件、</w:t>
      </w:r>
      <w:r>
        <w:rPr>
          <w:rFonts w:hint="eastAsia" w:ascii="宋体" w:hAnsi="宋体" w:eastAsia="宋体" w:cs="宋体"/>
          <w:color w:val="auto"/>
          <w:sz w:val="24"/>
          <w:szCs w:val="24"/>
        </w:rPr>
        <w:t>法律文书</w:t>
      </w:r>
      <w:r>
        <w:rPr>
          <w:rFonts w:hint="eastAsia" w:ascii="宋体" w:hAnsi="宋体" w:eastAsia="宋体" w:cs="宋体"/>
          <w:color w:val="auto"/>
          <w:sz w:val="24"/>
          <w:szCs w:val="24"/>
          <w:lang w:eastAsia="zh-CN"/>
        </w:rPr>
        <w:t>等信息、材料</w:t>
      </w:r>
      <w:r>
        <w:rPr>
          <w:rFonts w:hint="eastAsia" w:ascii="宋体" w:hAnsi="宋体" w:eastAsia="宋体" w:cs="宋体"/>
          <w:color w:val="auto"/>
          <w:sz w:val="24"/>
          <w:szCs w:val="24"/>
        </w:rPr>
        <w:t>，均视有效送达乙方。</w:t>
      </w:r>
      <w:r>
        <w:rPr>
          <w:rFonts w:hint="eastAsia" w:ascii="宋体" w:hAnsi="宋体" w:eastAsia="宋体" w:cs="宋体"/>
          <w:color w:val="auto"/>
          <w:sz w:val="24"/>
          <w:szCs w:val="24"/>
          <w:lang w:eastAsia="zh-CN"/>
        </w:rPr>
        <w:t>甲方</w:t>
      </w:r>
      <w:r>
        <w:rPr>
          <w:rFonts w:hint="eastAsia" w:ascii="宋体" w:hAnsi="宋体" w:eastAsia="宋体" w:cs="宋体"/>
          <w:color w:val="auto"/>
          <w:sz w:val="24"/>
          <w:szCs w:val="24"/>
        </w:rPr>
        <w:t>向</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所发出的信件</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自EMS/快递交邮后的第</w:t>
      </w:r>
      <w:r>
        <w:rPr>
          <w:rFonts w:hint="eastAsia" w:ascii="宋体" w:hAnsi="宋体" w:eastAsia="宋体" w:cs="宋体"/>
          <w:color w:val="auto"/>
          <w:sz w:val="24"/>
          <w:szCs w:val="24"/>
          <w:lang w:eastAsia="zh-CN"/>
        </w:rPr>
        <w:t>5</w:t>
      </w:r>
      <w:r>
        <w:rPr>
          <w:rFonts w:hint="eastAsia" w:ascii="宋体" w:hAnsi="宋体" w:eastAsia="宋体" w:cs="宋体"/>
          <w:color w:val="auto"/>
          <w:sz w:val="24"/>
          <w:szCs w:val="24"/>
        </w:rPr>
        <w:t>日视为送达；发出的短信/微信/电子邮件，自前述电子文件内容在发送方正确填写地址且未被系统退回的情况下，视为进入对方数据电文接收系统即视为送达</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电子送达与书面送达具有同等法律效力。若送达日为非工作日</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 xml:space="preserve"> 则视为在下一工作日送达。</w:t>
      </w:r>
    </w:p>
    <w:p w14:paraId="2C568E28">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（三）任何一方的上述联系方式发生变更的，应在变更后三日内书面通知对方。本合同项</w:t>
      </w:r>
      <w:r>
        <w:rPr>
          <w:rFonts w:hint="eastAsia" w:ascii="宋体" w:hAnsi="宋体" w:eastAsia="宋体" w:cs="宋体"/>
          <w:color w:val="auto"/>
          <w:sz w:val="24"/>
          <w:szCs w:val="24"/>
          <w:lang w:val="en-US" w:eastAsia="zh-CN"/>
        </w:rPr>
        <w:t>下</w:t>
      </w:r>
      <w:r>
        <w:rPr>
          <w:rFonts w:hint="eastAsia" w:ascii="宋体" w:hAnsi="宋体" w:eastAsia="宋体" w:cs="宋体"/>
          <w:color w:val="auto"/>
          <w:sz w:val="24"/>
          <w:szCs w:val="24"/>
        </w:rPr>
        <w:t>债务进入诉讼或仲裁阶段后，则须以书面方式告知审理机关。否则，按上述联系方式发出的通知或其他文书即使变更方没有收到，仍视为送达。</w:t>
      </w:r>
    </w:p>
    <w:p w14:paraId="1A114D9E">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四）司法机关或仲裁机构亦可按上述约定的地址、联系方式向乙方发送相关（法律）文书，无人签收或乙方拒收的，则（法律）文书退回之日视为送达之日；若直接送达时乙方拒收的，送达人可以用拍照、录像方式记录送达过程，并将（法律）文书留置。对于因合同争议引起的纠纷，司法机关可以通过</w:t>
      </w:r>
      <w:r>
        <w:rPr>
          <w:rFonts w:hint="eastAsia" w:ascii="宋体" w:hAnsi="宋体" w:eastAsia="宋体" w:cs="宋体"/>
          <w:color w:val="auto"/>
          <w:sz w:val="24"/>
          <w:szCs w:val="24"/>
          <w:lang w:eastAsia="zh-CN"/>
        </w:rPr>
        <w:t>上述乙方</w:t>
      </w:r>
      <w:r>
        <w:rPr>
          <w:rFonts w:hint="eastAsia" w:ascii="宋体" w:hAnsi="宋体" w:eastAsia="宋体" w:cs="宋体"/>
          <w:color w:val="auto"/>
          <w:sz w:val="24"/>
          <w:szCs w:val="24"/>
        </w:rPr>
        <w:t>指定接收法律文书的手机短信或电子邮件等现代通讯方式送达法律文书；</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同意司法机关采取一种或多种送达方式送达法律文书，送达时间以上述送达方式中最先送达的为准；</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确认上述送达方式适用于各个司法阶段，包括但不限于一审、二审、再审、执行以及督促程序；</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保证送达地址准确、有效，如果提供的地址不确切，或者不及时告知变更后的地址，使法律文书无法送达或未及时送达，</w:t>
      </w:r>
      <w:r>
        <w:rPr>
          <w:rFonts w:hint="eastAsia" w:ascii="宋体" w:hAnsi="宋体" w:eastAsia="宋体" w:cs="宋体"/>
          <w:color w:val="auto"/>
          <w:sz w:val="24"/>
          <w:szCs w:val="24"/>
          <w:lang w:eastAsia="zh-CN"/>
        </w:rPr>
        <w:t>乙方</w:t>
      </w:r>
      <w:r>
        <w:rPr>
          <w:rFonts w:hint="eastAsia" w:ascii="宋体" w:hAnsi="宋体" w:eastAsia="宋体" w:cs="宋体"/>
          <w:color w:val="auto"/>
          <w:sz w:val="24"/>
          <w:szCs w:val="24"/>
        </w:rPr>
        <w:t>自行承担由此可能产生的法律后果。</w:t>
      </w:r>
    </w:p>
    <w:p w14:paraId="297E8D17">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eastAsia="zh-CN"/>
        </w:rPr>
        <w:t>（五）</w:t>
      </w:r>
      <w:r>
        <w:rPr>
          <w:rFonts w:hint="eastAsia" w:ascii="宋体" w:hAnsi="宋体" w:eastAsia="宋体" w:cs="宋体"/>
          <w:color w:val="auto"/>
          <w:sz w:val="24"/>
          <w:szCs w:val="24"/>
        </w:rPr>
        <w:t>合同送达条款为独立条款，不受合同整体或其他条款的效力的影响。</w:t>
      </w:r>
    </w:p>
    <w:p w14:paraId="17A84A66">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第十</w:t>
      </w:r>
      <w:r>
        <w:rPr>
          <w:rFonts w:hint="eastAsia" w:ascii="宋体" w:hAnsi="宋体" w:eastAsia="宋体" w:cs="宋体"/>
          <w:b/>
          <w:bCs/>
          <w:color w:val="auto"/>
          <w:sz w:val="24"/>
          <w:szCs w:val="24"/>
          <w:lang w:val="en-US" w:eastAsia="zh-CN"/>
        </w:rPr>
        <w:t>三</w:t>
      </w:r>
      <w:r>
        <w:rPr>
          <w:rFonts w:hint="eastAsia" w:ascii="宋体" w:hAnsi="宋体" w:eastAsia="宋体" w:cs="宋体"/>
          <w:b/>
          <w:bCs/>
          <w:color w:val="auto"/>
          <w:sz w:val="24"/>
          <w:szCs w:val="24"/>
        </w:rPr>
        <w:t xml:space="preserve">条 </w:t>
      </w:r>
      <w:r>
        <w:rPr>
          <w:rFonts w:hint="eastAsia" w:ascii="宋体" w:hAnsi="宋体" w:eastAsia="宋体" w:cs="宋体"/>
          <w:color w:val="auto"/>
          <w:sz w:val="24"/>
          <w:szCs w:val="24"/>
        </w:rPr>
        <w:t>本合同发生任何争议，由双方友好协商解决。协商不成，双方同意向</w:t>
      </w:r>
      <w:r>
        <w:rPr>
          <w:rFonts w:hint="eastAsia" w:ascii="宋体" w:hAnsi="宋体" w:eastAsia="宋体" w:cs="宋体"/>
          <w:color w:val="auto"/>
          <w:sz w:val="24"/>
          <w:szCs w:val="24"/>
          <w:lang w:val="en-US" w:eastAsia="zh-CN"/>
        </w:rPr>
        <w:t>甲方所在地</w:t>
      </w:r>
      <w:r>
        <w:rPr>
          <w:rFonts w:hint="eastAsia" w:ascii="宋体" w:hAnsi="宋体" w:eastAsia="宋体" w:cs="宋体"/>
          <w:color w:val="auto"/>
          <w:sz w:val="24"/>
          <w:szCs w:val="24"/>
        </w:rPr>
        <w:t>人民法院提起诉讼。</w:t>
      </w:r>
    </w:p>
    <w:p w14:paraId="3A9821CD">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color w:val="auto"/>
          <w:sz w:val="24"/>
          <w:szCs w:val="24"/>
          <w:lang w:val="en-US" w:eastAsia="zh-CN"/>
        </w:rPr>
      </w:pPr>
      <w:r>
        <w:rPr>
          <w:rFonts w:hint="eastAsia" w:ascii="宋体" w:hAnsi="宋体" w:eastAsia="宋体" w:cs="宋体"/>
          <w:b/>
          <w:bCs/>
          <w:color w:val="auto"/>
          <w:sz w:val="24"/>
          <w:szCs w:val="24"/>
        </w:rPr>
        <w:t>第十</w:t>
      </w:r>
      <w:r>
        <w:rPr>
          <w:rFonts w:hint="eastAsia" w:ascii="宋体" w:hAnsi="宋体" w:eastAsia="宋体" w:cs="宋体"/>
          <w:b/>
          <w:bCs/>
          <w:color w:val="auto"/>
          <w:sz w:val="24"/>
          <w:szCs w:val="24"/>
          <w:lang w:val="en-US" w:eastAsia="zh-CN"/>
        </w:rPr>
        <w:t>四</w:t>
      </w:r>
      <w:r>
        <w:rPr>
          <w:rFonts w:hint="eastAsia" w:ascii="宋体" w:hAnsi="宋体" w:eastAsia="宋体" w:cs="宋体"/>
          <w:b/>
          <w:bCs/>
          <w:color w:val="auto"/>
          <w:sz w:val="24"/>
          <w:szCs w:val="24"/>
        </w:rPr>
        <w:t xml:space="preserve">条 </w:t>
      </w:r>
      <w:r>
        <w:rPr>
          <w:rFonts w:hint="eastAsia" w:ascii="宋体" w:hAnsi="宋体" w:eastAsia="宋体" w:cs="宋体"/>
          <w:color w:val="auto"/>
          <w:sz w:val="24"/>
          <w:szCs w:val="24"/>
        </w:rPr>
        <w:t>本合同自双方</w:t>
      </w:r>
      <w:r>
        <w:rPr>
          <w:rFonts w:hint="eastAsia" w:ascii="宋体" w:hAnsi="宋体" w:eastAsia="宋体" w:cs="宋体"/>
          <w:color w:val="auto"/>
          <w:sz w:val="24"/>
          <w:szCs w:val="24"/>
          <w:lang w:eastAsia="zh-CN"/>
        </w:rPr>
        <w:t>签字</w:t>
      </w:r>
      <w:r>
        <w:rPr>
          <w:rFonts w:hint="eastAsia" w:ascii="宋体" w:hAnsi="宋体" w:eastAsia="宋体" w:cs="宋体"/>
          <w:color w:val="auto"/>
          <w:sz w:val="24"/>
          <w:szCs w:val="24"/>
        </w:rPr>
        <w:t>盖章之日起生</w:t>
      </w:r>
      <w:r>
        <w:rPr>
          <w:rFonts w:hint="eastAsia" w:ascii="宋体" w:hAnsi="宋体" w:eastAsia="宋体" w:cs="宋体"/>
          <w:color w:val="auto"/>
          <w:sz w:val="24"/>
          <w:szCs w:val="24"/>
          <w:lang w:eastAsia="zh-CN"/>
        </w:rPr>
        <w:t>效。</w:t>
      </w:r>
      <w:r>
        <w:rPr>
          <w:rFonts w:hint="eastAsia" w:ascii="宋体" w:hAnsi="宋体" w:eastAsia="宋体" w:cs="宋体"/>
          <w:color w:val="auto"/>
          <w:sz w:val="24"/>
          <w:szCs w:val="24"/>
          <w:lang w:val="en-US" w:eastAsia="zh-CN"/>
        </w:rPr>
        <w:t xml:space="preserve">        </w:t>
      </w:r>
    </w:p>
    <w:p w14:paraId="10CD927B">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第十</w:t>
      </w:r>
      <w:r>
        <w:rPr>
          <w:rFonts w:hint="eastAsia" w:ascii="宋体" w:hAnsi="宋体" w:eastAsia="宋体" w:cs="宋体"/>
          <w:b/>
          <w:bCs/>
          <w:color w:val="auto"/>
          <w:sz w:val="24"/>
          <w:szCs w:val="24"/>
          <w:lang w:val="en-US" w:eastAsia="zh-CN"/>
        </w:rPr>
        <w:t>五</w:t>
      </w:r>
      <w:r>
        <w:rPr>
          <w:rFonts w:hint="eastAsia" w:ascii="宋体" w:hAnsi="宋体" w:eastAsia="宋体" w:cs="宋体"/>
          <w:b/>
          <w:bCs/>
          <w:color w:val="auto"/>
          <w:sz w:val="24"/>
          <w:szCs w:val="24"/>
        </w:rPr>
        <w:t>条</w:t>
      </w:r>
      <w:r>
        <w:rPr>
          <w:rFonts w:hint="eastAsia" w:ascii="宋体" w:hAnsi="宋体" w:eastAsia="宋体" w:cs="宋体"/>
          <w:color w:val="auto"/>
          <w:sz w:val="24"/>
          <w:szCs w:val="24"/>
        </w:rPr>
        <w:t xml:space="preserve"> 本合同在执行期间，如有未尽事宜，甲乙双方</w:t>
      </w:r>
      <w:r>
        <w:rPr>
          <w:rFonts w:hint="eastAsia" w:ascii="宋体" w:hAnsi="宋体" w:eastAsia="宋体" w:cs="宋体"/>
          <w:color w:val="auto"/>
          <w:sz w:val="24"/>
          <w:szCs w:val="24"/>
          <w:lang w:val="en-US" w:eastAsia="zh-CN"/>
        </w:rPr>
        <w:t>可</w:t>
      </w:r>
      <w:r>
        <w:rPr>
          <w:rFonts w:hint="eastAsia" w:ascii="宋体" w:hAnsi="宋体" w:eastAsia="宋体" w:cs="宋体"/>
          <w:color w:val="auto"/>
          <w:sz w:val="24"/>
          <w:szCs w:val="24"/>
        </w:rPr>
        <w:t>协商另</w:t>
      </w:r>
      <w:r>
        <w:rPr>
          <w:rFonts w:hint="eastAsia" w:ascii="宋体" w:hAnsi="宋体" w:eastAsia="宋体" w:cs="宋体"/>
          <w:color w:val="auto"/>
          <w:sz w:val="24"/>
          <w:szCs w:val="24"/>
          <w:lang w:val="en-US" w:eastAsia="zh-CN"/>
        </w:rPr>
        <w:t>行</w:t>
      </w:r>
      <w:r>
        <w:rPr>
          <w:rFonts w:hint="eastAsia" w:ascii="宋体" w:hAnsi="宋体" w:eastAsia="宋体" w:cs="宋体"/>
          <w:color w:val="auto"/>
          <w:sz w:val="24"/>
          <w:szCs w:val="24"/>
        </w:rPr>
        <w:t>签订补充协议，补充协议与本合同具有同等</w:t>
      </w:r>
      <w:r>
        <w:rPr>
          <w:rFonts w:hint="eastAsia" w:ascii="宋体" w:hAnsi="宋体" w:eastAsia="宋体" w:cs="宋体"/>
          <w:color w:val="auto"/>
          <w:sz w:val="24"/>
          <w:szCs w:val="24"/>
          <w:lang w:val="en-US" w:eastAsia="zh-CN"/>
        </w:rPr>
        <w:t>法律</w:t>
      </w:r>
      <w:r>
        <w:rPr>
          <w:rFonts w:hint="eastAsia" w:ascii="宋体" w:hAnsi="宋体" w:eastAsia="宋体" w:cs="宋体"/>
          <w:color w:val="auto"/>
          <w:sz w:val="24"/>
          <w:szCs w:val="24"/>
        </w:rPr>
        <w:t>效力。</w:t>
      </w:r>
    </w:p>
    <w:p w14:paraId="30411A8F">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第十</w:t>
      </w:r>
      <w:r>
        <w:rPr>
          <w:rFonts w:hint="eastAsia" w:ascii="宋体" w:hAnsi="宋体" w:eastAsia="宋体" w:cs="宋体"/>
          <w:b/>
          <w:bCs/>
          <w:color w:val="auto"/>
          <w:sz w:val="24"/>
          <w:szCs w:val="24"/>
          <w:lang w:val="en-US" w:eastAsia="zh-CN"/>
        </w:rPr>
        <w:t>六</w:t>
      </w:r>
      <w:r>
        <w:rPr>
          <w:rFonts w:hint="eastAsia" w:ascii="宋体" w:hAnsi="宋体" w:eastAsia="宋体" w:cs="宋体"/>
          <w:b/>
          <w:bCs/>
          <w:color w:val="auto"/>
          <w:sz w:val="24"/>
          <w:szCs w:val="24"/>
        </w:rPr>
        <w:t>条</w:t>
      </w:r>
      <w:r>
        <w:rPr>
          <w:rFonts w:hint="eastAsia" w:ascii="宋体" w:hAnsi="宋体" w:eastAsia="宋体" w:cs="宋体"/>
          <w:color w:val="auto"/>
          <w:sz w:val="24"/>
          <w:szCs w:val="24"/>
        </w:rPr>
        <w:t xml:space="preserve"> </w:t>
      </w:r>
      <w:r>
        <w:rPr>
          <w:rFonts w:hint="eastAsia" w:ascii="宋体" w:hAnsi="宋体" w:eastAsia="宋体" w:cs="宋体"/>
          <w:color w:val="auto"/>
          <w:sz w:val="24"/>
          <w:szCs w:val="24"/>
          <w:lang w:val="en-US" w:eastAsia="zh-CN"/>
        </w:rPr>
        <w:t>本</w:t>
      </w:r>
      <w:r>
        <w:rPr>
          <w:rFonts w:hint="eastAsia" w:ascii="宋体" w:hAnsi="宋体" w:eastAsia="宋体" w:cs="宋体"/>
          <w:color w:val="auto"/>
          <w:sz w:val="24"/>
          <w:szCs w:val="24"/>
        </w:rPr>
        <w:t>合同一式</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份，甲方执</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份，乙方执</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rPr>
        <w:t>份，具有同等法律效力。</w:t>
      </w:r>
    </w:p>
    <w:p w14:paraId="6DE36710">
      <w:pPr>
        <w:keepNext w:val="0"/>
        <w:keepLines w:val="0"/>
        <w:pageBreakBefore w:val="0"/>
        <w:widowControl w:val="0"/>
        <w:kinsoku/>
        <w:wordWrap/>
        <w:overflowPunct/>
        <w:topLinePunct w:val="0"/>
        <w:autoSpaceDE/>
        <w:autoSpaceDN/>
        <w:bidi w:val="0"/>
        <w:adjustRightInd/>
        <w:snapToGrid/>
        <w:spacing w:line="520" w:lineRule="exact"/>
        <w:ind w:firstLine="482" w:firstLineChars="200"/>
        <w:textAlignment w:val="auto"/>
        <w:rPr>
          <w:rFonts w:hint="eastAsia" w:ascii="宋体" w:hAnsi="宋体" w:eastAsia="宋体" w:cs="宋体"/>
          <w:color w:val="auto"/>
          <w:sz w:val="24"/>
          <w:szCs w:val="24"/>
        </w:rPr>
      </w:pPr>
      <w:r>
        <w:rPr>
          <w:rFonts w:hint="eastAsia" w:ascii="宋体" w:hAnsi="宋体" w:eastAsia="宋体" w:cs="宋体"/>
          <w:b/>
          <w:bCs/>
          <w:color w:val="auto"/>
          <w:sz w:val="24"/>
          <w:szCs w:val="24"/>
        </w:rPr>
        <w:t>第十</w:t>
      </w:r>
      <w:r>
        <w:rPr>
          <w:rFonts w:hint="eastAsia" w:ascii="宋体" w:hAnsi="宋体" w:eastAsia="宋体" w:cs="宋体"/>
          <w:b/>
          <w:bCs/>
          <w:color w:val="auto"/>
          <w:sz w:val="24"/>
          <w:szCs w:val="24"/>
          <w:lang w:val="en-US" w:eastAsia="zh-CN"/>
        </w:rPr>
        <w:t>七</w:t>
      </w:r>
      <w:r>
        <w:rPr>
          <w:rFonts w:hint="eastAsia" w:ascii="宋体" w:hAnsi="宋体" w:eastAsia="宋体" w:cs="宋体"/>
          <w:b/>
          <w:bCs/>
          <w:color w:val="auto"/>
          <w:sz w:val="24"/>
          <w:szCs w:val="24"/>
        </w:rPr>
        <w:t>条</w:t>
      </w:r>
      <w:r>
        <w:rPr>
          <w:rFonts w:hint="eastAsia" w:ascii="宋体" w:hAnsi="宋体" w:eastAsia="宋体" w:cs="宋体"/>
          <w:b/>
          <w:bCs/>
          <w:color w:val="auto"/>
          <w:sz w:val="24"/>
          <w:szCs w:val="24"/>
          <w:lang w:val="en-US" w:eastAsia="zh-CN"/>
        </w:rPr>
        <w:t xml:space="preserve"> </w:t>
      </w:r>
      <w:r>
        <w:rPr>
          <w:rFonts w:hint="eastAsia" w:ascii="宋体" w:hAnsi="宋体" w:eastAsia="宋体" w:cs="宋体"/>
          <w:color w:val="auto"/>
          <w:sz w:val="24"/>
          <w:szCs w:val="24"/>
          <w:lang w:val="en-US" w:eastAsia="zh-CN"/>
        </w:rPr>
        <w:t>甲乙双方其他约定：</w:t>
      </w:r>
      <w:r>
        <w:rPr>
          <w:rFonts w:hint="eastAsia" w:ascii="宋体" w:hAnsi="宋体" w:eastAsia="宋体" w:cs="宋体"/>
          <w:color w:val="auto"/>
          <w:sz w:val="24"/>
          <w:szCs w:val="24"/>
          <w:u w:val="single"/>
        </w:rPr>
        <w:t xml:space="preserve">      </w:t>
      </w:r>
      <w:r>
        <w:rPr>
          <w:rFonts w:hint="eastAsia" w:ascii="宋体" w:hAnsi="宋体" w:eastAsia="宋体" w:cs="宋体"/>
          <w:color w:val="auto"/>
          <w:sz w:val="24"/>
          <w:szCs w:val="24"/>
          <w:u w:val="single"/>
          <w:lang w:val="en-US" w:eastAsia="zh-CN"/>
        </w:rPr>
        <w:t xml:space="preserve">                      </w:t>
      </w:r>
      <w:r>
        <w:rPr>
          <w:rFonts w:hint="eastAsia" w:ascii="宋体" w:hAnsi="宋体" w:eastAsia="宋体" w:cs="宋体"/>
          <w:color w:val="auto"/>
          <w:sz w:val="24"/>
          <w:szCs w:val="24"/>
          <w:lang w:val="en-US" w:eastAsia="zh-CN"/>
        </w:rPr>
        <w:t>。</w:t>
      </w:r>
    </w:p>
    <w:p w14:paraId="0CA67D30">
      <w:pPr>
        <w:keepNext w:val="0"/>
        <w:keepLines w:val="0"/>
        <w:pageBreakBefore w:val="0"/>
        <w:widowControl w:val="0"/>
        <w:kinsoku/>
        <w:wordWrap/>
        <w:overflowPunct/>
        <w:topLinePunct w:val="0"/>
        <w:autoSpaceDE/>
        <w:autoSpaceDN/>
        <w:bidi w:val="0"/>
        <w:adjustRightInd/>
        <w:snapToGrid/>
        <w:spacing w:line="520" w:lineRule="exact"/>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（以下无正文）</w:t>
      </w:r>
    </w:p>
    <w:tbl>
      <w:tblPr>
        <w:tblStyle w:val="13"/>
        <w:tblpPr w:leftFromText="180" w:rightFromText="180" w:vertAnchor="text" w:horzAnchor="page" w:tblpX="1198" w:tblpY="349"/>
        <w:tblOverlap w:val="never"/>
        <w:tblW w:w="5000" w:type="pct"/>
        <w:tblInd w:w="0" w:type="dxa"/>
        <w:tblLayout w:type="autofit"/>
        <w:tblCellMar>
          <w:top w:w="0" w:type="dxa"/>
          <w:left w:w="108" w:type="dxa"/>
          <w:bottom w:w="0" w:type="dxa"/>
          <w:right w:w="108" w:type="dxa"/>
        </w:tblCellMar>
      </w:tblPr>
      <w:tblGrid>
        <w:gridCol w:w="4261"/>
        <w:gridCol w:w="4261"/>
      </w:tblGrid>
      <w:tr w14:paraId="7968CB54">
        <w:tblPrEx>
          <w:tblCellMar>
            <w:top w:w="0" w:type="dxa"/>
            <w:left w:w="108" w:type="dxa"/>
            <w:bottom w:w="0" w:type="dxa"/>
            <w:right w:w="108" w:type="dxa"/>
          </w:tblCellMar>
        </w:tblPrEx>
        <w:tc>
          <w:tcPr>
            <w:tcW w:w="2500" w:type="pct"/>
            <w:noWrap w:val="0"/>
            <w:vAlign w:val="top"/>
          </w:tcPr>
          <w:p w14:paraId="4836404A">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甲方：</w:t>
            </w:r>
            <w:r>
              <w:rPr>
                <w:rFonts w:hint="eastAsia" w:ascii="宋体" w:hAnsi="宋体" w:eastAsia="宋体" w:cs="宋体"/>
                <w:color w:val="auto"/>
                <w:kern w:val="0"/>
                <w:sz w:val="24"/>
                <w:szCs w:val="24"/>
              </w:rPr>
              <w:t>湄洲湾职业技术学院</w:t>
            </w:r>
          </w:p>
        </w:tc>
        <w:tc>
          <w:tcPr>
            <w:tcW w:w="2500" w:type="pct"/>
            <w:noWrap w:val="0"/>
            <w:vAlign w:val="top"/>
          </w:tcPr>
          <w:p w14:paraId="27BABA3C">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乙方：</w:t>
            </w:r>
            <w:r>
              <w:rPr>
                <w:rFonts w:hint="eastAsia" w:ascii="宋体" w:hAnsi="宋体" w:eastAsia="宋体" w:cs="宋体"/>
                <w:color w:val="auto"/>
                <w:sz w:val="24"/>
                <w:szCs w:val="24"/>
                <w:lang w:val="en-US" w:eastAsia="zh-CN"/>
              </w:rPr>
              <w:t xml:space="preserve"> </w:t>
            </w:r>
          </w:p>
        </w:tc>
      </w:tr>
      <w:tr w14:paraId="22E0051C">
        <w:tblPrEx>
          <w:tblCellMar>
            <w:top w:w="0" w:type="dxa"/>
            <w:left w:w="108" w:type="dxa"/>
            <w:bottom w:w="0" w:type="dxa"/>
            <w:right w:w="108" w:type="dxa"/>
          </w:tblCellMar>
        </w:tblPrEx>
        <w:tc>
          <w:tcPr>
            <w:tcW w:w="2500" w:type="pct"/>
            <w:noWrap w:val="0"/>
            <w:vAlign w:val="center"/>
          </w:tcPr>
          <w:p w14:paraId="7630AFDB">
            <w:pPr>
              <w:keepNext w:val="0"/>
              <w:keepLines w:val="0"/>
              <w:pageBreakBefore w:val="0"/>
              <w:widowControl w:val="0"/>
              <w:kinsoku/>
              <w:wordWrap/>
              <w:overflowPunct/>
              <w:topLinePunct w:val="0"/>
              <w:autoSpaceDE/>
              <w:autoSpaceDN/>
              <w:bidi w:val="0"/>
              <w:adjustRightInd/>
              <w:snapToGrid/>
              <w:spacing w:line="52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单位地址：莆田涵江区梧塘镇荔涵东大道1001号</w:t>
            </w:r>
          </w:p>
        </w:tc>
        <w:tc>
          <w:tcPr>
            <w:tcW w:w="2500" w:type="pct"/>
            <w:noWrap w:val="0"/>
            <w:vAlign w:val="top"/>
          </w:tcPr>
          <w:p w14:paraId="1CFAE2BC">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单位地址：</w:t>
            </w:r>
            <w:r>
              <w:rPr>
                <w:rFonts w:hint="eastAsia" w:ascii="宋体" w:hAnsi="宋体" w:eastAsia="宋体" w:cs="宋体"/>
                <w:color w:val="auto"/>
                <w:sz w:val="24"/>
                <w:szCs w:val="24"/>
                <w:lang w:val="en-US" w:eastAsia="zh-CN"/>
              </w:rPr>
              <w:t xml:space="preserve"> </w:t>
            </w:r>
          </w:p>
        </w:tc>
      </w:tr>
      <w:tr w14:paraId="41E41B1F">
        <w:tblPrEx>
          <w:tblCellMar>
            <w:top w:w="0" w:type="dxa"/>
            <w:left w:w="108" w:type="dxa"/>
            <w:bottom w:w="0" w:type="dxa"/>
            <w:right w:w="108" w:type="dxa"/>
          </w:tblCellMar>
        </w:tblPrEx>
        <w:tc>
          <w:tcPr>
            <w:tcW w:w="2500" w:type="pct"/>
            <w:noWrap w:val="0"/>
            <w:vAlign w:val="top"/>
          </w:tcPr>
          <w:p w14:paraId="61949B89">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rPr>
              <w:t>单位负责人：</w:t>
            </w:r>
          </w:p>
        </w:tc>
        <w:tc>
          <w:tcPr>
            <w:tcW w:w="2500" w:type="pct"/>
            <w:noWrap w:val="0"/>
            <w:vAlign w:val="top"/>
          </w:tcPr>
          <w:p w14:paraId="06DF17E5">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kern w:val="0"/>
                <w:sz w:val="24"/>
                <w:szCs w:val="24"/>
              </w:rPr>
              <w:t>单位负责人：</w:t>
            </w:r>
          </w:p>
        </w:tc>
      </w:tr>
      <w:tr w14:paraId="6BDFD9B7">
        <w:tblPrEx>
          <w:tblCellMar>
            <w:top w:w="0" w:type="dxa"/>
            <w:left w:w="108" w:type="dxa"/>
            <w:bottom w:w="0" w:type="dxa"/>
            <w:right w:w="108" w:type="dxa"/>
          </w:tblCellMar>
        </w:tblPrEx>
        <w:tc>
          <w:tcPr>
            <w:tcW w:w="2500" w:type="pct"/>
            <w:noWrap w:val="0"/>
            <w:vAlign w:val="top"/>
          </w:tcPr>
          <w:p w14:paraId="1D471E1B">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委托代理人：</w:t>
            </w:r>
          </w:p>
        </w:tc>
        <w:tc>
          <w:tcPr>
            <w:tcW w:w="2500" w:type="pct"/>
            <w:noWrap w:val="0"/>
            <w:vAlign w:val="top"/>
          </w:tcPr>
          <w:p w14:paraId="457637F6">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委托代理人：</w:t>
            </w:r>
          </w:p>
        </w:tc>
      </w:tr>
      <w:tr w14:paraId="350887D5">
        <w:tblPrEx>
          <w:tblCellMar>
            <w:top w:w="0" w:type="dxa"/>
            <w:left w:w="108" w:type="dxa"/>
            <w:bottom w:w="0" w:type="dxa"/>
            <w:right w:w="108" w:type="dxa"/>
          </w:tblCellMar>
        </w:tblPrEx>
        <w:tc>
          <w:tcPr>
            <w:tcW w:w="2500" w:type="pct"/>
            <w:noWrap w:val="0"/>
            <w:vAlign w:val="top"/>
          </w:tcPr>
          <w:p w14:paraId="14E0FA8D">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rPr>
              <w:t>联系方法：</w:t>
            </w:r>
          </w:p>
        </w:tc>
        <w:tc>
          <w:tcPr>
            <w:tcW w:w="2500" w:type="pct"/>
            <w:noWrap w:val="0"/>
            <w:vAlign w:val="top"/>
          </w:tcPr>
          <w:p w14:paraId="4DDB2A9D">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kern w:val="0"/>
                <w:sz w:val="24"/>
                <w:szCs w:val="24"/>
              </w:rPr>
              <w:t>联系方法：</w:t>
            </w:r>
          </w:p>
        </w:tc>
      </w:tr>
      <w:tr w14:paraId="2877261A">
        <w:tblPrEx>
          <w:tblCellMar>
            <w:top w:w="0" w:type="dxa"/>
            <w:left w:w="108" w:type="dxa"/>
            <w:bottom w:w="0" w:type="dxa"/>
            <w:right w:w="108" w:type="dxa"/>
          </w:tblCellMar>
        </w:tblPrEx>
        <w:tc>
          <w:tcPr>
            <w:tcW w:w="2500" w:type="pct"/>
            <w:noWrap w:val="0"/>
            <w:vAlign w:val="top"/>
          </w:tcPr>
          <w:p w14:paraId="5600F102">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开户银行：</w:t>
            </w:r>
          </w:p>
        </w:tc>
        <w:tc>
          <w:tcPr>
            <w:tcW w:w="2500" w:type="pct"/>
            <w:noWrap w:val="0"/>
            <w:vAlign w:val="top"/>
          </w:tcPr>
          <w:p w14:paraId="7CA5CF74">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开户银行：</w:t>
            </w:r>
          </w:p>
        </w:tc>
      </w:tr>
      <w:tr w14:paraId="766ADF33">
        <w:tblPrEx>
          <w:tblCellMar>
            <w:top w:w="0" w:type="dxa"/>
            <w:left w:w="108" w:type="dxa"/>
            <w:bottom w:w="0" w:type="dxa"/>
            <w:right w:w="108" w:type="dxa"/>
          </w:tblCellMar>
        </w:tblPrEx>
        <w:trPr>
          <w:trHeight w:val="68" w:hRule="atLeast"/>
        </w:trPr>
        <w:tc>
          <w:tcPr>
            <w:tcW w:w="2500" w:type="pct"/>
            <w:noWrap w:val="0"/>
            <w:vAlign w:val="top"/>
          </w:tcPr>
          <w:p w14:paraId="105BAB0F">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账号：</w:t>
            </w:r>
          </w:p>
        </w:tc>
        <w:tc>
          <w:tcPr>
            <w:tcW w:w="2500" w:type="pct"/>
            <w:noWrap w:val="0"/>
            <w:vAlign w:val="top"/>
          </w:tcPr>
          <w:p w14:paraId="015D125F">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账号：</w:t>
            </w:r>
          </w:p>
        </w:tc>
      </w:tr>
    </w:tbl>
    <w:p w14:paraId="3C598237">
      <w:pPr>
        <w:keepNext w:val="0"/>
        <w:keepLines w:val="0"/>
        <w:pageBreakBefore w:val="0"/>
        <w:widowControl w:val="0"/>
        <w:kinsoku/>
        <w:wordWrap/>
        <w:overflowPunct/>
        <w:topLinePunct w:val="0"/>
        <w:autoSpaceDE/>
        <w:autoSpaceDN/>
        <w:bidi w:val="0"/>
        <w:adjustRightInd/>
        <w:snapToGrid/>
        <w:spacing w:line="520" w:lineRule="exact"/>
        <w:textAlignment w:val="auto"/>
        <w:rPr>
          <w:rFonts w:hint="eastAsia" w:ascii="宋体" w:hAnsi="宋体" w:eastAsia="宋体" w:cs="宋体"/>
          <w:color w:val="auto"/>
          <w:sz w:val="24"/>
          <w:szCs w:val="24"/>
        </w:rPr>
      </w:pPr>
    </w:p>
    <w:p w14:paraId="4B10E488">
      <w:pPr>
        <w:pStyle w:val="10"/>
        <w:widowControl/>
        <w:spacing w:before="75" w:beforeLines="0" w:beforeAutospacing="0" w:after="75" w:afterLines="0" w:afterAutospacing="0" w:line="435" w:lineRule="atLeast"/>
        <w:jc w:val="center"/>
        <w:rPr>
          <w:color w:val="auto"/>
          <w:highlight w:val="none"/>
        </w:rPr>
      </w:pPr>
    </w:p>
    <w:p w14:paraId="349C86CA">
      <w:pPr>
        <w:pStyle w:val="10"/>
        <w:widowControl/>
        <w:spacing w:before="75" w:beforeLines="0" w:beforeAutospacing="0" w:after="75" w:afterLines="0" w:afterAutospacing="0" w:line="435" w:lineRule="atLeast"/>
        <w:jc w:val="center"/>
        <w:outlineLvl w:val="0"/>
        <w:rPr>
          <w:color w:val="auto"/>
          <w:highlight w:val="none"/>
        </w:rPr>
      </w:pPr>
      <w:r>
        <w:rPr>
          <w:rStyle w:val="16"/>
          <w:rFonts w:hint="eastAsia" w:ascii="宋体" w:hAnsi="宋体" w:cs="宋体"/>
          <w:color w:val="auto"/>
          <w:highlight w:val="none"/>
        </w:rPr>
        <w:br w:type="page"/>
      </w:r>
      <w:bookmarkStart w:id="20" w:name="_Toc16112"/>
      <w:bookmarkStart w:id="21" w:name="_Toc27691"/>
      <w:r>
        <w:rPr>
          <w:rStyle w:val="16"/>
          <w:rFonts w:hint="eastAsia" w:ascii="宋体" w:hAnsi="宋体" w:cs="宋体"/>
          <w:color w:val="auto"/>
          <w:highlight w:val="none"/>
        </w:rPr>
        <w:t>第五章 首次响应文件格式</w:t>
      </w:r>
      <w:bookmarkEnd w:id="20"/>
      <w:bookmarkEnd w:id="21"/>
    </w:p>
    <w:p w14:paraId="4E4CF611">
      <w:pPr>
        <w:pStyle w:val="10"/>
        <w:widowControl/>
        <w:spacing w:before="75" w:beforeLines="0" w:beforeAutospacing="0" w:after="75" w:afterLines="0" w:afterAutospacing="0"/>
        <w:jc w:val="center"/>
        <w:rPr>
          <w:color w:val="auto"/>
          <w:highlight w:val="none"/>
        </w:rPr>
      </w:pPr>
      <w:r>
        <w:rPr>
          <w:rStyle w:val="16"/>
          <w:rFonts w:hint="eastAsia" w:ascii="宋体" w:hAnsi="宋体" w:cs="宋体"/>
          <w:color w:val="auto"/>
          <w:highlight w:val="none"/>
        </w:rPr>
        <w:t> </w:t>
      </w:r>
    </w:p>
    <w:p w14:paraId="364FAECC">
      <w:pPr>
        <w:pStyle w:val="18"/>
        <w:jc w:val="center"/>
        <w:outlineLvl w:val="2"/>
        <w:rPr>
          <w:rFonts w:hint="default"/>
        </w:rPr>
      </w:pPr>
      <w:r>
        <w:rPr>
          <w:b/>
          <w:sz w:val="28"/>
        </w:rPr>
        <w:t>编制说明</w:t>
      </w:r>
    </w:p>
    <w:p w14:paraId="513CCD37">
      <w:pPr>
        <w:pStyle w:val="18"/>
        <w:ind w:firstLine="480"/>
        <w:rPr>
          <w:rFonts w:hint="default"/>
        </w:rPr>
      </w:pPr>
      <w:r>
        <w:t>1、本附件所有格式为响应文件的组成部分，供采购人或代理机构编制磋商文件时参考使用。由于新增政策、行业管理规定或者不同项目实际特点需要,则采购人或代理机构可以对有关表格进行必要的补充或修改，以满足实际项目的使用。</w:t>
      </w:r>
    </w:p>
    <w:p w14:paraId="2F44D498">
      <w:pPr>
        <w:pStyle w:val="18"/>
        <w:rPr>
          <w:rFonts w:hint="eastAsia" w:eastAsia="宋体"/>
          <w:lang w:eastAsia="zh-CN"/>
        </w:rPr>
      </w:pPr>
      <w:r>
        <w:t xml:space="preserve"> </w:t>
      </w:r>
    </w:p>
    <w:p w14:paraId="74A662FE">
      <w:pPr>
        <w:pStyle w:val="18"/>
        <w:rPr>
          <w:rFonts w:hint="default"/>
        </w:rPr>
      </w:pPr>
      <w:r>
        <w:br w:type="page"/>
      </w:r>
    </w:p>
    <w:p w14:paraId="4ECFC360">
      <w:pPr>
        <w:pStyle w:val="18"/>
        <w:jc w:val="center"/>
        <w:outlineLvl w:val="0"/>
        <w:rPr>
          <w:rFonts w:hint="default"/>
        </w:rPr>
      </w:pPr>
      <w:r>
        <w:rPr>
          <w:b/>
          <w:sz w:val="48"/>
        </w:rPr>
        <w:t xml:space="preserve"> 福建省政府采购项目竞争性磋商</w:t>
      </w:r>
    </w:p>
    <w:p w14:paraId="6848D43D">
      <w:pPr>
        <w:pStyle w:val="18"/>
        <w:jc w:val="center"/>
        <w:outlineLvl w:val="1"/>
        <w:rPr>
          <w:rFonts w:hint="default"/>
        </w:rPr>
      </w:pPr>
      <w:r>
        <w:rPr>
          <w:b/>
          <w:sz w:val="36"/>
        </w:rPr>
        <w:t>响应文件</w:t>
      </w:r>
    </w:p>
    <w:p w14:paraId="554F5821">
      <w:pPr>
        <w:pStyle w:val="18"/>
        <w:jc w:val="center"/>
        <w:outlineLvl w:val="1"/>
        <w:rPr>
          <w:rFonts w:hint="eastAsia" w:eastAsia="宋体"/>
          <w:b/>
          <w:sz w:val="36"/>
          <w:lang w:eastAsia="zh-CN"/>
        </w:rPr>
      </w:pPr>
      <w:r>
        <w:rPr>
          <w:b/>
          <w:sz w:val="36"/>
        </w:rPr>
        <w:t>（首次）</w:t>
      </w:r>
    </w:p>
    <w:p w14:paraId="7033FF11">
      <w:pPr>
        <w:pStyle w:val="18"/>
        <w:jc w:val="center"/>
        <w:outlineLvl w:val="1"/>
        <w:rPr>
          <w:rFonts w:hint="eastAsia" w:eastAsia="宋体"/>
          <w:b/>
          <w:sz w:val="36"/>
          <w:lang w:eastAsia="zh-CN"/>
        </w:rPr>
      </w:pPr>
    </w:p>
    <w:p w14:paraId="50FBB496">
      <w:pPr>
        <w:pStyle w:val="18"/>
        <w:jc w:val="center"/>
        <w:outlineLvl w:val="1"/>
        <w:rPr>
          <w:rFonts w:hint="eastAsia" w:eastAsia="宋体"/>
          <w:lang w:eastAsia="zh-CN"/>
        </w:rPr>
      </w:pPr>
    </w:p>
    <w:p w14:paraId="71774521">
      <w:pPr>
        <w:pStyle w:val="18"/>
        <w:jc w:val="center"/>
        <w:outlineLvl w:val="1"/>
        <w:rPr>
          <w:rFonts w:hint="eastAsia" w:eastAsia="宋体"/>
          <w:lang w:eastAsia="zh-CN"/>
        </w:rPr>
      </w:pPr>
    </w:p>
    <w:p w14:paraId="5D070EED">
      <w:pPr>
        <w:pStyle w:val="18"/>
        <w:jc w:val="center"/>
        <w:outlineLvl w:val="1"/>
        <w:rPr>
          <w:rFonts w:hint="eastAsia" w:eastAsia="宋体"/>
          <w:lang w:eastAsia="zh-CN"/>
        </w:rPr>
      </w:pPr>
    </w:p>
    <w:p w14:paraId="1ED5758C">
      <w:pPr>
        <w:pStyle w:val="18"/>
        <w:jc w:val="center"/>
        <w:outlineLvl w:val="1"/>
        <w:rPr>
          <w:rFonts w:hint="eastAsia" w:eastAsia="宋体"/>
          <w:lang w:eastAsia="zh-CN"/>
        </w:rPr>
      </w:pPr>
    </w:p>
    <w:p w14:paraId="3C02A6D9">
      <w:pPr>
        <w:pStyle w:val="18"/>
        <w:jc w:val="center"/>
        <w:outlineLvl w:val="2"/>
        <w:rPr>
          <w:rFonts w:hint="default"/>
        </w:rPr>
      </w:pPr>
      <w:r>
        <w:rPr>
          <w:b/>
          <w:sz w:val="28"/>
        </w:rPr>
        <w:t>项目名称：</w:t>
      </w:r>
      <w:r>
        <w:rPr>
          <w:b/>
          <w:sz w:val="28"/>
          <w:u w:val="single"/>
        </w:rPr>
        <w:t xml:space="preserve">                                  </w:t>
      </w:r>
    </w:p>
    <w:p w14:paraId="794C87CF">
      <w:pPr>
        <w:pStyle w:val="18"/>
        <w:jc w:val="center"/>
        <w:outlineLvl w:val="2"/>
        <w:rPr>
          <w:rFonts w:hint="default"/>
        </w:rPr>
      </w:pPr>
      <w:r>
        <w:rPr>
          <w:b/>
          <w:sz w:val="28"/>
        </w:rPr>
        <w:t>项目编号：</w:t>
      </w:r>
      <w:r>
        <w:rPr>
          <w:b/>
          <w:sz w:val="28"/>
          <w:u w:val="single"/>
        </w:rPr>
        <w:t xml:space="preserve">                                  </w:t>
      </w:r>
    </w:p>
    <w:p w14:paraId="4CD95789">
      <w:pPr>
        <w:pStyle w:val="18"/>
        <w:jc w:val="center"/>
        <w:outlineLvl w:val="2"/>
        <w:rPr>
          <w:rFonts w:hint="eastAsia" w:eastAsia="宋体"/>
          <w:b/>
          <w:sz w:val="28"/>
          <w:u w:val="single"/>
          <w:lang w:eastAsia="zh-CN"/>
        </w:rPr>
      </w:pPr>
      <w:r>
        <w:rPr>
          <w:b/>
          <w:sz w:val="28"/>
        </w:rPr>
        <w:t>采购包：</w:t>
      </w:r>
      <w:r>
        <w:rPr>
          <w:b/>
          <w:sz w:val="28"/>
          <w:u w:val="single"/>
        </w:rPr>
        <w:t xml:space="preserve">                                  </w:t>
      </w:r>
    </w:p>
    <w:p w14:paraId="70189F27">
      <w:pPr>
        <w:pStyle w:val="18"/>
        <w:jc w:val="center"/>
        <w:outlineLvl w:val="2"/>
        <w:rPr>
          <w:rFonts w:hint="eastAsia" w:eastAsia="宋体"/>
          <w:b/>
          <w:sz w:val="28"/>
          <w:u w:val="single"/>
          <w:lang w:eastAsia="zh-CN"/>
        </w:rPr>
      </w:pPr>
    </w:p>
    <w:p w14:paraId="79EBA321">
      <w:pPr>
        <w:pStyle w:val="18"/>
        <w:jc w:val="center"/>
        <w:outlineLvl w:val="2"/>
        <w:rPr>
          <w:rFonts w:hint="eastAsia" w:eastAsia="宋体"/>
          <w:lang w:eastAsia="zh-CN"/>
        </w:rPr>
      </w:pPr>
    </w:p>
    <w:p w14:paraId="26F92C9D">
      <w:pPr>
        <w:pStyle w:val="18"/>
        <w:jc w:val="center"/>
        <w:outlineLvl w:val="2"/>
        <w:rPr>
          <w:rFonts w:hint="default"/>
        </w:rPr>
      </w:pPr>
      <w:r>
        <w:rPr>
          <w:b/>
          <w:sz w:val="28"/>
        </w:rPr>
        <w:t>供应商名称：</w:t>
      </w:r>
      <w:r>
        <w:rPr>
          <w:b/>
          <w:sz w:val="28"/>
          <w:u w:val="single"/>
        </w:rPr>
        <w:t xml:space="preserve">                                  </w:t>
      </w:r>
    </w:p>
    <w:p w14:paraId="3548531C">
      <w:pPr>
        <w:pStyle w:val="18"/>
        <w:jc w:val="center"/>
        <w:outlineLvl w:val="2"/>
        <w:rPr>
          <w:rFonts w:hint="default"/>
        </w:rPr>
      </w:pPr>
      <w:r>
        <w:rPr>
          <w:b/>
          <w:sz w:val="28"/>
        </w:rPr>
        <w:t>日        期：</w:t>
      </w:r>
      <w:r>
        <w:rPr>
          <w:b/>
          <w:sz w:val="28"/>
          <w:u w:val="single"/>
        </w:rPr>
        <w:t xml:space="preserve">                                  </w:t>
      </w:r>
    </w:p>
    <w:p w14:paraId="466AE6ED">
      <w:pPr>
        <w:pStyle w:val="18"/>
        <w:rPr>
          <w:rFonts w:hint="eastAsia" w:eastAsia="宋体"/>
          <w:lang w:eastAsia="zh-CN"/>
        </w:rPr>
      </w:pPr>
      <w:r>
        <w:t xml:space="preserve"> </w:t>
      </w:r>
    </w:p>
    <w:p w14:paraId="11903EC1">
      <w:pPr>
        <w:pStyle w:val="18"/>
        <w:rPr>
          <w:rFonts w:hint="default"/>
        </w:rPr>
      </w:pPr>
      <w:r>
        <w:br w:type="page"/>
      </w:r>
    </w:p>
    <w:p w14:paraId="343B3638">
      <w:pPr>
        <w:pStyle w:val="18"/>
        <w:jc w:val="center"/>
        <w:outlineLvl w:val="2"/>
        <w:rPr>
          <w:rFonts w:hint="default"/>
        </w:rPr>
      </w:pPr>
      <w:r>
        <w:rPr>
          <w:b/>
          <w:sz w:val="28"/>
        </w:rPr>
        <w:t>目 录</w:t>
      </w:r>
    </w:p>
    <w:p w14:paraId="67050F64">
      <w:pPr>
        <w:pStyle w:val="18"/>
        <w:ind w:firstLine="480"/>
        <w:rPr>
          <w:rFonts w:hint="default"/>
        </w:rPr>
      </w:pPr>
      <w:r>
        <w:t>附件1：响应函</w:t>
      </w:r>
    </w:p>
    <w:p w14:paraId="7EA183A5">
      <w:pPr>
        <w:pStyle w:val="18"/>
        <w:ind w:firstLine="480"/>
        <w:rPr>
          <w:rFonts w:hint="default"/>
        </w:rPr>
      </w:pPr>
      <w:r>
        <w:t>附件2：报价一览表（含详细报价书）</w:t>
      </w:r>
    </w:p>
    <w:p w14:paraId="7FE1FD25">
      <w:pPr>
        <w:pStyle w:val="18"/>
        <w:ind w:firstLine="480"/>
        <w:rPr>
          <w:rFonts w:hint="default"/>
        </w:rPr>
      </w:pPr>
      <w:r>
        <w:t>附件3：资格证明文件</w:t>
      </w:r>
    </w:p>
    <w:p w14:paraId="0C041EB3">
      <w:pPr>
        <w:pStyle w:val="18"/>
        <w:ind w:firstLine="480"/>
        <w:rPr>
          <w:rFonts w:hint="default"/>
        </w:rPr>
      </w:pPr>
      <w:r>
        <w:t>附件4：磋商保证金凭证</w:t>
      </w:r>
    </w:p>
    <w:p w14:paraId="127F2AEE">
      <w:pPr>
        <w:pStyle w:val="18"/>
        <w:ind w:firstLine="480"/>
        <w:rPr>
          <w:rFonts w:hint="default"/>
        </w:rPr>
      </w:pPr>
      <w:r>
        <w:t>附件5：技术和商务偏离表</w:t>
      </w:r>
    </w:p>
    <w:p w14:paraId="2244830A">
      <w:pPr>
        <w:pStyle w:val="18"/>
        <w:ind w:firstLine="480"/>
        <w:rPr>
          <w:rFonts w:hint="default"/>
        </w:rPr>
      </w:pPr>
      <w:r>
        <w:t>附件6：相关技术、商务、服务响应承诺及资料</w:t>
      </w:r>
    </w:p>
    <w:p w14:paraId="56FF2E4E">
      <w:pPr>
        <w:pStyle w:val="18"/>
        <w:ind w:firstLine="480"/>
        <w:rPr>
          <w:rFonts w:hint="default"/>
        </w:rPr>
      </w:pPr>
      <w:r>
        <w:t>附件7：供应商提交的其他资料</w:t>
      </w:r>
    </w:p>
    <w:p w14:paraId="1A831E74">
      <w:pPr>
        <w:pStyle w:val="18"/>
        <w:ind w:firstLine="480"/>
        <w:rPr>
          <w:rFonts w:hint="default"/>
        </w:rPr>
      </w:pPr>
      <w:r>
        <w:t>附件8：要求作为响应文件组成部分的其他内容（若有）</w:t>
      </w:r>
    </w:p>
    <w:p w14:paraId="41E3AAE2">
      <w:pPr>
        <w:pStyle w:val="18"/>
        <w:rPr>
          <w:rFonts w:hint="eastAsia" w:eastAsia="宋体"/>
          <w:lang w:eastAsia="zh-CN"/>
        </w:rPr>
      </w:pPr>
      <w:r>
        <w:t xml:space="preserve"> </w:t>
      </w:r>
    </w:p>
    <w:p w14:paraId="450ADF2D">
      <w:pPr>
        <w:pStyle w:val="18"/>
        <w:rPr>
          <w:rFonts w:hint="default"/>
        </w:rPr>
      </w:pPr>
      <w:r>
        <w:br w:type="page"/>
      </w:r>
    </w:p>
    <w:p w14:paraId="15633F52">
      <w:pPr>
        <w:pStyle w:val="18"/>
        <w:jc w:val="center"/>
        <w:outlineLvl w:val="2"/>
        <w:rPr>
          <w:rFonts w:hint="default"/>
        </w:rPr>
      </w:pPr>
      <w:r>
        <w:rPr>
          <w:b/>
          <w:sz w:val="28"/>
        </w:rPr>
        <w:t>附件1 磋商响应声明</w:t>
      </w:r>
    </w:p>
    <w:p w14:paraId="23931545">
      <w:pPr>
        <w:pStyle w:val="18"/>
        <w:ind w:firstLine="480"/>
        <w:rPr>
          <w:rFonts w:hint="default"/>
        </w:rPr>
      </w:pPr>
      <w:r>
        <w:t>致：</w:t>
      </w:r>
      <w:r>
        <w:rPr>
          <w:u w:val="single"/>
        </w:rPr>
        <w:t>（采购人或采购代理机构）</w:t>
      </w:r>
    </w:p>
    <w:p w14:paraId="2C2F9E75">
      <w:pPr>
        <w:pStyle w:val="18"/>
        <w:ind w:firstLine="480"/>
        <w:rPr>
          <w:rFonts w:hint="default"/>
        </w:rPr>
      </w:pPr>
      <w:r>
        <w:t>1.根据贵方为</w:t>
      </w:r>
      <w:r>
        <w:rPr>
          <w:u w:val="single"/>
        </w:rPr>
        <w:t xml:space="preserve">　　　　 　 　　　　 </w:t>
      </w:r>
      <w:r>
        <w:t xml:space="preserve"> 项目（项目编号）:</w:t>
      </w:r>
      <w:r>
        <w:rPr>
          <w:u w:val="single"/>
        </w:rPr>
        <w:t xml:space="preserve">　　　　 　　　　 　 </w:t>
      </w:r>
      <w:r>
        <w:t xml:space="preserve"> 的采购公告（或采购邀请书），我方签字代表</w:t>
      </w:r>
      <w:r>
        <w:rPr>
          <w:u w:val="single"/>
        </w:rPr>
        <w:t xml:space="preserve"> （全名、职务）</w:t>
      </w:r>
      <w:r>
        <w:t>经正式授权并代表的供应商</w:t>
      </w:r>
      <w:r>
        <w:rPr>
          <w:u w:val="single"/>
        </w:rPr>
        <w:t>（供应商名称、地址）</w:t>
      </w:r>
      <w:r>
        <w:t>提交包含下述内容的首次响应纸质文件正本</w:t>
      </w:r>
      <w:r>
        <w:rPr>
          <w:u w:val="single"/>
        </w:rPr>
        <w:t>　　</w:t>
      </w:r>
      <w:r>
        <w:t>套，副本</w:t>
      </w:r>
      <w:r>
        <w:rPr>
          <w:u w:val="single"/>
        </w:rPr>
        <w:t>　　</w:t>
      </w:r>
      <w:r>
        <w:t>套及电子文档</w:t>
      </w:r>
      <w:r>
        <w:rPr>
          <w:u w:val="single"/>
        </w:rPr>
        <w:t>　　</w:t>
      </w:r>
      <w:r>
        <w:t>套。</w:t>
      </w:r>
    </w:p>
    <w:p w14:paraId="0EB4B752">
      <w:pPr>
        <w:pStyle w:val="18"/>
        <w:ind w:firstLine="480"/>
        <w:rPr>
          <w:rFonts w:hint="default"/>
        </w:rPr>
      </w:pPr>
      <w:r>
        <w:t>（1）响应函</w:t>
      </w:r>
    </w:p>
    <w:p w14:paraId="29457C9F">
      <w:pPr>
        <w:pStyle w:val="18"/>
        <w:ind w:firstLine="480"/>
        <w:rPr>
          <w:rFonts w:hint="default"/>
        </w:rPr>
      </w:pPr>
      <w:r>
        <w:t>（2）报价一览表（含详细报价书）</w:t>
      </w:r>
    </w:p>
    <w:p w14:paraId="766C4D14">
      <w:pPr>
        <w:pStyle w:val="18"/>
        <w:ind w:firstLine="480"/>
        <w:rPr>
          <w:rFonts w:hint="default"/>
        </w:rPr>
      </w:pPr>
      <w:r>
        <w:t>（3）资格证明文件</w:t>
      </w:r>
    </w:p>
    <w:p w14:paraId="15F8D0C3">
      <w:pPr>
        <w:pStyle w:val="18"/>
        <w:ind w:firstLine="480"/>
        <w:rPr>
          <w:rFonts w:hint="default"/>
        </w:rPr>
      </w:pPr>
      <w:r>
        <w:t>（4）磋商保证金凭证</w:t>
      </w:r>
    </w:p>
    <w:p w14:paraId="0D891D13">
      <w:pPr>
        <w:pStyle w:val="18"/>
        <w:ind w:firstLine="480"/>
        <w:rPr>
          <w:rFonts w:hint="default"/>
        </w:rPr>
      </w:pPr>
      <w:r>
        <w:t>（5）技术和商务偏离表</w:t>
      </w:r>
    </w:p>
    <w:p w14:paraId="57253AD5">
      <w:pPr>
        <w:pStyle w:val="18"/>
        <w:ind w:firstLine="480"/>
        <w:rPr>
          <w:rFonts w:hint="default"/>
        </w:rPr>
      </w:pPr>
      <w:r>
        <w:t>（6）相关技术、商务、服务响应承诺及资料</w:t>
      </w:r>
    </w:p>
    <w:p w14:paraId="1893664F">
      <w:pPr>
        <w:pStyle w:val="18"/>
        <w:ind w:firstLine="480"/>
        <w:rPr>
          <w:rFonts w:hint="default"/>
        </w:rPr>
      </w:pPr>
      <w:r>
        <w:t>（7）供应商提交的其他资料</w:t>
      </w:r>
    </w:p>
    <w:p w14:paraId="434FA91B">
      <w:pPr>
        <w:pStyle w:val="18"/>
        <w:ind w:firstLine="480"/>
        <w:rPr>
          <w:rFonts w:hint="default"/>
        </w:rPr>
      </w:pPr>
      <w:r>
        <w:t>（8）按照磋商文件规定，要求作为响应文件组成部分的其他内容（若有）</w:t>
      </w:r>
    </w:p>
    <w:p w14:paraId="5C058A4D">
      <w:pPr>
        <w:pStyle w:val="18"/>
        <w:ind w:firstLine="480"/>
        <w:rPr>
          <w:rFonts w:hint="default"/>
        </w:rPr>
      </w:pPr>
      <w:r>
        <w:t>2.据此函，我方宣布响应承诺如下：</w:t>
      </w:r>
    </w:p>
    <w:p w14:paraId="144C7CDA">
      <w:pPr>
        <w:pStyle w:val="18"/>
        <w:ind w:firstLine="480"/>
        <w:rPr>
          <w:rFonts w:hint="default"/>
        </w:rPr>
      </w:pPr>
      <w:r>
        <w:t xml:space="preserve"> 2.1我方已详细审查全部竞争性磋商文件，包括澄清、修改、补充或更正文件（如有的话）和有关附件，我方完全熟悉和理解其中的要求、条款和条件，且无任何异议。除了我方已在技术和商务偏离表中列出的负偏差和不响应外，我方承诺将按竞争性磋商文件的各项规定履行合同责任和义务。竞争性磋商文件及其附件资料如果有涉及应当保密的内容， 我方将严格遵守规定，不将应当保密的内容泄密给第三方或另作它用，如有违反，采购人可依法追究我方的法律责任。</w:t>
      </w:r>
    </w:p>
    <w:p w14:paraId="759CB185">
      <w:pPr>
        <w:pStyle w:val="18"/>
        <w:ind w:firstLine="480"/>
        <w:rPr>
          <w:rFonts w:hint="default"/>
        </w:rPr>
      </w:pPr>
      <w:r>
        <w:t>2.2一旦我方获得成交，我方将按照竞争性磋商文件的要求和我方提交的响应文件（包括首次响应文件、补充澄清、最后报价等响应文件）中的承诺，投入项目所需相关资源，并在合同约定的期限内组织有经验的人员做好项目的实施和服务工作。贵方向我方发出成交通知书后，我方承诺遵守国家相关法律和竞争性磋商文件的要求， 并在规定的期限内与采购人签订合同。</w:t>
      </w:r>
    </w:p>
    <w:p w14:paraId="344FF947">
      <w:pPr>
        <w:pStyle w:val="18"/>
        <w:ind w:firstLine="480"/>
        <w:rPr>
          <w:rFonts w:hint="default"/>
        </w:rPr>
      </w:pPr>
      <w:r>
        <w:t>2.3我方承诺：递交的所有响应文件（包括首次响应文件、补充澄清、最后报价等响应文件）在竞争性磋商须知前附表第4项规定的响应文件有效期内始终保持有效，我方将受此约束。我方对响应文件中的所有承诺、声明、数据和资料的真实性、准确性、合法性、有效性负责；我方响应文件中有关复印件或扫描件资料均与原件一致。 如有违反，我方将承担法律责任和后果。</w:t>
      </w:r>
    </w:p>
    <w:p w14:paraId="25420067">
      <w:pPr>
        <w:pStyle w:val="18"/>
        <w:ind w:firstLine="480"/>
        <w:rPr>
          <w:rFonts w:hint="default"/>
        </w:rPr>
      </w:pPr>
      <w:r>
        <w:t>2.4我方已经按照磋商文件要求提交磋商保证金，磋商保证金有效期与响应文件有效期一致，我方如果发生任何竞争性磋商文件中所述不予退还磋商保证金的情况， 则我方的磋商保证金将被贵方不予退还，我方对此无异议。磋商保证金或保函有效期与响应文件有效期保持一致。</w:t>
      </w:r>
    </w:p>
    <w:p w14:paraId="0DAE36DA">
      <w:pPr>
        <w:pStyle w:val="18"/>
        <w:ind w:firstLine="480"/>
        <w:rPr>
          <w:rFonts w:hint="default"/>
        </w:rPr>
      </w:pPr>
      <w:r>
        <w:t>2.5我方愿意向贵方提供任何与本项目磋商采购有关的数据或资料。若贵方需要，我方愿意提供我方作出的一切承诺的证明材料。</w:t>
      </w:r>
    </w:p>
    <w:p w14:paraId="067ED747">
      <w:pPr>
        <w:pStyle w:val="18"/>
        <w:ind w:firstLine="480"/>
        <w:rPr>
          <w:rFonts w:hint="default"/>
        </w:rPr>
      </w:pPr>
      <w:r>
        <w:t>2.6我方联系方式、电子信箱和通信地址等信息如下，用于接受贵方发出的与本次磋商活动有关的一切往来信息或通知（包括补充、澄清和成交通知等），我方自行承担信息错误、通讯设备故障或延误查收信息给我方带来的后果和责任。 贵方按我方写明的下述联系方式、电子信箱或通信地址发出任何信息或通知，均视同为我方已收悉并知晓，我方均予以认可。</w:t>
      </w:r>
    </w:p>
    <w:p w14:paraId="47CA0620">
      <w:pPr>
        <w:pStyle w:val="18"/>
        <w:ind w:firstLine="480"/>
        <w:rPr>
          <w:rFonts w:hint="default"/>
        </w:rPr>
      </w:pPr>
      <w:r>
        <w:t>2.7我方承诺遵守《中华人民共和国劳动合同法》有关规定和《中华人民共和国妇女权益保障法 》中关于“劳动和社会保障权益”的有关要求。</w:t>
      </w:r>
    </w:p>
    <w:p w14:paraId="51C17446">
      <w:pPr>
        <w:pStyle w:val="18"/>
        <w:ind w:firstLine="480"/>
        <w:rPr>
          <w:rFonts w:hint="eastAsia" w:eastAsia="宋体"/>
          <w:lang w:eastAsia="zh-CN"/>
        </w:rPr>
      </w:pPr>
      <w:r>
        <w:t>2.8我方承诺响应文件所提供的全部资料真实可靠，并接受磋商小组、采购人、采购代理机构、监管部门进一步审查其中任何资料真实性的要求。</w:t>
      </w:r>
    </w:p>
    <w:p w14:paraId="26231FB5">
      <w:pPr>
        <w:pStyle w:val="18"/>
        <w:ind w:firstLine="480"/>
        <w:rPr>
          <w:rFonts w:hint="eastAsia" w:eastAsia="宋体"/>
          <w:lang w:eastAsia="zh-CN"/>
        </w:rPr>
      </w:pPr>
    </w:p>
    <w:p w14:paraId="514FADDC">
      <w:pPr>
        <w:pStyle w:val="18"/>
        <w:ind w:firstLine="480"/>
        <w:rPr>
          <w:rFonts w:hint="default"/>
        </w:rPr>
      </w:pPr>
      <w:r>
        <w:t>通信地址:</w:t>
      </w:r>
      <w:r>
        <w:rPr>
          <w:u w:val="single"/>
        </w:rPr>
        <w:t>　　　　　　　　　　　</w:t>
      </w:r>
    </w:p>
    <w:p w14:paraId="2FBF9994">
      <w:pPr>
        <w:pStyle w:val="18"/>
        <w:ind w:firstLine="480"/>
        <w:rPr>
          <w:rFonts w:hint="default"/>
        </w:rPr>
      </w:pPr>
      <w:r>
        <w:t>邮编：</w:t>
      </w:r>
      <w:r>
        <w:rPr>
          <w:u w:val="single"/>
        </w:rPr>
        <w:t>　　　　　　</w:t>
      </w:r>
      <w:r>
        <w:t xml:space="preserve"> 传真号：</w:t>
      </w:r>
      <w:r>
        <w:rPr>
          <w:u w:val="single"/>
        </w:rPr>
        <w:t>　　　　　　</w:t>
      </w:r>
    </w:p>
    <w:p w14:paraId="15FA4C80">
      <w:pPr>
        <w:pStyle w:val="18"/>
        <w:ind w:firstLine="480"/>
        <w:rPr>
          <w:rFonts w:hint="default"/>
        </w:rPr>
      </w:pPr>
      <w:r>
        <w:t>联系电话（固定电话和移动电话）：</w:t>
      </w:r>
      <w:r>
        <w:rPr>
          <w:u w:val="single"/>
        </w:rPr>
        <w:t>　　　　　　　　</w:t>
      </w:r>
    </w:p>
    <w:p w14:paraId="2E84068F">
      <w:pPr>
        <w:pStyle w:val="18"/>
        <w:ind w:firstLine="480"/>
        <w:rPr>
          <w:rFonts w:hint="default"/>
        </w:rPr>
      </w:pPr>
      <w:r>
        <w:t>供应商代表：</w:t>
      </w:r>
      <w:r>
        <w:rPr>
          <w:u w:val="single"/>
        </w:rPr>
        <w:t>　　（签字）　　</w:t>
      </w:r>
    </w:p>
    <w:p w14:paraId="2CA5D05D">
      <w:pPr>
        <w:pStyle w:val="18"/>
        <w:ind w:firstLine="480"/>
        <w:rPr>
          <w:rFonts w:hint="default"/>
        </w:rPr>
      </w:pPr>
      <w:r>
        <w:t>供应商代表电子信箱：</w:t>
      </w:r>
      <w:r>
        <w:rPr>
          <w:u w:val="single"/>
        </w:rPr>
        <w:t>　　　　　　　　</w:t>
      </w:r>
    </w:p>
    <w:p w14:paraId="4834F964">
      <w:pPr>
        <w:pStyle w:val="18"/>
        <w:ind w:firstLine="480"/>
        <w:rPr>
          <w:rFonts w:hint="default"/>
        </w:rPr>
      </w:pPr>
      <w:r>
        <w:t>供应商：</w:t>
      </w:r>
      <w:r>
        <w:rPr>
          <w:u w:val="single"/>
        </w:rPr>
        <w:t>　　（全称并加盖公章）　　</w:t>
      </w:r>
    </w:p>
    <w:p w14:paraId="43454411">
      <w:pPr>
        <w:pStyle w:val="18"/>
        <w:ind w:firstLine="480"/>
        <w:rPr>
          <w:rFonts w:hint="default"/>
        </w:rPr>
      </w:pPr>
      <w:r>
        <w:t>日期：</w:t>
      </w:r>
      <w:r>
        <w:rPr>
          <w:u w:val="single"/>
        </w:rPr>
        <w:t xml:space="preserve">　　 </w:t>
      </w:r>
      <w:r>
        <w:t>年</w:t>
      </w:r>
      <w:r>
        <w:rPr>
          <w:u w:val="single"/>
        </w:rPr>
        <w:t>　　</w:t>
      </w:r>
      <w:r>
        <w:t>月</w:t>
      </w:r>
      <w:r>
        <w:rPr>
          <w:u w:val="single"/>
        </w:rPr>
        <w:t>　　</w:t>
      </w:r>
      <w:r>
        <w:t>日</w:t>
      </w:r>
    </w:p>
    <w:p w14:paraId="6845CFD5">
      <w:pPr>
        <w:pStyle w:val="18"/>
        <w:rPr>
          <w:rFonts w:hint="eastAsia" w:eastAsia="宋体"/>
          <w:lang w:eastAsia="zh-CN"/>
        </w:rPr>
      </w:pPr>
      <w:r>
        <w:t xml:space="preserve"> </w:t>
      </w:r>
    </w:p>
    <w:p w14:paraId="11B764F3">
      <w:pPr>
        <w:pStyle w:val="18"/>
        <w:rPr>
          <w:rFonts w:hint="default"/>
        </w:rPr>
      </w:pPr>
      <w:r>
        <w:br w:type="page"/>
      </w:r>
    </w:p>
    <w:p w14:paraId="5D36087B">
      <w:pPr>
        <w:pStyle w:val="18"/>
        <w:jc w:val="center"/>
        <w:outlineLvl w:val="2"/>
        <w:rPr>
          <w:rFonts w:hint="default"/>
        </w:rPr>
      </w:pPr>
      <w:r>
        <w:rPr>
          <w:b/>
          <w:sz w:val="28"/>
        </w:rPr>
        <w:t>附件2 报价一览表</w:t>
      </w:r>
    </w:p>
    <w:p w14:paraId="2A35A44F">
      <w:pPr>
        <w:pStyle w:val="18"/>
        <w:ind w:firstLine="480"/>
        <w:rPr>
          <w:rFonts w:hint="default"/>
        </w:rPr>
      </w:pPr>
      <w:r>
        <w:t>供应商名称：</w:t>
      </w:r>
      <w:r>
        <w:rPr>
          <w:u w:val="single"/>
        </w:rPr>
        <w:t>（全称加盖单位公章）</w:t>
      </w:r>
      <w:r>
        <w:t xml:space="preserve"> 项目编号∶</w:t>
      </w:r>
      <w:r>
        <w:rPr>
          <w:u w:val="single"/>
        </w:rPr>
        <w:t>　　　　　　</w:t>
      </w:r>
      <w:r>
        <w:t>货币单位：元人民币</w:t>
      </w:r>
    </w:p>
    <w:tbl>
      <w:tblPr>
        <w:tblStyle w:val="13"/>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09"/>
        <w:gridCol w:w="1519"/>
        <w:gridCol w:w="2026"/>
        <w:gridCol w:w="2026"/>
        <w:gridCol w:w="2026"/>
      </w:tblGrid>
      <w:tr w14:paraId="714C6BF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9" w:type="dxa"/>
            <w:noWrap w:val="0"/>
            <w:vAlign w:val="top"/>
          </w:tcPr>
          <w:p w14:paraId="63DBEBE8">
            <w:pPr>
              <w:pStyle w:val="18"/>
              <w:rPr>
                <w:rFonts w:hint="default"/>
              </w:rPr>
            </w:pPr>
            <w:r>
              <w:t>采购包</w:t>
            </w:r>
          </w:p>
        </w:tc>
        <w:tc>
          <w:tcPr>
            <w:tcW w:w="1519" w:type="dxa"/>
            <w:noWrap w:val="0"/>
            <w:vAlign w:val="top"/>
          </w:tcPr>
          <w:p w14:paraId="12DF32B5">
            <w:pPr>
              <w:pStyle w:val="18"/>
              <w:rPr>
                <w:rFonts w:hint="default"/>
              </w:rPr>
            </w:pPr>
            <w:r>
              <w:t>首次报价</w:t>
            </w:r>
          </w:p>
        </w:tc>
        <w:tc>
          <w:tcPr>
            <w:tcW w:w="2026" w:type="dxa"/>
            <w:noWrap w:val="0"/>
            <w:vAlign w:val="top"/>
          </w:tcPr>
          <w:p w14:paraId="25FCBD9C">
            <w:pPr>
              <w:pStyle w:val="18"/>
              <w:rPr>
                <w:rFonts w:hint="default"/>
              </w:rPr>
            </w:pPr>
            <w:r>
              <w:t>交货期/工期/项目完成时间/服务时间</w:t>
            </w:r>
          </w:p>
        </w:tc>
        <w:tc>
          <w:tcPr>
            <w:tcW w:w="2026" w:type="dxa"/>
            <w:noWrap w:val="0"/>
            <w:vAlign w:val="top"/>
          </w:tcPr>
          <w:p w14:paraId="6C66AF99">
            <w:pPr>
              <w:pStyle w:val="18"/>
              <w:rPr>
                <w:rFonts w:hint="default"/>
              </w:rPr>
            </w:pPr>
            <w:r>
              <w:t>磋商保证金</w:t>
            </w:r>
          </w:p>
        </w:tc>
        <w:tc>
          <w:tcPr>
            <w:tcW w:w="2026" w:type="dxa"/>
            <w:noWrap w:val="0"/>
            <w:vAlign w:val="top"/>
          </w:tcPr>
          <w:p w14:paraId="0CB900E5">
            <w:pPr>
              <w:pStyle w:val="18"/>
              <w:rPr>
                <w:rFonts w:hint="default"/>
              </w:rPr>
            </w:pPr>
            <w:r>
              <w:t>备注</w:t>
            </w:r>
          </w:p>
        </w:tc>
      </w:tr>
      <w:tr w14:paraId="3E60425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9" w:type="dxa"/>
            <w:noWrap w:val="0"/>
            <w:vAlign w:val="top"/>
          </w:tcPr>
          <w:p w14:paraId="044C2B1B">
            <w:pPr>
              <w:pStyle w:val="18"/>
              <w:rPr>
                <w:rFonts w:hint="default"/>
              </w:rPr>
            </w:pPr>
            <w:r>
              <w:t>......</w:t>
            </w:r>
          </w:p>
        </w:tc>
        <w:tc>
          <w:tcPr>
            <w:tcW w:w="1519" w:type="dxa"/>
            <w:noWrap w:val="0"/>
            <w:vAlign w:val="top"/>
          </w:tcPr>
          <w:p w14:paraId="7565169E">
            <w:pPr>
              <w:pStyle w:val="18"/>
              <w:rPr>
                <w:rFonts w:hint="default"/>
              </w:rPr>
            </w:pPr>
            <w:r>
              <w:t xml:space="preserve">    </w:t>
            </w:r>
          </w:p>
        </w:tc>
        <w:tc>
          <w:tcPr>
            <w:tcW w:w="2026" w:type="dxa"/>
            <w:noWrap w:val="0"/>
            <w:vAlign w:val="top"/>
          </w:tcPr>
          <w:p w14:paraId="0F32743B">
            <w:pPr>
              <w:pStyle w:val="18"/>
              <w:rPr>
                <w:rFonts w:hint="default"/>
              </w:rPr>
            </w:pPr>
            <w:r>
              <w:t xml:space="preserve">    </w:t>
            </w:r>
          </w:p>
        </w:tc>
        <w:tc>
          <w:tcPr>
            <w:tcW w:w="2026" w:type="dxa"/>
            <w:noWrap w:val="0"/>
            <w:vAlign w:val="top"/>
          </w:tcPr>
          <w:p w14:paraId="782B220C">
            <w:pPr>
              <w:pStyle w:val="18"/>
              <w:rPr>
                <w:rFonts w:hint="default"/>
              </w:rPr>
            </w:pPr>
            <w:r>
              <w:t xml:space="preserve">    </w:t>
            </w:r>
          </w:p>
        </w:tc>
        <w:tc>
          <w:tcPr>
            <w:tcW w:w="2026" w:type="dxa"/>
            <w:noWrap w:val="0"/>
            <w:vAlign w:val="top"/>
          </w:tcPr>
          <w:p w14:paraId="0F45EC73">
            <w:pPr>
              <w:pStyle w:val="18"/>
              <w:rPr>
                <w:rFonts w:hint="default"/>
              </w:rPr>
            </w:pPr>
            <w:r>
              <w:t xml:space="preserve">    </w:t>
            </w:r>
          </w:p>
        </w:tc>
      </w:tr>
      <w:tr w14:paraId="1DE6784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9" w:type="dxa"/>
            <w:noWrap w:val="0"/>
            <w:vAlign w:val="top"/>
          </w:tcPr>
          <w:p w14:paraId="6C9B5F20">
            <w:pPr>
              <w:pStyle w:val="18"/>
              <w:rPr>
                <w:rFonts w:hint="default"/>
              </w:rPr>
            </w:pPr>
            <w:r>
              <w:t>......</w:t>
            </w:r>
          </w:p>
        </w:tc>
        <w:tc>
          <w:tcPr>
            <w:tcW w:w="1519" w:type="dxa"/>
            <w:noWrap w:val="0"/>
            <w:vAlign w:val="top"/>
          </w:tcPr>
          <w:p w14:paraId="6538FF42">
            <w:pPr>
              <w:pStyle w:val="18"/>
              <w:rPr>
                <w:rFonts w:hint="default"/>
              </w:rPr>
            </w:pPr>
            <w:r>
              <w:t xml:space="preserve">    </w:t>
            </w:r>
          </w:p>
        </w:tc>
        <w:tc>
          <w:tcPr>
            <w:tcW w:w="2026" w:type="dxa"/>
            <w:noWrap w:val="0"/>
            <w:vAlign w:val="top"/>
          </w:tcPr>
          <w:p w14:paraId="6308AE84">
            <w:pPr>
              <w:pStyle w:val="18"/>
              <w:rPr>
                <w:rFonts w:hint="default"/>
              </w:rPr>
            </w:pPr>
            <w:r>
              <w:t xml:space="preserve">    </w:t>
            </w:r>
          </w:p>
        </w:tc>
        <w:tc>
          <w:tcPr>
            <w:tcW w:w="2026" w:type="dxa"/>
            <w:noWrap w:val="0"/>
            <w:vAlign w:val="top"/>
          </w:tcPr>
          <w:p w14:paraId="4ABAE350">
            <w:pPr>
              <w:pStyle w:val="18"/>
              <w:rPr>
                <w:rFonts w:hint="default"/>
              </w:rPr>
            </w:pPr>
            <w:r>
              <w:t xml:space="preserve">    </w:t>
            </w:r>
          </w:p>
        </w:tc>
        <w:tc>
          <w:tcPr>
            <w:tcW w:w="2026" w:type="dxa"/>
            <w:noWrap w:val="0"/>
            <w:vAlign w:val="top"/>
          </w:tcPr>
          <w:p w14:paraId="409E2493">
            <w:pPr>
              <w:pStyle w:val="18"/>
              <w:rPr>
                <w:rFonts w:hint="default"/>
              </w:rPr>
            </w:pPr>
            <w:r>
              <w:t xml:space="preserve">    </w:t>
            </w:r>
          </w:p>
        </w:tc>
      </w:tr>
      <w:tr w14:paraId="3523C7D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9" w:type="dxa"/>
            <w:noWrap w:val="0"/>
            <w:vAlign w:val="top"/>
          </w:tcPr>
          <w:p w14:paraId="3C04BBB2">
            <w:pPr>
              <w:pStyle w:val="18"/>
              <w:rPr>
                <w:rFonts w:hint="default"/>
              </w:rPr>
            </w:pPr>
            <w:r>
              <w:t>......</w:t>
            </w:r>
          </w:p>
        </w:tc>
        <w:tc>
          <w:tcPr>
            <w:tcW w:w="1519" w:type="dxa"/>
            <w:noWrap w:val="0"/>
            <w:vAlign w:val="top"/>
          </w:tcPr>
          <w:p w14:paraId="4D907455">
            <w:pPr>
              <w:pStyle w:val="18"/>
              <w:rPr>
                <w:rFonts w:hint="default"/>
              </w:rPr>
            </w:pPr>
            <w:r>
              <w:t xml:space="preserve">    </w:t>
            </w:r>
          </w:p>
        </w:tc>
        <w:tc>
          <w:tcPr>
            <w:tcW w:w="2026" w:type="dxa"/>
            <w:noWrap w:val="0"/>
            <w:vAlign w:val="top"/>
          </w:tcPr>
          <w:p w14:paraId="29DA0AA1">
            <w:pPr>
              <w:pStyle w:val="18"/>
              <w:rPr>
                <w:rFonts w:hint="default"/>
              </w:rPr>
            </w:pPr>
            <w:r>
              <w:t xml:space="preserve">    </w:t>
            </w:r>
          </w:p>
        </w:tc>
        <w:tc>
          <w:tcPr>
            <w:tcW w:w="2026" w:type="dxa"/>
            <w:noWrap w:val="0"/>
            <w:vAlign w:val="top"/>
          </w:tcPr>
          <w:p w14:paraId="6A31B852">
            <w:pPr>
              <w:pStyle w:val="18"/>
              <w:rPr>
                <w:rFonts w:hint="default"/>
              </w:rPr>
            </w:pPr>
            <w:r>
              <w:t xml:space="preserve">    </w:t>
            </w:r>
          </w:p>
        </w:tc>
        <w:tc>
          <w:tcPr>
            <w:tcW w:w="2026" w:type="dxa"/>
            <w:noWrap w:val="0"/>
            <w:vAlign w:val="top"/>
          </w:tcPr>
          <w:p w14:paraId="5780FF04">
            <w:pPr>
              <w:pStyle w:val="18"/>
              <w:rPr>
                <w:rFonts w:hint="default"/>
              </w:rPr>
            </w:pPr>
            <w:r>
              <w:t xml:space="preserve">    </w:t>
            </w:r>
          </w:p>
        </w:tc>
      </w:tr>
    </w:tbl>
    <w:p w14:paraId="3B22F247">
      <w:pPr>
        <w:pStyle w:val="18"/>
        <w:ind w:firstLine="480"/>
        <w:rPr>
          <w:rFonts w:hint="default"/>
        </w:rPr>
      </w:pPr>
      <w:r>
        <w:t>备注：详细报价书另纸详列，格式自拟。</w:t>
      </w:r>
    </w:p>
    <w:p w14:paraId="1A75B83F">
      <w:pPr>
        <w:pStyle w:val="18"/>
        <w:ind w:firstLine="480"/>
        <w:rPr>
          <w:rFonts w:hint="default"/>
        </w:rPr>
      </w:pPr>
      <w:r>
        <w:t>供应商代表：</w:t>
      </w:r>
      <w:r>
        <w:rPr>
          <w:u w:val="single"/>
        </w:rPr>
        <w:t>　　　　 （签字）</w:t>
      </w:r>
    </w:p>
    <w:p w14:paraId="1B68A4E7">
      <w:pPr>
        <w:pStyle w:val="18"/>
        <w:rPr>
          <w:rFonts w:hint="eastAsia" w:eastAsia="宋体"/>
          <w:lang w:eastAsia="zh-CN"/>
        </w:rPr>
      </w:pPr>
      <w:r>
        <w:t xml:space="preserve"> </w:t>
      </w:r>
    </w:p>
    <w:p w14:paraId="5F600C9A">
      <w:pPr>
        <w:pStyle w:val="18"/>
        <w:rPr>
          <w:rFonts w:hint="default"/>
        </w:rPr>
      </w:pPr>
      <w:r>
        <w:br w:type="page"/>
      </w:r>
    </w:p>
    <w:p w14:paraId="1DB74B98">
      <w:pPr>
        <w:pStyle w:val="18"/>
        <w:jc w:val="center"/>
        <w:outlineLvl w:val="3"/>
        <w:rPr>
          <w:rFonts w:hint="default"/>
        </w:rPr>
      </w:pPr>
      <w:r>
        <w:rPr>
          <w:b/>
          <w:sz w:val="24"/>
        </w:rPr>
        <w:t>附件2-1 详细报价书</w:t>
      </w:r>
    </w:p>
    <w:p w14:paraId="123E3382">
      <w:pPr>
        <w:pStyle w:val="18"/>
        <w:rPr>
          <w:rFonts w:hint="default"/>
        </w:rPr>
      </w:pPr>
      <w:r>
        <w:rPr>
          <w:b/>
        </w:rPr>
        <w:t>说明：</w:t>
      </w:r>
    </w:p>
    <w:p w14:paraId="5ADDB59F">
      <w:pPr>
        <w:pStyle w:val="18"/>
        <w:ind w:firstLine="480"/>
        <w:rPr>
          <w:rFonts w:hint="default"/>
        </w:rPr>
      </w:pPr>
      <w:r>
        <w:t>1.各供应商应根据竞争性磋商文件的要求，在响应文件中提出为完成本项目相应采购包工作所必需包含的详细工作内容（如：详细具体货物或服务或工程量清单内容），并以此做出详细的报价书。详细报价书应做出详细完整的报价单价和合价，并汇总计算出报价总价。采购人或采购代理机构如果对详细报价书有统一格式要求的，可以进行规定或附表。如果没有特别要求的，则格式由供应商根据项目特点自行拟制。</w:t>
      </w:r>
    </w:p>
    <w:p w14:paraId="1E6E554F">
      <w:pPr>
        <w:pStyle w:val="18"/>
        <w:ind w:firstLine="480"/>
        <w:rPr>
          <w:rFonts w:hint="default"/>
        </w:rPr>
      </w:pPr>
      <w:r>
        <w:t>2.为完成相应采购包项下的全部工作所涉及的费用都应包含在详细报价书的各个单项中，供应商应充分考虑和评估。供应商未做详细分析或理解偏差错漏或不认真严谨等原因造成其未将本合同项下相关项目和费用列入详细报价书的，均视同相关项目和费用为已包含在详细报价书的其他单价或合价中，采购人在合同执行过程中，不再多还少补。</w:t>
      </w:r>
    </w:p>
    <w:p w14:paraId="7394B398">
      <w:pPr>
        <w:pStyle w:val="18"/>
        <w:ind w:firstLine="480"/>
        <w:rPr>
          <w:rFonts w:hint="eastAsia" w:eastAsia="宋体"/>
          <w:lang w:eastAsia="zh-CN"/>
        </w:rPr>
      </w:pPr>
      <w:r>
        <w:t xml:space="preserve"> 3.对于不能详细列明采购标的的技术、服务要求的磋商采购项目或者如优惠率磋商、单价磋商等特殊类型的磋商采购项目，由供应商根据磋商文件的具体规定和项目特点提交详细报价书，采购人或采购代理机构如果对详细报价书有统一格式要求的，可以进行规定或附表。如果没有特别要求的，则格式由供应商根据项目特点自行拟制。</w:t>
      </w:r>
    </w:p>
    <w:p w14:paraId="4D6C3F2F">
      <w:pPr>
        <w:pStyle w:val="18"/>
        <w:ind w:firstLine="480"/>
        <w:rPr>
          <w:rFonts w:hint="eastAsia" w:eastAsia="宋体"/>
          <w:lang w:eastAsia="zh-CN"/>
        </w:rPr>
      </w:pPr>
    </w:p>
    <w:p w14:paraId="5C07B962">
      <w:pPr>
        <w:pStyle w:val="18"/>
        <w:ind w:firstLine="480"/>
        <w:rPr>
          <w:rFonts w:hint="eastAsia" w:eastAsia="宋体"/>
          <w:lang w:eastAsia="zh-CN"/>
        </w:rPr>
      </w:pPr>
    </w:p>
    <w:p w14:paraId="38CD906E">
      <w:pPr>
        <w:pStyle w:val="18"/>
        <w:ind w:firstLine="480"/>
        <w:rPr>
          <w:rFonts w:hint="eastAsia" w:eastAsia="宋体"/>
          <w:lang w:eastAsia="zh-CN"/>
        </w:rPr>
      </w:pPr>
    </w:p>
    <w:p w14:paraId="67460FDA">
      <w:pPr>
        <w:pStyle w:val="18"/>
        <w:ind w:firstLine="480"/>
        <w:rPr>
          <w:rFonts w:hint="eastAsia" w:eastAsia="宋体"/>
          <w:lang w:eastAsia="zh-CN"/>
        </w:rPr>
      </w:pPr>
    </w:p>
    <w:p w14:paraId="6B237320">
      <w:pPr>
        <w:pStyle w:val="18"/>
        <w:ind w:firstLine="480"/>
        <w:rPr>
          <w:rFonts w:hint="default"/>
        </w:rPr>
      </w:pPr>
      <w:r>
        <w:t>供应商代表：</w:t>
      </w:r>
      <w:r>
        <w:rPr>
          <w:u w:val="single"/>
        </w:rPr>
        <w:t>　　　　（签字）</w:t>
      </w:r>
    </w:p>
    <w:p w14:paraId="1232CD7D">
      <w:pPr>
        <w:pStyle w:val="18"/>
        <w:ind w:firstLine="480"/>
        <w:rPr>
          <w:rFonts w:hint="default"/>
        </w:rPr>
      </w:pPr>
      <w:r>
        <w:t>供应商名称：</w:t>
      </w:r>
      <w:r>
        <w:rPr>
          <w:u w:val="single"/>
        </w:rPr>
        <w:t>　　（全称并加盖公章）　　</w:t>
      </w:r>
    </w:p>
    <w:p w14:paraId="261BB969">
      <w:pPr>
        <w:pStyle w:val="18"/>
        <w:ind w:firstLine="480"/>
        <w:rPr>
          <w:rFonts w:hint="default"/>
        </w:rPr>
      </w:pPr>
      <w:r>
        <w:t>日期：</w:t>
      </w:r>
      <w:r>
        <w:rPr>
          <w:u w:val="single"/>
        </w:rPr>
        <w:t>　　</w:t>
      </w:r>
      <w:r>
        <w:t>年</w:t>
      </w:r>
      <w:r>
        <w:rPr>
          <w:u w:val="single"/>
        </w:rPr>
        <w:t>　　</w:t>
      </w:r>
      <w:r>
        <w:t>月</w:t>
      </w:r>
      <w:r>
        <w:rPr>
          <w:u w:val="single"/>
        </w:rPr>
        <w:t>　　</w:t>
      </w:r>
      <w:r>
        <w:t>日</w:t>
      </w:r>
    </w:p>
    <w:p w14:paraId="72A166C9">
      <w:pPr>
        <w:pStyle w:val="18"/>
        <w:rPr>
          <w:rFonts w:hint="eastAsia" w:eastAsia="宋体"/>
          <w:lang w:eastAsia="zh-CN"/>
        </w:rPr>
      </w:pPr>
      <w:r>
        <w:t xml:space="preserve"> </w:t>
      </w:r>
    </w:p>
    <w:p w14:paraId="43D8EAFE">
      <w:pPr>
        <w:pStyle w:val="18"/>
        <w:rPr>
          <w:rFonts w:hint="default"/>
        </w:rPr>
      </w:pPr>
      <w:r>
        <w:br w:type="page"/>
      </w:r>
    </w:p>
    <w:p w14:paraId="4141379D">
      <w:pPr>
        <w:pStyle w:val="18"/>
        <w:jc w:val="center"/>
        <w:outlineLvl w:val="2"/>
        <w:rPr>
          <w:rFonts w:hint="default"/>
        </w:rPr>
      </w:pPr>
      <w:r>
        <w:rPr>
          <w:b/>
          <w:sz w:val="28"/>
        </w:rPr>
        <w:t>附件3 资格证明文件</w:t>
      </w:r>
    </w:p>
    <w:p w14:paraId="1007666A">
      <w:pPr>
        <w:pStyle w:val="18"/>
        <w:jc w:val="center"/>
        <w:outlineLvl w:val="3"/>
        <w:rPr>
          <w:rFonts w:hint="default"/>
        </w:rPr>
      </w:pPr>
      <w:r>
        <w:rPr>
          <w:b/>
          <w:sz w:val="24"/>
        </w:rPr>
        <w:t>附件3-1 参加竞争性磋商的声明函（若有）</w:t>
      </w:r>
    </w:p>
    <w:p w14:paraId="41E59269">
      <w:pPr>
        <w:pStyle w:val="18"/>
        <w:ind w:firstLine="480"/>
        <w:rPr>
          <w:rFonts w:hint="default"/>
        </w:rPr>
      </w:pPr>
      <w:r>
        <w:t>致：</w:t>
      </w:r>
      <w:r>
        <w:rPr>
          <w:u w:val="single"/>
        </w:rPr>
        <w:t>（采购人或采购代理机构）</w:t>
      </w:r>
    </w:p>
    <w:p w14:paraId="2F1C55C7">
      <w:pPr>
        <w:pStyle w:val="18"/>
        <w:ind w:firstLine="480"/>
        <w:rPr>
          <w:rFonts w:hint="default"/>
        </w:rPr>
      </w:pPr>
      <w:r>
        <w:t>1、关于贵方</w:t>
      </w:r>
      <w:r>
        <w:rPr>
          <w:u w:val="single"/>
        </w:rPr>
        <w:t>　　</w:t>
      </w:r>
      <w:r>
        <w:t>年</w:t>
      </w:r>
      <w:r>
        <w:rPr>
          <w:u w:val="single"/>
        </w:rPr>
        <w:t>　　</w:t>
      </w:r>
      <w:r>
        <w:t>月</w:t>
      </w:r>
      <w:r>
        <w:rPr>
          <w:u w:val="single"/>
        </w:rPr>
        <w:t>　　</w:t>
      </w:r>
      <w:r>
        <w:t>日项目（项目编号:</w:t>
      </w:r>
      <w:r>
        <w:rPr>
          <w:u w:val="single"/>
        </w:rPr>
        <w:t xml:space="preserve">                    </w:t>
      </w:r>
      <w:r>
        <w:t>）的采购公告（或采购邀请），本签字人代表供应商参加竞争性磋商，我方提供竞争性磋商文件中规定的相应资料和说明。本签字人确认响应文件中所有提交的文件、声明或资料（包括但不限于资格证明文件）是真实的、合法的、准确的、有效的。</w:t>
      </w:r>
    </w:p>
    <w:p w14:paraId="06BAA927">
      <w:pPr>
        <w:pStyle w:val="18"/>
        <w:ind w:firstLine="480"/>
        <w:rPr>
          <w:rFonts w:hint="default"/>
        </w:rPr>
      </w:pPr>
      <w:r>
        <w:t>2、供应商的基本概况：</w:t>
      </w:r>
    </w:p>
    <w:p w14:paraId="40EC105F">
      <w:pPr>
        <w:pStyle w:val="18"/>
        <w:ind w:firstLine="480"/>
        <w:rPr>
          <w:rFonts w:hint="default"/>
        </w:rPr>
      </w:pPr>
      <w:r>
        <w:t>2.1供应商单位名称：</w:t>
      </w:r>
      <w:r>
        <w:rPr>
          <w:u w:val="single"/>
        </w:rPr>
        <w:t xml:space="preserve">           　　 　　 　　</w:t>
      </w:r>
    </w:p>
    <w:p w14:paraId="62FB0AF4">
      <w:pPr>
        <w:pStyle w:val="18"/>
        <w:ind w:firstLine="480"/>
        <w:rPr>
          <w:rFonts w:hint="default"/>
        </w:rPr>
      </w:pPr>
      <w:r>
        <w:t>2.2注册地址：</w:t>
      </w:r>
      <w:r>
        <w:rPr>
          <w:u w:val="single"/>
        </w:rPr>
        <w:t xml:space="preserve">           　　 　　 　　 　　</w:t>
      </w:r>
    </w:p>
    <w:p w14:paraId="691E2D3E">
      <w:pPr>
        <w:pStyle w:val="18"/>
        <w:ind w:firstLine="480"/>
        <w:rPr>
          <w:rFonts w:hint="default"/>
        </w:rPr>
      </w:pPr>
      <w:r>
        <w:t>2.3单位负责人姓名：</w:t>
      </w:r>
      <w:r>
        <w:rPr>
          <w:u w:val="single"/>
        </w:rPr>
        <w:t xml:space="preserve">  　　 　　 </w:t>
      </w:r>
      <w:r>
        <w:t>性别：</w:t>
      </w:r>
      <w:r>
        <w:rPr>
          <w:u w:val="single"/>
        </w:rPr>
        <w:t xml:space="preserve">  　　 </w:t>
      </w:r>
      <w:r>
        <w:t>年龄：</w:t>
      </w:r>
      <w:r>
        <w:rPr>
          <w:u w:val="single"/>
        </w:rPr>
        <w:t xml:space="preserve">  　　 </w:t>
      </w:r>
      <w:r>
        <w:t>职务：</w:t>
      </w:r>
      <w:r>
        <w:rPr>
          <w:u w:val="single"/>
        </w:rPr>
        <w:t xml:space="preserve">  　　 　　 </w:t>
      </w:r>
      <w:r>
        <w:t>。</w:t>
      </w:r>
    </w:p>
    <w:p w14:paraId="4A000BCD">
      <w:pPr>
        <w:pStyle w:val="18"/>
        <w:ind w:firstLine="480"/>
        <w:rPr>
          <w:rFonts w:hint="default"/>
        </w:rPr>
      </w:pPr>
      <w:r>
        <w:t>备注：“单位负责人”指单位法定代表人（供应商为法人的）或法律、法规规定代表单位行使职权的主要负责人（供应商为其他组织的）。</w:t>
      </w:r>
    </w:p>
    <w:p w14:paraId="5DA2E9AD">
      <w:pPr>
        <w:pStyle w:val="18"/>
        <w:ind w:firstLine="480"/>
        <w:rPr>
          <w:rFonts w:hint="eastAsia" w:eastAsia="宋体"/>
          <w:lang w:eastAsia="zh-CN"/>
        </w:rPr>
      </w:pPr>
      <w:r>
        <w:t>对于接受联合体形式的磋商且供应商是联合体的，则联合体各成员都应当提交本资格证明文件。</w:t>
      </w:r>
    </w:p>
    <w:p w14:paraId="11D56C31">
      <w:pPr>
        <w:pStyle w:val="18"/>
        <w:ind w:firstLine="480"/>
        <w:rPr>
          <w:rFonts w:hint="eastAsia" w:eastAsia="宋体"/>
          <w:lang w:eastAsia="zh-CN"/>
        </w:rPr>
      </w:pPr>
    </w:p>
    <w:p w14:paraId="2477E9FF">
      <w:pPr>
        <w:pStyle w:val="18"/>
        <w:ind w:firstLine="480"/>
        <w:rPr>
          <w:rFonts w:hint="eastAsia" w:eastAsia="宋体"/>
          <w:lang w:eastAsia="zh-CN"/>
        </w:rPr>
      </w:pPr>
    </w:p>
    <w:p w14:paraId="5CE75A7F">
      <w:pPr>
        <w:pStyle w:val="18"/>
        <w:ind w:firstLine="480"/>
        <w:rPr>
          <w:rFonts w:hint="eastAsia" w:eastAsia="宋体"/>
          <w:lang w:eastAsia="zh-CN"/>
        </w:rPr>
      </w:pPr>
    </w:p>
    <w:p w14:paraId="2CE59371">
      <w:pPr>
        <w:pStyle w:val="18"/>
        <w:ind w:firstLine="480"/>
        <w:rPr>
          <w:rFonts w:hint="default"/>
        </w:rPr>
      </w:pPr>
      <w:r>
        <w:t>供应商代表：</w:t>
      </w:r>
      <w:r>
        <w:rPr>
          <w:u w:val="single"/>
        </w:rPr>
        <w:t>　　　　 （签字）</w:t>
      </w:r>
    </w:p>
    <w:p w14:paraId="49999229">
      <w:pPr>
        <w:pStyle w:val="18"/>
        <w:ind w:firstLine="480"/>
        <w:rPr>
          <w:rFonts w:hint="default"/>
        </w:rPr>
      </w:pPr>
      <w:r>
        <w:t>供应商名称：</w:t>
      </w:r>
      <w:r>
        <w:rPr>
          <w:u w:val="single"/>
        </w:rPr>
        <w:t>　　　　 （全称并加盖公章）　　　　</w:t>
      </w:r>
    </w:p>
    <w:p w14:paraId="4E8B9988">
      <w:pPr>
        <w:pStyle w:val="18"/>
        <w:ind w:firstLine="480"/>
        <w:rPr>
          <w:rFonts w:hint="default"/>
        </w:rPr>
      </w:pPr>
      <w:r>
        <w:t>日期：</w:t>
      </w:r>
      <w:r>
        <w:rPr>
          <w:u w:val="single"/>
        </w:rPr>
        <w:t>　　　</w:t>
      </w:r>
      <w:r>
        <w:t>年</w:t>
      </w:r>
      <w:r>
        <w:rPr>
          <w:u w:val="single"/>
        </w:rPr>
        <w:t>　　</w:t>
      </w:r>
      <w:r>
        <w:t>月</w:t>
      </w:r>
      <w:r>
        <w:rPr>
          <w:u w:val="single"/>
        </w:rPr>
        <w:t>　　</w:t>
      </w:r>
      <w:r>
        <w:t>日</w:t>
      </w:r>
    </w:p>
    <w:p w14:paraId="13B6004F">
      <w:pPr>
        <w:pStyle w:val="18"/>
        <w:rPr>
          <w:rFonts w:hint="eastAsia" w:eastAsia="宋体"/>
          <w:lang w:eastAsia="zh-CN"/>
        </w:rPr>
      </w:pPr>
      <w:r>
        <w:t xml:space="preserve"> </w:t>
      </w:r>
    </w:p>
    <w:p w14:paraId="717C27AC">
      <w:pPr>
        <w:pStyle w:val="18"/>
        <w:rPr>
          <w:rFonts w:hint="default"/>
        </w:rPr>
      </w:pPr>
      <w:r>
        <w:br w:type="page"/>
      </w:r>
    </w:p>
    <w:p w14:paraId="712C3676">
      <w:pPr>
        <w:pStyle w:val="18"/>
        <w:jc w:val="center"/>
        <w:outlineLvl w:val="3"/>
        <w:rPr>
          <w:rFonts w:hint="default"/>
        </w:rPr>
      </w:pPr>
      <w:r>
        <w:rPr>
          <w:b/>
          <w:sz w:val="24"/>
        </w:rPr>
        <w:t>附件3-2 供应商的资格声明</w:t>
      </w:r>
    </w:p>
    <w:p w14:paraId="05BD9766">
      <w:pPr>
        <w:pStyle w:val="18"/>
        <w:ind w:firstLine="480"/>
        <w:rPr>
          <w:rFonts w:hint="default"/>
        </w:rPr>
      </w:pPr>
      <w:r>
        <w:t>致：</w:t>
      </w:r>
      <w:r>
        <w:rPr>
          <w:u w:val="single"/>
        </w:rPr>
        <w:t>（采购人或采购代理机构）</w:t>
      </w:r>
    </w:p>
    <w:p w14:paraId="2E289C06">
      <w:pPr>
        <w:pStyle w:val="18"/>
        <w:ind w:firstLine="480"/>
        <w:rPr>
          <w:rFonts w:hint="default"/>
        </w:rPr>
      </w:pPr>
      <w:r>
        <w:t>1、我方已知晓竞争性磋商文件要求并认真审核自身情况，在此郑重声明，我方具备并满足下列各项条款的规定。本声明如有虚假或不实之处，我方将失去合格供应商资格且我方的磋商保证金将不予退还。</w:t>
      </w:r>
    </w:p>
    <w:tbl>
      <w:tblPr>
        <w:tblStyle w:val="13"/>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7D86D55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0B7709D1">
            <w:pPr>
              <w:pStyle w:val="18"/>
              <w:rPr>
                <w:rFonts w:hint="default"/>
              </w:rPr>
            </w:pPr>
            <w:r>
              <w:rPr>
                <w:b/>
              </w:rPr>
              <w:t>《中华人民共和国政府采购法》第二十二条对供应商的要求</w:t>
            </w:r>
          </w:p>
        </w:tc>
        <w:tc>
          <w:tcPr>
            <w:tcW w:w="4153" w:type="dxa"/>
            <w:noWrap w:val="0"/>
            <w:vAlign w:val="top"/>
          </w:tcPr>
          <w:p w14:paraId="6DBD6E6B">
            <w:pPr>
              <w:pStyle w:val="18"/>
              <w:rPr>
                <w:rFonts w:hint="default"/>
              </w:rPr>
            </w:pPr>
            <w:r>
              <w:rPr>
                <w:b/>
              </w:rPr>
              <w:t>供应商对是否符合要求做如实声明</w:t>
            </w:r>
          </w:p>
        </w:tc>
      </w:tr>
      <w:tr w14:paraId="6CE7B1C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46B26C2F">
            <w:pPr>
              <w:pStyle w:val="18"/>
              <w:rPr>
                <w:rFonts w:hint="default"/>
              </w:rPr>
            </w:pPr>
            <w:r>
              <w:t>（1）具有独立承担民事责任的能力</w:t>
            </w:r>
          </w:p>
        </w:tc>
        <w:tc>
          <w:tcPr>
            <w:tcW w:w="4153" w:type="dxa"/>
            <w:noWrap w:val="0"/>
            <w:vAlign w:val="top"/>
          </w:tcPr>
          <w:p w14:paraId="0CBCE84F">
            <w:pPr>
              <w:pStyle w:val="18"/>
              <w:rPr>
                <w:rFonts w:hint="default"/>
              </w:rPr>
            </w:pPr>
            <w:r>
              <w:t xml:space="preserve">    </w:t>
            </w:r>
          </w:p>
        </w:tc>
      </w:tr>
      <w:tr w14:paraId="29817D3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130169E4">
            <w:pPr>
              <w:pStyle w:val="18"/>
              <w:rPr>
                <w:rFonts w:hint="default"/>
              </w:rPr>
            </w:pPr>
            <w:r>
              <w:t>（2）具有良好的商业信誉和健全的财务会计制度</w:t>
            </w:r>
          </w:p>
        </w:tc>
        <w:tc>
          <w:tcPr>
            <w:tcW w:w="4153" w:type="dxa"/>
            <w:noWrap w:val="0"/>
            <w:vAlign w:val="top"/>
          </w:tcPr>
          <w:p w14:paraId="4FA3E718">
            <w:pPr>
              <w:pStyle w:val="18"/>
              <w:rPr>
                <w:rFonts w:hint="default"/>
              </w:rPr>
            </w:pPr>
            <w:r>
              <w:t xml:space="preserve">    </w:t>
            </w:r>
          </w:p>
        </w:tc>
      </w:tr>
      <w:tr w14:paraId="54B964B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7F435C67">
            <w:pPr>
              <w:pStyle w:val="18"/>
              <w:rPr>
                <w:rFonts w:hint="default"/>
              </w:rPr>
            </w:pPr>
            <w:r>
              <w:t>（3）具有履行合同所必需的设备和专业技术能力</w:t>
            </w:r>
          </w:p>
        </w:tc>
        <w:tc>
          <w:tcPr>
            <w:tcW w:w="4153" w:type="dxa"/>
            <w:noWrap w:val="0"/>
            <w:vAlign w:val="top"/>
          </w:tcPr>
          <w:p w14:paraId="5DD009D2">
            <w:pPr>
              <w:pStyle w:val="18"/>
              <w:rPr>
                <w:rFonts w:hint="default"/>
              </w:rPr>
            </w:pPr>
            <w:r>
              <w:t xml:space="preserve">    </w:t>
            </w:r>
          </w:p>
        </w:tc>
      </w:tr>
      <w:tr w14:paraId="5356622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0DA0A80B">
            <w:pPr>
              <w:pStyle w:val="18"/>
              <w:rPr>
                <w:rFonts w:hint="default"/>
              </w:rPr>
            </w:pPr>
            <w:r>
              <w:t>（4）有依法缴纳税收和社会保障资金的良好记录</w:t>
            </w:r>
          </w:p>
        </w:tc>
        <w:tc>
          <w:tcPr>
            <w:tcW w:w="4153" w:type="dxa"/>
            <w:noWrap w:val="0"/>
            <w:vAlign w:val="top"/>
          </w:tcPr>
          <w:p w14:paraId="0902468D">
            <w:pPr>
              <w:pStyle w:val="18"/>
              <w:rPr>
                <w:rFonts w:hint="default"/>
              </w:rPr>
            </w:pPr>
            <w:r>
              <w:t xml:space="preserve">    </w:t>
            </w:r>
          </w:p>
        </w:tc>
      </w:tr>
      <w:tr w14:paraId="78A1143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7CD5A005">
            <w:pPr>
              <w:pStyle w:val="18"/>
              <w:rPr>
                <w:rFonts w:hint="default"/>
              </w:rPr>
            </w:pPr>
            <w:r>
              <w:t>（5）参加政府采购活动前三年内，在经营活动中没有重大违法记录</w:t>
            </w:r>
          </w:p>
        </w:tc>
        <w:tc>
          <w:tcPr>
            <w:tcW w:w="4153" w:type="dxa"/>
            <w:noWrap w:val="0"/>
            <w:vAlign w:val="top"/>
          </w:tcPr>
          <w:p w14:paraId="0B4EA3A0">
            <w:pPr>
              <w:pStyle w:val="18"/>
              <w:rPr>
                <w:rFonts w:hint="default"/>
              </w:rPr>
            </w:pPr>
            <w:r>
              <w:t xml:space="preserve">    </w:t>
            </w:r>
          </w:p>
        </w:tc>
      </w:tr>
      <w:tr w14:paraId="7CC01C4E">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06D428CC">
            <w:pPr>
              <w:pStyle w:val="18"/>
              <w:rPr>
                <w:rFonts w:hint="default"/>
              </w:rPr>
            </w:pPr>
            <w:r>
              <w:t>（6）法律、行政法规规定的其他条件。</w:t>
            </w:r>
          </w:p>
        </w:tc>
        <w:tc>
          <w:tcPr>
            <w:tcW w:w="4153" w:type="dxa"/>
            <w:noWrap w:val="0"/>
            <w:vAlign w:val="top"/>
          </w:tcPr>
          <w:p w14:paraId="3AA78D79">
            <w:pPr>
              <w:pStyle w:val="18"/>
              <w:rPr>
                <w:rFonts w:hint="default"/>
              </w:rPr>
            </w:pPr>
            <w:r>
              <w:t xml:space="preserve">    </w:t>
            </w:r>
          </w:p>
        </w:tc>
      </w:tr>
      <w:tr w14:paraId="5D6714A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32EED5F5">
            <w:pPr>
              <w:pStyle w:val="18"/>
              <w:rPr>
                <w:rFonts w:hint="default"/>
              </w:rPr>
            </w:pPr>
            <w:r>
              <w:rPr>
                <w:b/>
              </w:rPr>
              <w:t>磋商文件对合格供应商的一般规定</w:t>
            </w:r>
          </w:p>
        </w:tc>
        <w:tc>
          <w:tcPr>
            <w:tcW w:w="4153" w:type="dxa"/>
            <w:noWrap w:val="0"/>
            <w:vAlign w:val="top"/>
          </w:tcPr>
          <w:p w14:paraId="62ACCEA7">
            <w:pPr>
              <w:pStyle w:val="18"/>
              <w:rPr>
                <w:rFonts w:hint="default"/>
              </w:rPr>
            </w:pPr>
            <w:r>
              <w:rPr>
                <w:b/>
              </w:rPr>
              <w:t>供应商对是否违反一般规定做如实声明</w:t>
            </w:r>
          </w:p>
        </w:tc>
      </w:tr>
      <w:tr w14:paraId="2823AED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6A0F85C4">
            <w:pPr>
              <w:pStyle w:val="18"/>
              <w:rPr>
                <w:rFonts w:hint="default"/>
              </w:rPr>
            </w:pPr>
            <w:r>
              <w:t>供应商除了应遵守政府采购法及实施条例、政府采购非招标采购方式管理办法及财政部、福建省财政厅有关政府采购文件的规定外，还应遵守有关法律、法规和规章的强制性规定。</w:t>
            </w:r>
          </w:p>
        </w:tc>
        <w:tc>
          <w:tcPr>
            <w:tcW w:w="4153" w:type="dxa"/>
            <w:noWrap w:val="0"/>
            <w:vAlign w:val="top"/>
          </w:tcPr>
          <w:p w14:paraId="34EABE8B">
            <w:pPr>
              <w:pStyle w:val="18"/>
              <w:rPr>
                <w:rFonts w:hint="default"/>
              </w:rPr>
            </w:pPr>
            <w:r>
              <w:t xml:space="preserve">    </w:t>
            </w:r>
          </w:p>
        </w:tc>
      </w:tr>
      <w:tr w14:paraId="0778D643">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710B4143">
            <w:pPr>
              <w:pStyle w:val="18"/>
              <w:rPr>
                <w:rFonts w:hint="default"/>
              </w:rPr>
            </w:pPr>
            <w:r>
              <w:t>为采购项目提供整体设计、规范编制或项目管理、监理、检测等服务的供应商，不得再参加该采购项目除整体设计、规范编制和项目管理、监理、检测等服务之外的其他采购活动。</w:t>
            </w:r>
          </w:p>
        </w:tc>
        <w:tc>
          <w:tcPr>
            <w:tcW w:w="4153" w:type="dxa"/>
            <w:noWrap w:val="0"/>
            <w:vAlign w:val="top"/>
          </w:tcPr>
          <w:p w14:paraId="73B09912">
            <w:pPr>
              <w:pStyle w:val="18"/>
              <w:rPr>
                <w:rFonts w:hint="default"/>
              </w:rPr>
            </w:pPr>
            <w:r>
              <w:t xml:space="preserve">    </w:t>
            </w:r>
          </w:p>
        </w:tc>
      </w:tr>
      <w:tr w14:paraId="251C8936">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5D794113">
            <w:pPr>
              <w:pStyle w:val="18"/>
              <w:rPr>
                <w:rFonts w:hint="default"/>
              </w:rPr>
            </w:pPr>
            <w:r>
              <w:t>列入失信被执行人、重大税收违法案件当事人名单、政府采购严重违法失信行为记录名单的供应商，不得参加政府采购活动。</w:t>
            </w:r>
          </w:p>
        </w:tc>
        <w:tc>
          <w:tcPr>
            <w:tcW w:w="4153" w:type="dxa"/>
            <w:noWrap w:val="0"/>
            <w:vAlign w:val="top"/>
          </w:tcPr>
          <w:p w14:paraId="7337B964">
            <w:pPr>
              <w:pStyle w:val="18"/>
              <w:rPr>
                <w:rFonts w:hint="default"/>
              </w:rPr>
            </w:pPr>
            <w:r>
              <w:t xml:space="preserve">    </w:t>
            </w:r>
          </w:p>
        </w:tc>
      </w:tr>
    </w:tbl>
    <w:p w14:paraId="2314DECD">
      <w:pPr>
        <w:pStyle w:val="18"/>
        <w:ind w:firstLine="480"/>
        <w:rPr>
          <w:rFonts w:hint="default"/>
        </w:rPr>
      </w:pPr>
      <w:r>
        <w:t>2、我方对上述声明的真实性、合法性、准确性、有效性负责，并愿意根据磋商文件和磋商过程中贵方要求提供全部现有资料、数据、文件等予以证实。</w:t>
      </w:r>
    </w:p>
    <w:p w14:paraId="0C0A096B">
      <w:pPr>
        <w:pStyle w:val="18"/>
        <w:ind w:firstLine="480"/>
        <w:rPr>
          <w:rFonts w:hint="default"/>
        </w:rPr>
      </w:pPr>
      <w:r>
        <w:t>备注：对于接受联合体形式的磋商且供应商是联合体的，则联合体各成员都应当提交本资格证明文件。</w:t>
      </w:r>
    </w:p>
    <w:p w14:paraId="1B9A75F3">
      <w:pPr>
        <w:pStyle w:val="18"/>
        <w:ind w:firstLine="480"/>
        <w:rPr>
          <w:rFonts w:hint="default"/>
        </w:rPr>
      </w:pPr>
      <w:r>
        <w:t>供应商代表：</w:t>
      </w:r>
      <w:r>
        <w:rPr>
          <w:u w:val="single"/>
        </w:rPr>
        <w:t>　　　　 （签字）</w:t>
      </w:r>
    </w:p>
    <w:p w14:paraId="35B8F842">
      <w:pPr>
        <w:pStyle w:val="18"/>
        <w:ind w:firstLine="480"/>
        <w:rPr>
          <w:rFonts w:hint="default"/>
        </w:rPr>
      </w:pPr>
      <w:r>
        <w:t>供应商名称：</w:t>
      </w:r>
      <w:r>
        <w:rPr>
          <w:u w:val="single"/>
        </w:rPr>
        <w:t>　　　　 （全称并加盖公章）　　　　</w:t>
      </w:r>
    </w:p>
    <w:p w14:paraId="38BB0A1D">
      <w:pPr>
        <w:pStyle w:val="18"/>
        <w:ind w:firstLine="480"/>
        <w:rPr>
          <w:rFonts w:hint="default"/>
        </w:rPr>
      </w:pPr>
      <w:r>
        <w:t>日期：</w:t>
      </w:r>
      <w:r>
        <w:rPr>
          <w:u w:val="single"/>
        </w:rPr>
        <w:t xml:space="preserve">　　 </w:t>
      </w:r>
      <w:r>
        <w:t>年</w:t>
      </w:r>
      <w:r>
        <w:rPr>
          <w:u w:val="single"/>
        </w:rPr>
        <w:t>　　</w:t>
      </w:r>
      <w:r>
        <w:t>月</w:t>
      </w:r>
      <w:r>
        <w:rPr>
          <w:u w:val="single"/>
        </w:rPr>
        <w:t>　　</w:t>
      </w:r>
      <w:r>
        <w:t>日</w:t>
      </w:r>
    </w:p>
    <w:p w14:paraId="114048D2">
      <w:pPr>
        <w:pStyle w:val="18"/>
        <w:rPr>
          <w:rFonts w:hint="eastAsia" w:eastAsia="宋体"/>
          <w:lang w:eastAsia="zh-CN"/>
        </w:rPr>
      </w:pPr>
      <w:r>
        <w:t xml:space="preserve"> </w:t>
      </w:r>
    </w:p>
    <w:p w14:paraId="3834000E">
      <w:pPr>
        <w:pStyle w:val="18"/>
        <w:rPr>
          <w:rFonts w:hint="default"/>
        </w:rPr>
      </w:pPr>
      <w:r>
        <w:br w:type="page"/>
      </w:r>
    </w:p>
    <w:p w14:paraId="0650EF04">
      <w:pPr>
        <w:pStyle w:val="18"/>
        <w:jc w:val="center"/>
        <w:outlineLvl w:val="3"/>
        <w:rPr>
          <w:rFonts w:hint="default"/>
        </w:rPr>
      </w:pPr>
      <w:r>
        <w:rPr>
          <w:b/>
          <w:sz w:val="24"/>
        </w:rPr>
        <w:t>附件3-3 单位负责人授权书</w:t>
      </w:r>
    </w:p>
    <w:p w14:paraId="2C8C75A6">
      <w:pPr>
        <w:pStyle w:val="18"/>
        <w:ind w:firstLine="480"/>
        <w:rPr>
          <w:rFonts w:hint="default"/>
        </w:rPr>
      </w:pPr>
      <w:r>
        <w:t>致：</w:t>
      </w:r>
      <w:r>
        <w:rPr>
          <w:u w:val="single"/>
        </w:rPr>
        <w:t>（采购人或采购代理机构）</w:t>
      </w:r>
    </w:p>
    <w:p w14:paraId="75638AE2">
      <w:pPr>
        <w:pStyle w:val="18"/>
        <w:ind w:firstLine="480"/>
        <w:rPr>
          <w:rFonts w:hint="default"/>
        </w:rPr>
      </w:pPr>
      <w:r>
        <w:t>我方的单位负责人</w:t>
      </w:r>
      <w:r>
        <w:rPr>
          <w:u w:val="single"/>
        </w:rPr>
        <w:t xml:space="preserve">（填写“单位负责人全名”） </w:t>
      </w:r>
      <w:r>
        <w:t>授权</w:t>
      </w:r>
      <w:r>
        <w:rPr>
          <w:u w:val="single"/>
        </w:rPr>
        <w:t>（填写“供应商代表全名”）</w:t>
      </w:r>
      <w:r>
        <w:t>为我方的供应商代表，代表我方参加</w:t>
      </w:r>
      <w:r>
        <w:rPr>
          <w:u w:val="single"/>
        </w:rPr>
        <w:t>（填写“项目名称”）</w:t>
      </w:r>
      <w:r>
        <w:t>项目（项目编号：</w:t>
      </w:r>
      <w:r>
        <w:rPr>
          <w:u w:val="single"/>
        </w:rPr>
        <w:t>　　　　　</w:t>
      </w:r>
      <w:r>
        <w:t>）的响应磋商，全权代表我方处理响应磋商过程的一切事宜，包括但不限于：递交响应文件、参与磋商、澄清、签约等工作。供应商代表在响应磋商过程中所签署的一切文件和处理与之有关的一切事务，我方均予以认可并对此承担责任。</w:t>
      </w:r>
    </w:p>
    <w:p w14:paraId="1F44E222">
      <w:pPr>
        <w:pStyle w:val="18"/>
        <w:ind w:firstLine="480"/>
        <w:rPr>
          <w:rFonts w:hint="default"/>
        </w:rPr>
      </w:pPr>
      <w:r>
        <w:t>供应商代表无转委权。特此授权。</w:t>
      </w:r>
    </w:p>
    <w:p w14:paraId="2242FE70">
      <w:pPr>
        <w:pStyle w:val="18"/>
        <w:jc w:val="center"/>
        <w:rPr>
          <w:rFonts w:hint="eastAsia" w:eastAsia="宋体"/>
          <w:lang w:eastAsia="zh-CN"/>
        </w:rPr>
      </w:pPr>
      <w:r>
        <w:t>（以下无正文）</w:t>
      </w:r>
    </w:p>
    <w:p w14:paraId="1814BAFD">
      <w:pPr>
        <w:pStyle w:val="18"/>
        <w:jc w:val="center"/>
        <w:rPr>
          <w:rFonts w:hint="eastAsia" w:eastAsia="宋体"/>
          <w:lang w:eastAsia="zh-CN"/>
        </w:rPr>
      </w:pPr>
    </w:p>
    <w:p w14:paraId="448AB07D">
      <w:pPr>
        <w:pStyle w:val="18"/>
        <w:jc w:val="center"/>
        <w:rPr>
          <w:rFonts w:hint="eastAsia" w:eastAsia="宋体"/>
          <w:lang w:eastAsia="zh-CN"/>
        </w:rPr>
      </w:pPr>
    </w:p>
    <w:p w14:paraId="532E7C13">
      <w:pPr>
        <w:pStyle w:val="18"/>
        <w:jc w:val="center"/>
        <w:rPr>
          <w:rFonts w:hint="eastAsia" w:eastAsia="宋体"/>
          <w:lang w:eastAsia="zh-CN"/>
        </w:rPr>
      </w:pPr>
    </w:p>
    <w:p w14:paraId="1E19D7EB">
      <w:pPr>
        <w:pStyle w:val="18"/>
        <w:ind w:firstLine="480"/>
        <w:rPr>
          <w:rFonts w:hint="default"/>
        </w:rPr>
      </w:pPr>
      <w:r>
        <w:t>单位负责人：</w:t>
      </w:r>
      <w:r>
        <w:rPr>
          <w:u w:val="single"/>
        </w:rPr>
        <w:t>　　　　　</w:t>
      </w:r>
      <w:r>
        <w:t>身份证号：</w:t>
      </w:r>
      <w:r>
        <w:rPr>
          <w:u w:val="single"/>
        </w:rPr>
        <w:t>　　　　　</w:t>
      </w:r>
      <w:r>
        <w:t>手机：</w:t>
      </w:r>
      <w:r>
        <w:rPr>
          <w:u w:val="single"/>
        </w:rPr>
        <w:t>　　　　　</w:t>
      </w:r>
    </w:p>
    <w:p w14:paraId="4AD9D67F">
      <w:pPr>
        <w:pStyle w:val="18"/>
        <w:ind w:firstLine="480"/>
        <w:rPr>
          <w:rFonts w:hint="eastAsia" w:eastAsia="宋体"/>
          <w:u w:val="single"/>
          <w:lang w:eastAsia="zh-CN"/>
        </w:rPr>
      </w:pPr>
      <w:r>
        <w:t>供应商代表：</w:t>
      </w:r>
      <w:r>
        <w:rPr>
          <w:u w:val="single"/>
        </w:rPr>
        <w:t>　　　　　</w:t>
      </w:r>
      <w:r>
        <w:t>身份证号：</w:t>
      </w:r>
      <w:r>
        <w:rPr>
          <w:u w:val="single"/>
        </w:rPr>
        <w:t>　　　　　</w:t>
      </w:r>
      <w:r>
        <w:t>手机：</w:t>
      </w:r>
      <w:r>
        <w:rPr>
          <w:u w:val="single"/>
        </w:rPr>
        <w:t>　　　　　</w:t>
      </w:r>
    </w:p>
    <w:p w14:paraId="057E3EA7">
      <w:pPr>
        <w:pStyle w:val="18"/>
        <w:ind w:firstLine="480"/>
        <w:rPr>
          <w:rFonts w:hint="eastAsia" w:eastAsia="宋体"/>
          <w:u w:val="single"/>
          <w:lang w:eastAsia="zh-CN"/>
        </w:rPr>
      </w:pPr>
    </w:p>
    <w:p w14:paraId="1F05DE4F">
      <w:pPr>
        <w:pStyle w:val="18"/>
        <w:ind w:firstLine="480"/>
        <w:rPr>
          <w:rFonts w:hint="default"/>
        </w:rPr>
      </w:pPr>
      <w:r>
        <w:t>授权方</w:t>
      </w:r>
    </w:p>
    <w:p w14:paraId="0C2C479B">
      <w:pPr>
        <w:pStyle w:val="18"/>
        <w:ind w:firstLine="480"/>
        <w:rPr>
          <w:rFonts w:hint="default"/>
        </w:rPr>
      </w:pPr>
      <w:r>
        <w:t>供应商：</w:t>
      </w:r>
      <w:r>
        <w:rPr>
          <w:u w:val="single"/>
        </w:rPr>
        <w:t>（全称并加盖单位公章）</w:t>
      </w:r>
    </w:p>
    <w:p w14:paraId="1599B887">
      <w:pPr>
        <w:pStyle w:val="18"/>
        <w:ind w:firstLine="480"/>
        <w:rPr>
          <w:rFonts w:hint="eastAsia" w:eastAsia="宋体"/>
          <w:u w:val="single"/>
          <w:lang w:eastAsia="zh-CN"/>
        </w:rPr>
      </w:pPr>
      <w:r>
        <w:t>单位负责人签字或盖章：</w:t>
      </w:r>
      <w:r>
        <w:rPr>
          <w:u w:val="single"/>
        </w:rPr>
        <w:t>　　　　　　　　　　</w:t>
      </w:r>
    </w:p>
    <w:p w14:paraId="263B710B">
      <w:pPr>
        <w:pStyle w:val="18"/>
        <w:ind w:firstLine="480"/>
        <w:rPr>
          <w:rFonts w:hint="eastAsia" w:eastAsia="宋体"/>
          <w:u w:val="single"/>
          <w:lang w:eastAsia="zh-CN"/>
        </w:rPr>
      </w:pPr>
    </w:p>
    <w:p w14:paraId="3120F3C3">
      <w:pPr>
        <w:pStyle w:val="18"/>
        <w:ind w:firstLine="480"/>
        <w:rPr>
          <w:rFonts w:hint="default"/>
        </w:rPr>
      </w:pPr>
      <w:r>
        <w:t>接受授权方</w:t>
      </w:r>
    </w:p>
    <w:p w14:paraId="2728E7EC">
      <w:pPr>
        <w:pStyle w:val="18"/>
        <w:ind w:firstLine="480"/>
        <w:rPr>
          <w:rFonts w:hint="default"/>
        </w:rPr>
      </w:pPr>
      <w:r>
        <w:t>供应商代表签字：</w:t>
      </w:r>
      <w:r>
        <w:rPr>
          <w:u w:val="single"/>
        </w:rPr>
        <w:t>　　　　　　　　　　</w:t>
      </w:r>
    </w:p>
    <w:p w14:paraId="5E033C0F">
      <w:pPr>
        <w:pStyle w:val="18"/>
        <w:ind w:firstLine="480"/>
        <w:jc w:val="right"/>
        <w:rPr>
          <w:rFonts w:hint="default"/>
        </w:rPr>
      </w:pPr>
      <w:r>
        <w:t>签署日期：</w:t>
      </w:r>
      <w:r>
        <w:rPr>
          <w:u w:val="single"/>
        </w:rPr>
        <w:t>　　</w:t>
      </w:r>
      <w:r>
        <w:t>年</w:t>
      </w:r>
      <w:r>
        <w:rPr>
          <w:u w:val="single"/>
        </w:rPr>
        <w:t>　　</w:t>
      </w:r>
      <w:r>
        <w:t>月</w:t>
      </w:r>
      <w:r>
        <w:rPr>
          <w:u w:val="single"/>
        </w:rPr>
        <w:t>　　</w:t>
      </w:r>
      <w:r>
        <w:t>日</w:t>
      </w:r>
    </w:p>
    <w:p w14:paraId="4617363E">
      <w:pPr>
        <w:pStyle w:val="18"/>
        <w:ind w:firstLine="480"/>
        <w:rPr>
          <w:rFonts w:hint="default"/>
        </w:rPr>
      </w:pPr>
      <w:r>
        <w:t>附：单位负责人、供应商代表的身份证正反面复印件</w:t>
      </w:r>
    </w:p>
    <w:p w14:paraId="36FD85A1">
      <w:pPr>
        <w:pStyle w:val="18"/>
        <w:rPr>
          <w:rFonts w:hint="default"/>
        </w:rPr>
      </w:pPr>
      <w:r>
        <w:t>要求：真实、有效、清晰</w:t>
      </w:r>
    </w:p>
    <w:p w14:paraId="31F7B5EB">
      <w:pPr>
        <w:pStyle w:val="18"/>
        <w:ind w:firstLine="480"/>
        <w:rPr>
          <w:rFonts w:hint="default"/>
        </w:rPr>
      </w:pPr>
      <w:r>
        <w:t>※注意：</w:t>
      </w:r>
    </w:p>
    <w:p w14:paraId="2E317652">
      <w:pPr>
        <w:pStyle w:val="18"/>
        <w:ind w:firstLine="480"/>
        <w:rPr>
          <w:rFonts w:hint="default"/>
        </w:rPr>
      </w:pPr>
      <w:r>
        <w:t>1、企业（银行、保险、石油石化、电力、电信等行业除外）、事业单位和社会团体法人的“单位负责人”指法定代表人，即与实际提交的“营业执照等证明文件”载明的一致。</w:t>
      </w:r>
    </w:p>
    <w:p w14:paraId="0C306966">
      <w:pPr>
        <w:pStyle w:val="18"/>
        <w:ind w:firstLine="480"/>
        <w:rPr>
          <w:rFonts w:hint="default"/>
        </w:rPr>
      </w:pPr>
      <w:r>
        <w:t>2、银行、保险、石油石化、电力、电信等行业：以法人身份参加磋商的，“单位负责人”指法定代表人，即与实际提交的“营业执照等证明文件”载明的一致；以非法人身份参加磋商的，“单位负责人”指代表单位行使职权的主要负责人，即与实际提交的“营业执照等证明文件”载明的一致。</w:t>
      </w:r>
    </w:p>
    <w:p w14:paraId="097DAAB9">
      <w:pPr>
        <w:pStyle w:val="18"/>
        <w:ind w:firstLine="480"/>
        <w:rPr>
          <w:rFonts w:hint="default"/>
        </w:rPr>
      </w:pPr>
      <w:r>
        <w:t>3、负责响应文件签字的供应商代表如果不是上述规定的单位负责人，则供应商应当在响应文件中提供本授权书，纸质响应文件正本中的本授权书应为原件。供应商为自然人的，可不填写本授权书，但应当提供其身份证正反面复印件。。</w:t>
      </w:r>
    </w:p>
    <w:p w14:paraId="3CFFB255">
      <w:pPr>
        <w:pStyle w:val="18"/>
        <w:ind w:firstLine="480"/>
        <w:rPr>
          <w:rFonts w:hint="default"/>
        </w:rPr>
      </w:pPr>
      <w:r>
        <w:t>4、对于接受联合体形式的磋商且供应商是联合体的，则只需要联合体的牵头方提交本授权书，在纸质响应文件正本中的本授权书应为原件</w:t>
      </w:r>
    </w:p>
    <w:p w14:paraId="48AA2960">
      <w:pPr>
        <w:pStyle w:val="18"/>
        <w:rPr>
          <w:rFonts w:hint="eastAsia" w:eastAsia="宋体"/>
          <w:lang w:eastAsia="zh-CN"/>
        </w:rPr>
      </w:pPr>
      <w:r>
        <w:t xml:space="preserve"> </w:t>
      </w:r>
    </w:p>
    <w:p w14:paraId="4DD34AD8">
      <w:pPr>
        <w:pStyle w:val="18"/>
        <w:rPr>
          <w:rFonts w:hint="default"/>
        </w:rPr>
      </w:pPr>
      <w:r>
        <w:br w:type="page"/>
      </w:r>
    </w:p>
    <w:p w14:paraId="3E33A8B0">
      <w:pPr>
        <w:pStyle w:val="18"/>
        <w:jc w:val="center"/>
        <w:outlineLvl w:val="3"/>
        <w:rPr>
          <w:rFonts w:hint="default"/>
        </w:rPr>
      </w:pPr>
      <w:r>
        <w:rPr>
          <w:b/>
          <w:sz w:val="24"/>
        </w:rPr>
        <w:t>附件3-4 营业执照等证明文件</w:t>
      </w:r>
    </w:p>
    <w:p w14:paraId="5348FF9F">
      <w:pPr>
        <w:pStyle w:val="18"/>
        <w:ind w:firstLine="480"/>
        <w:rPr>
          <w:rFonts w:hint="default"/>
        </w:rPr>
      </w:pPr>
      <w:r>
        <w:t>致：</w:t>
      </w:r>
      <w:r>
        <w:rPr>
          <w:u w:val="single"/>
        </w:rPr>
        <w:t>（采购人或采购代理机构）</w:t>
      </w:r>
    </w:p>
    <w:p w14:paraId="2B6FF570">
      <w:pPr>
        <w:pStyle w:val="18"/>
        <w:ind w:firstLine="480"/>
        <w:rPr>
          <w:rFonts w:hint="default"/>
        </w:rPr>
      </w:pPr>
      <w:r>
        <w:t>（ ）供应商为法人（包括企业、事业单位和社会团体）的</w:t>
      </w:r>
    </w:p>
    <w:p w14:paraId="072EB5A9">
      <w:pPr>
        <w:pStyle w:val="18"/>
        <w:ind w:firstLine="480"/>
        <w:rPr>
          <w:rFonts w:hint="default"/>
        </w:rPr>
      </w:pPr>
      <w:r>
        <w:t>现附上由</w:t>
      </w:r>
      <w:r>
        <w:rPr>
          <w:u w:val="single"/>
        </w:rPr>
        <w:t>（填写“签发机关全称”）</w:t>
      </w:r>
      <w:r>
        <w:t>签发的我方统一社会信用代码</w:t>
      </w:r>
      <w:r>
        <w:rPr>
          <w:u w:val="single"/>
        </w:rPr>
        <w:t>（请填写法人的具体证照名称）</w:t>
      </w:r>
      <w:r>
        <w:t>复印件，该证明材料真实有效，否则我方负全部责任。</w:t>
      </w:r>
    </w:p>
    <w:p w14:paraId="6ABDE0CC">
      <w:pPr>
        <w:pStyle w:val="18"/>
        <w:ind w:firstLine="480"/>
        <w:rPr>
          <w:rFonts w:hint="default"/>
        </w:rPr>
      </w:pPr>
      <w:r>
        <w:t>（ ）供应商为非法人（包括其他组织、自然人）的</w:t>
      </w:r>
    </w:p>
    <w:p w14:paraId="55F86BB8">
      <w:pPr>
        <w:pStyle w:val="18"/>
        <w:ind w:firstLine="480"/>
        <w:rPr>
          <w:rFonts w:hint="default"/>
        </w:rPr>
      </w:pPr>
      <w:r>
        <w:t>□现附上由</w:t>
      </w:r>
      <w:r>
        <w:rPr>
          <w:u w:val="single"/>
        </w:rPr>
        <w:t>（填写“签发机关全称”）</w:t>
      </w:r>
      <w:r>
        <w:t>签发的我方统一社会信用代码</w:t>
      </w:r>
      <w:r>
        <w:rPr>
          <w:u w:val="single"/>
        </w:rPr>
        <w:t>（请填写非自然人的非法人的具体证照名称）</w:t>
      </w:r>
      <w:r>
        <w:t>复印件，该证明材料真实有效，否则我方负全部责任。</w:t>
      </w:r>
    </w:p>
    <w:p w14:paraId="3013D8E6">
      <w:pPr>
        <w:pStyle w:val="18"/>
        <w:ind w:firstLine="480"/>
        <w:rPr>
          <w:rFonts w:hint="eastAsia" w:eastAsia="宋体"/>
          <w:lang w:eastAsia="zh-CN"/>
        </w:rPr>
      </w:pPr>
      <w:r>
        <w:t>□现附上由</w:t>
      </w:r>
      <w:r>
        <w:rPr>
          <w:u w:val="single"/>
        </w:rPr>
        <w:t>（填写“签发机关全称”）</w:t>
      </w:r>
      <w:r>
        <w:t>签发的我方统一社会信用代码</w:t>
      </w:r>
      <w:r>
        <w:rPr>
          <w:u w:val="single"/>
        </w:rPr>
        <w:t>（请填写自然人的身份证件名称）</w:t>
      </w:r>
      <w:r>
        <w:t>复印件，该证明材料真实有效，否则我方负全部责任。</w:t>
      </w:r>
    </w:p>
    <w:p w14:paraId="2A16E022">
      <w:pPr>
        <w:pStyle w:val="18"/>
        <w:ind w:firstLine="480"/>
        <w:rPr>
          <w:rFonts w:hint="eastAsia" w:eastAsia="宋体"/>
          <w:lang w:eastAsia="zh-CN"/>
        </w:rPr>
      </w:pPr>
    </w:p>
    <w:p w14:paraId="0DA851E3">
      <w:pPr>
        <w:pStyle w:val="18"/>
        <w:ind w:firstLine="480"/>
        <w:rPr>
          <w:rFonts w:hint="eastAsia" w:eastAsia="宋体"/>
          <w:lang w:eastAsia="zh-CN"/>
        </w:rPr>
      </w:pPr>
    </w:p>
    <w:p w14:paraId="00B12C4D">
      <w:pPr>
        <w:pStyle w:val="18"/>
        <w:ind w:firstLine="480"/>
        <w:rPr>
          <w:rFonts w:hint="default"/>
        </w:rPr>
      </w:pPr>
      <w:r>
        <w:t>※注意：</w:t>
      </w:r>
    </w:p>
    <w:p w14:paraId="11A3C7F3">
      <w:pPr>
        <w:pStyle w:val="18"/>
        <w:ind w:firstLine="480"/>
        <w:rPr>
          <w:rFonts w:hint="default"/>
        </w:rPr>
      </w:pPr>
      <w:r>
        <w:t>1、请供应商根据实际情况填写，在相应的（）中打“√”并选择相应的“□”（若有）后，再按照本格式的要求提供相应证明材料的复印件。</w:t>
      </w:r>
    </w:p>
    <w:p w14:paraId="4A98610A">
      <w:pPr>
        <w:pStyle w:val="18"/>
        <w:ind w:firstLine="480"/>
        <w:rPr>
          <w:rFonts w:hint="default"/>
        </w:rPr>
      </w:pPr>
      <w:r>
        <w:t>2、供应商为企业的，提供有效的营业执照复印件；供应商为事业单位的，提供有效的事业单位法人证书复印件；供应商为社会团体的，提供有效的社会团体法人登记证书复印件；供应商为合伙企业、个体工商户的，提供有效的营业执照复印件；供应商为非企业专业服务机构的，提供有效的执业许可证等证明材料复印件；供应商为自然人的，提供有效的自然人身份证件复印件；其他供应商应按照有关法律、法规和规章规定，提供有效的相应具体证照复印件。</w:t>
      </w:r>
    </w:p>
    <w:p w14:paraId="7DA880E2">
      <w:pPr>
        <w:pStyle w:val="18"/>
        <w:ind w:firstLine="480"/>
        <w:rPr>
          <w:rFonts w:hint="eastAsia" w:eastAsia="宋体"/>
          <w:lang w:eastAsia="zh-CN"/>
        </w:rPr>
      </w:pPr>
      <w:r>
        <w:t>3、对于接受联合体形式的磋商且供应商是联合体的，则联合体各成员都应当提交本资格证明文件。</w:t>
      </w:r>
    </w:p>
    <w:p w14:paraId="17F70A1B">
      <w:pPr>
        <w:pStyle w:val="18"/>
        <w:ind w:firstLine="480"/>
        <w:rPr>
          <w:rFonts w:hint="eastAsia" w:eastAsia="宋体"/>
          <w:lang w:eastAsia="zh-CN"/>
        </w:rPr>
      </w:pPr>
    </w:p>
    <w:p w14:paraId="0F7D325E">
      <w:pPr>
        <w:pStyle w:val="18"/>
        <w:ind w:firstLine="480"/>
        <w:rPr>
          <w:rFonts w:hint="eastAsia" w:eastAsia="宋体"/>
          <w:lang w:eastAsia="zh-CN"/>
        </w:rPr>
      </w:pPr>
    </w:p>
    <w:p w14:paraId="0D09071E">
      <w:pPr>
        <w:pStyle w:val="18"/>
        <w:ind w:firstLine="480"/>
        <w:rPr>
          <w:rFonts w:hint="default"/>
        </w:rPr>
      </w:pPr>
      <w:r>
        <w:t>供应商代表</w:t>
      </w:r>
      <w:r>
        <w:rPr>
          <w:u w:val="single"/>
        </w:rPr>
        <w:t>　　　　　（签字）</w:t>
      </w:r>
    </w:p>
    <w:p w14:paraId="133DC3B0">
      <w:pPr>
        <w:pStyle w:val="18"/>
        <w:ind w:firstLine="480"/>
        <w:rPr>
          <w:rFonts w:hint="default"/>
        </w:rPr>
      </w:pPr>
      <w:r>
        <w:t>供应商名称</w:t>
      </w:r>
      <w:r>
        <w:rPr>
          <w:u w:val="single"/>
        </w:rPr>
        <w:t>　　　　　（全称并加盖公章）</w:t>
      </w:r>
    </w:p>
    <w:p w14:paraId="65E1ABB6">
      <w:pPr>
        <w:pStyle w:val="18"/>
        <w:ind w:firstLine="480"/>
        <w:rPr>
          <w:rFonts w:hint="default"/>
        </w:rPr>
      </w:pPr>
      <w:r>
        <w:t>日期：</w:t>
      </w:r>
      <w:r>
        <w:rPr>
          <w:u w:val="single"/>
        </w:rPr>
        <w:t>　　</w:t>
      </w:r>
      <w:r>
        <w:t>年</w:t>
      </w:r>
      <w:r>
        <w:rPr>
          <w:u w:val="single"/>
        </w:rPr>
        <w:t>　　</w:t>
      </w:r>
      <w:r>
        <w:t>月</w:t>
      </w:r>
      <w:r>
        <w:rPr>
          <w:u w:val="single"/>
        </w:rPr>
        <w:t>　　</w:t>
      </w:r>
      <w:r>
        <w:t>日</w:t>
      </w:r>
    </w:p>
    <w:p w14:paraId="0479C498">
      <w:pPr>
        <w:pStyle w:val="18"/>
        <w:rPr>
          <w:rFonts w:hint="eastAsia" w:eastAsia="宋体"/>
          <w:lang w:eastAsia="zh-CN"/>
        </w:rPr>
      </w:pPr>
      <w:r>
        <w:t xml:space="preserve"> </w:t>
      </w:r>
    </w:p>
    <w:p w14:paraId="54AB5BF3">
      <w:pPr>
        <w:pStyle w:val="18"/>
        <w:rPr>
          <w:rFonts w:hint="default"/>
        </w:rPr>
      </w:pPr>
      <w:r>
        <w:br w:type="page"/>
      </w:r>
    </w:p>
    <w:p w14:paraId="0FDFCBF2">
      <w:pPr>
        <w:pStyle w:val="18"/>
        <w:jc w:val="center"/>
        <w:outlineLvl w:val="3"/>
        <w:rPr>
          <w:rFonts w:hint="default"/>
        </w:rPr>
      </w:pPr>
      <w:r>
        <w:rPr>
          <w:b/>
          <w:sz w:val="24"/>
        </w:rPr>
        <w:t>附件3-5 财务状况报告</w:t>
      </w:r>
    </w:p>
    <w:p w14:paraId="04190210">
      <w:pPr>
        <w:pStyle w:val="18"/>
        <w:ind w:firstLine="480"/>
        <w:rPr>
          <w:rFonts w:hint="default"/>
        </w:rPr>
      </w:pPr>
      <w:r>
        <w:t>致：</w:t>
      </w:r>
      <w:r>
        <w:rPr>
          <w:u w:val="single"/>
        </w:rPr>
        <w:t>（采购人或采购代理机构）</w:t>
      </w:r>
    </w:p>
    <w:p w14:paraId="25EBDCCF">
      <w:pPr>
        <w:pStyle w:val="18"/>
        <w:ind w:firstLine="480"/>
        <w:rPr>
          <w:rFonts w:hint="default"/>
        </w:rPr>
      </w:pPr>
      <w:r>
        <w:t>（ ）供应商提供财务报告的</w:t>
      </w:r>
    </w:p>
    <w:p w14:paraId="2D51BAC1">
      <w:pPr>
        <w:pStyle w:val="18"/>
        <w:ind w:firstLine="480"/>
        <w:rPr>
          <w:rFonts w:hint="default"/>
        </w:rPr>
      </w:pPr>
      <w:r>
        <w:t>□企业适用：现附上我方</w:t>
      </w:r>
      <w:r>
        <w:rPr>
          <w:u w:val="single"/>
        </w:rPr>
        <w:t>（填写“具体的年度、或半年度、或季度”）</w:t>
      </w:r>
      <w:r>
        <w:t>财务报告复印件，包括资产负债表、利润表、现金流量表、所有者权益变动表及其附注（若有）、会计师事务所营业执照和注册会计师资格证书，上述证明材料真实有效，否则我方负全部责任。</w:t>
      </w:r>
    </w:p>
    <w:p w14:paraId="12D12D05">
      <w:pPr>
        <w:pStyle w:val="18"/>
        <w:ind w:firstLine="480"/>
        <w:rPr>
          <w:rFonts w:hint="default"/>
        </w:rPr>
      </w:pPr>
      <w:r>
        <w:t>□事业单位适用：现附上我方</w:t>
      </w:r>
      <w:r>
        <w:rPr>
          <w:u w:val="single"/>
        </w:rPr>
        <w:t>（填写“具体的年度、或半年度、或季度”）</w:t>
      </w:r>
      <w:r>
        <w:t>财务报告复印件，包括资产负债表、收入支出表或收入费用表、财政补助收入支出表（若有）、会计师事务所营业执照和注册会计师资格证书，上述证明材料真实有效，否则我方负全部责任。</w:t>
      </w:r>
    </w:p>
    <w:p w14:paraId="2536F068">
      <w:pPr>
        <w:pStyle w:val="18"/>
        <w:ind w:firstLine="480"/>
        <w:rPr>
          <w:rFonts w:hint="default"/>
        </w:rPr>
      </w:pPr>
      <w:r>
        <w:t>□社会团体、民办非企单位适用：现附上我方</w:t>
      </w:r>
      <w:r>
        <w:rPr>
          <w:u w:val="single"/>
        </w:rPr>
        <w:t>（填写“具体的年度、或半年度、或季度”）</w:t>
      </w:r>
      <w:r>
        <w:t>财务报告复印件，包括资产负债表、业务活动表、现金流量表、会计师事务所营业执照和注册会计师资格证书，上述证明材料真实有效，否则我方负全部责任。</w:t>
      </w:r>
    </w:p>
    <w:p w14:paraId="6232E162">
      <w:pPr>
        <w:pStyle w:val="18"/>
        <w:ind w:firstLine="480"/>
        <w:rPr>
          <w:rFonts w:hint="default"/>
        </w:rPr>
      </w:pPr>
      <w:r>
        <w:t>（ ）供应商提供资信证明的</w:t>
      </w:r>
    </w:p>
    <w:p w14:paraId="06F2953E">
      <w:pPr>
        <w:pStyle w:val="18"/>
        <w:ind w:firstLine="480"/>
        <w:rPr>
          <w:rFonts w:hint="default"/>
        </w:rPr>
      </w:pPr>
      <w:r>
        <w:t>□非自然人适用（包括企业、事业单位、社会团体和其他组织）：现附上我方银行：</w:t>
      </w:r>
      <w:r>
        <w:rPr>
          <w:u w:val="single"/>
        </w:rPr>
        <w:t>（填写“开户银行全称”）</w:t>
      </w:r>
      <w:r>
        <w:t>出具的资信证明复印件，上述证明材料真实有效，否则我方负全部责任。</w:t>
      </w:r>
    </w:p>
    <w:p w14:paraId="1D8CB14D">
      <w:pPr>
        <w:pStyle w:val="18"/>
        <w:ind w:firstLine="480"/>
        <w:rPr>
          <w:rFonts w:hint="default"/>
        </w:rPr>
      </w:pPr>
      <w:r>
        <w:t>□自然人适用（包括企业、事业单位、社会团体和其他组织）：现附上我方银行：</w:t>
      </w:r>
      <w:r>
        <w:rPr>
          <w:u w:val="single"/>
        </w:rPr>
        <w:t>（填写自然人的“个人账户的开户银行全称”）</w:t>
      </w:r>
      <w:r>
        <w:t>出具的资信证明复印件，上述证明材料真实有效，否则我方负全部责任。</w:t>
      </w:r>
    </w:p>
    <w:p w14:paraId="61BED475">
      <w:pPr>
        <w:pStyle w:val="18"/>
        <w:ind w:firstLine="480"/>
        <w:rPr>
          <w:rFonts w:hint="default"/>
        </w:rPr>
      </w:pPr>
      <w:r>
        <w:t>※注意事项：</w:t>
      </w:r>
    </w:p>
    <w:p w14:paraId="46A310BF">
      <w:pPr>
        <w:pStyle w:val="18"/>
        <w:ind w:firstLine="480"/>
        <w:rPr>
          <w:rFonts w:hint="default"/>
        </w:rPr>
      </w:pPr>
      <w:r>
        <w:t>1、请供应商按照自身实际情况编制填写，在其中相应的（）中打“√”并选择相应的“□”（若有）后，再按照本格式的要求提供相应证明材料的复印件即可。</w:t>
      </w:r>
    </w:p>
    <w:p w14:paraId="4FE53014">
      <w:pPr>
        <w:pStyle w:val="18"/>
        <w:ind w:firstLine="480"/>
        <w:rPr>
          <w:rFonts w:hint="default"/>
        </w:rPr>
      </w:pPr>
      <w:r>
        <w:t>2、供应商提供的财务报告复印件（成立年限按照首次响应文件递交截止时间推算）应符合下列规定：</w:t>
      </w:r>
    </w:p>
    <w:p w14:paraId="6A9C6DFA">
      <w:pPr>
        <w:pStyle w:val="18"/>
        <w:ind w:firstLine="480"/>
        <w:rPr>
          <w:rFonts w:hint="default"/>
        </w:rPr>
      </w:pPr>
      <w:r>
        <w:t>2.1成立年限满1年及以上的供应商，提供经审计的</w:t>
      </w:r>
      <w:r>
        <w:rPr>
          <w:rFonts w:hint="eastAsia"/>
          <w:lang w:val="en-US" w:eastAsia="zh-CN"/>
        </w:rPr>
        <w:t>2022</w:t>
      </w:r>
      <w:r>
        <w:t>年度</w:t>
      </w:r>
      <w:r>
        <w:rPr>
          <w:rFonts w:hint="eastAsia"/>
          <w:lang w:val="en-US" w:eastAsia="zh-CN"/>
        </w:rPr>
        <w:t>或2023年度</w:t>
      </w:r>
      <w:r>
        <w:t>的年度财务报告。</w:t>
      </w:r>
    </w:p>
    <w:p w14:paraId="144B8FC3">
      <w:pPr>
        <w:pStyle w:val="18"/>
        <w:ind w:firstLine="480"/>
        <w:rPr>
          <w:rFonts w:hint="default"/>
        </w:rPr>
      </w:pPr>
      <w:r>
        <w:t>2.2成立年限满半年但不足1年的供应商，提供该半年度中任一季度的季度财务报告或该半年度的半年度财务报告。</w:t>
      </w:r>
    </w:p>
    <w:p w14:paraId="67458EE8">
      <w:pPr>
        <w:pStyle w:val="18"/>
        <w:rPr>
          <w:rFonts w:hint="default"/>
        </w:rPr>
      </w:pPr>
      <w:r>
        <w:t>※无法按照本格式注意事项第2.1、2.2条规定提供财务报告复印件的供应商，应按照本格式注意事项的要求选择提供资信证明复印件。</w:t>
      </w:r>
    </w:p>
    <w:p w14:paraId="20C2BF37">
      <w:pPr>
        <w:pStyle w:val="18"/>
        <w:ind w:firstLine="480"/>
        <w:rPr>
          <w:rFonts w:hint="default"/>
        </w:rPr>
      </w:pPr>
      <w:r>
        <w:t>3、对于接受联合体形式的磋商且供应商是联合体的，则联合体各成员都应当提交本资格证明文件。</w:t>
      </w:r>
    </w:p>
    <w:p w14:paraId="03407CD5">
      <w:pPr>
        <w:pStyle w:val="18"/>
        <w:ind w:firstLine="480"/>
        <w:rPr>
          <w:rFonts w:hint="default"/>
        </w:rPr>
      </w:pPr>
      <w:r>
        <w:t>供应商代表</w:t>
      </w:r>
      <w:r>
        <w:rPr>
          <w:u w:val="single"/>
        </w:rPr>
        <w:t>　　　　　（签字）</w:t>
      </w:r>
    </w:p>
    <w:p w14:paraId="516CB33A">
      <w:pPr>
        <w:pStyle w:val="18"/>
        <w:ind w:firstLine="480"/>
        <w:rPr>
          <w:rFonts w:hint="default"/>
        </w:rPr>
      </w:pPr>
      <w:r>
        <w:t>供应商名称</w:t>
      </w:r>
      <w:r>
        <w:rPr>
          <w:u w:val="single"/>
        </w:rPr>
        <w:t>　　　　　（全称并加盖公章）</w:t>
      </w:r>
    </w:p>
    <w:p w14:paraId="539A0072">
      <w:pPr>
        <w:pStyle w:val="18"/>
        <w:ind w:firstLine="480"/>
        <w:rPr>
          <w:rFonts w:hint="default"/>
        </w:rPr>
      </w:pPr>
      <w:r>
        <w:t>日期：</w:t>
      </w:r>
      <w:r>
        <w:rPr>
          <w:u w:val="single"/>
        </w:rPr>
        <w:t>　　</w:t>
      </w:r>
      <w:r>
        <w:t>年</w:t>
      </w:r>
      <w:r>
        <w:rPr>
          <w:u w:val="single"/>
        </w:rPr>
        <w:t>　　</w:t>
      </w:r>
      <w:r>
        <w:t>月</w:t>
      </w:r>
      <w:r>
        <w:rPr>
          <w:u w:val="single"/>
        </w:rPr>
        <w:t>　　</w:t>
      </w:r>
      <w:r>
        <w:t>日</w:t>
      </w:r>
    </w:p>
    <w:p w14:paraId="1C7DB369">
      <w:pPr>
        <w:pStyle w:val="18"/>
        <w:rPr>
          <w:rFonts w:hint="eastAsia" w:eastAsia="宋体"/>
          <w:lang w:eastAsia="zh-CN"/>
        </w:rPr>
      </w:pPr>
      <w:r>
        <w:t xml:space="preserve"> </w:t>
      </w:r>
    </w:p>
    <w:p w14:paraId="70B07992">
      <w:pPr>
        <w:pStyle w:val="18"/>
        <w:rPr>
          <w:rFonts w:hint="default"/>
        </w:rPr>
      </w:pPr>
      <w:r>
        <w:br w:type="page"/>
      </w:r>
    </w:p>
    <w:p w14:paraId="1059B370">
      <w:pPr>
        <w:pStyle w:val="18"/>
        <w:jc w:val="center"/>
        <w:outlineLvl w:val="3"/>
        <w:rPr>
          <w:rFonts w:hint="default"/>
        </w:rPr>
      </w:pPr>
      <w:r>
        <w:rPr>
          <w:b/>
          <w:sz w:val="24"/>
        </w:rPr>
        <w:t>附件3-6 依法缴纳税收证明材料</w:t>
      </w:r>
    </w:p>
    <w:p w14:paraId="7A271256">
      <w:pPr>
        <w:pStyle w:val="18"/>
        <w:ind w:firstLine="480"/>
        <w:rPr>
          <w:rFonts w:hint="default"/>
        </w:rPr>
      </w:pPr>
      <w:r>
        <w:t>致：</w:t>
      </w:r>
      <w:r>
        <w:rPr>
          <w:u w:val="single"/>
        </w:rPr>
        <w:t>（采购人或采购代理机构）</w:t>
      </w:r>
    </w:p>
    <w:p w14:paraId="0DDDA0A4">
      <w:pPr>
        <w:pStyle w:val="18"/>
        <w:ind w:firstLine="480"/>
        <w:rPr>
          <w:rFonts w:hint="default"/>
        </w:rPr>
      </w:pPr>
      <w:r>
        <w:t>1、依法缴纳税收的供应商</w:t>
      </w:r>
    </w:p>
    <w:p w14:paraId="68F83A7F">
      <w:pPr>
        <w:pStyle w:val="18"/>
        <w:ind w:firstLine="480"/>
        <w:rPr>
          <w:rFonts w:hint="default"/>
        </w:rPr>
      </w:pPr>
      <w:r>
        <w:t>（ ）法人（包括企业、事业单位和社会团体）的</w:t>
      </w:r>
    </w:p>
    <w:p w14:paraId="1BFDD9C3">
      <w:pPr>
        <w:pStyle w:val="18"/>
        <w:ind w:firstLine="480"/>
        <w:rPr>
          <w:rFonts w:hint="default"/>
        </w:rPr>
      </w:pPr>
      <w:r>
        <w:t>现附上自</w:t>
      </w:r>
      <w:r>
        <w:rPr>
          <w:u w:val="single"/>
        </w:rPr>
        <w:t>　　年　　月　　日</w:t>
      </w:r>
      <w:r>
        <w:t>至</w:t>
      </w:r>
      <w:r>
        <w:rPr>
          <w:u w:val="single"/>
        </w:rPr>
        <w:t>　　年　　月　　日</w:t>
      </w:r>
      <w:r>
        <w:t>期间我方缴纳（包括但不限于税务机关出具的专用收据、税收缴纳证明或税收代缴银行的缴款收讫凭证）等税收凭据复印件，上述证明材料真实有效，否则我方负全部责任。</w:t>
      </w:r>
    </w:p>
    <w:p w14:paraId="262CA606">
      <w:pPr>
        <w:pStyle w:val="18"/>
        <w:ind w:firstLine="480"/>
        <w:rPr>
          <w:rFonts w:hint="default"/>
        </w:rPr>
      </w:pPr>
      <w:r>
        <w:t>（ ）非法人（包括其他组织、自然人）的</w:t>
      </w:r>
    </w:p>
    <w:p w14:paraId="1DFAD714">
      <w:pPr>
        <w:pStyle w:val="18"/>
        <w:ind w:firstLine="480"/>
        <w:rPr>
          <w:rFonts w:hint="default"/>
        </w:rPr>
      </w:pPr>
      <w:r>
        <w:t>现附上自</w:t>
      </w:r>
      <w:r>
        <w:rPr>
          <w:u w:val="single"/>
        </w:rPr>
        <w:t>　　年　　月　　日</w:t>
      </w:r>
      <w:r>
        <w:t>至</w:t>
      </w:r>
      <w:r>
        <w:rPr>
          <w:u w:val="single"/>
        </w:rPr>
        <w:t>　　年　　月　　日</w:t>
      </w:r>
      <w:r>
        <w:t>期间我方缴纳（包括但不限于税务机关出具的专用收据、税收缴纳证明或税收代缴银行的缴款收讫凭证）等税收凭据复印件，上述证明材料真实有效，否则我方负全部责任。</w:t>
      </w:r>
    </w:p>
    <w:p w14:paraId="352C9073">
      <w:pPr>
        <w:pStyle w:val="18"/>
        <w:ind w:firstLine="480"/>
        <w:rPr>
          <w:rFonts w:hint="default"/>
        </w:rPr>
      </w:pPr>
      <w:r>
        <w:t>2、依法减免税收的供应商</w:t>
      </w:r>
    </w:p>
    <w:p w14:paraId="186501D0">
      <w:pPr>
        <w:pStyle w:val="18"/>
        <w:ind w:firstLine="480"/>
        <w:rPr>
          <w:rFonts w:hint="eastAsia" w:eastAsia="宋体"/>
          <w:lang w:eastAsia="zh-CN"/>
        </w:rPr>
      </w:pPr>
      <w:r>
        <w:t>（ ）现附上我方依法免税证明材料复印件，上述证明材料真实有效，否则我方负全部责任。</w:t>
      </w:r>
    </w:p>
    <w:p w14:paraId="1DC3D944">
      <w:pPr>
        <w:pStyle w:val="18"/>
        <w:ind w:firstLine="480"/>
        <w:rPr>
          <w:rFonts w:hint="eastAsia" w:eastAsia="宋体"/>
          <w:lang w:eastAsia="zh-CN"/>
        </w:rPr>
      </w:pPr>
    </w:p>
    <w:p w14:paraId="7558842B">
      <w:pPr>
        <w:pStyle w:val="18"/>
        <w:ind w:firstLine="480"/>
        <w:rPr>
          <w:rFonts w:hint="eastAsia" w:eastAsia="宋体"/>
          <w:lang w:eastAsia="zh-CN"/>
        </w:rPr>
      </w:pPr>
    </w:p>
    <w:p w14:paraId="3C72BB0E">
      <w:pPr>
        <w:pStyle w:val="18"/>
        <w:ind w:firstLine="480"/>
        <w:rPr>
          <w:rFonts w:hint="default"/>
        </w:rPr>
      </w:pPr>
      <w:r>
        <w:t>※注意</w:t>
      </w:r>
    </w:p>
    <w:p w14:paraId="24DA3599">
      <w:pPr>
        <w:pStyle w:val="18"/>
        <w:ind w:firstLine="480"/>
        <w:rPr>
          <w:rFonts w:hint="default"/>
        </w:rPr>
      </w:pPr>
      <w:r>
        <w:t>1、请供应商根据实际情况填写，在相应的（）中打“√”，并按照本格式的要求提供相应证明材料的复印件。</w:t>
      </w:r>
    </w:p>
    <w:p w14:paraId="058B64A7">
      <w:pPr>
        <w:pStyle w:val="18"/>
        <w:ind w:firstLine="480"/>
        <w:rPr>
          <w:rFonts w:hint="default"/>
        </w:rPr>
      </w:pPr>
      <w:r>
        <w:t>2、供应商提供的税收凭据复印件应符合下列规定：</w:t>
      </w:r>
    </w:p>
    <w:p w14:paraId="70D26889">
      <w:pPr>
        <w:pStyle w:val="18"/>
        <w:ind w:firstLine="480"/>
        <w:rPr>
          <w:rFonts w:hint="default"/>
        </w:rPr>
      </w:pPr>
      <w:r>
        <w:t>2.1首次响应文件递交截止时间前（不含截止时间的当月）已依法缴纳税收的供应商，提供首次响应文件递交截止时间前六个月（不含截止时间的当月）中任一月份的税收凭据复印件。</w:t>
      </w:r>
    </w:p>
    <w:p w14:paraId="7C06C832">
      <w:pPr>
        <w:pStyle w:val="18"/>
        <w:ind w:firstLine="480"/>
        <w:rPr>
          <w:rFonts w:hint="default"/>
        </w:rPr>
      </w:pPr>
      <w:r>
        <w:t>2.2首次响应文件递交截止时间的当月成立的供应商，视同满足本项资格条件要求。</w:t>
      </w:r>
    </w:p>
    <w:p w14:paraId="3A373141">
      <w:pPr>
        <w:pStyle w:val="18"/>
        <w:ind w:firstLine="480"/>
        <w:rPr>
          <w:rFonts w:hint="eastAsia" w:eastAsia="宋体"/>
          <w:lang w:eastAsia="zh-CN"/>
        </w:rPr>
      </w:pPr>
      <w:r>
        <w:t>2.3若为依法免税范围的供应商，提供依法免税证明材料的，视同满足本项资格条件要求。</w:t>
      </w:r>
    </w:p>
    <w:p w14:paraId="29A49838">
      <w:pPr>
        <w:pStyle w:val="18"/>
        <w:ind w:firstLine="480"/>
        <w:rPr>
          <w:rFonts w:hint="eastAsia" w:eastAsia="宋体"/>
          <w:lang w:eastAsia="zh-CN"/>
        </w:rPr>
      </w:pPr>
    </w:p>
    <w:p w14:paraId="2F697B31">
      <w:pPr>
        <w:pStyle w:val="18"/>
        <w:ind w:firstLine="480"/>
        <w:rPr>
          <w:rFonts w:hint="eastAsia" w:eastAsia="宋体"/>
          <w:lang w:eastAsia="zh-CN"/>
        </w:rPr>
      </w:pPr>
    </w:p>
    <w:p w14:paraId="1D4E771A">
      <w:pPr>
        <w:pStyle w:val="18"/>
        <w:ind w:firstLine="480"/>
        <w:rPr>
          <w:rFonts w:hint="default"/>
        </w:rPr>
      </w:pPr>
      <w:r>
        <w:t>供应商代表</w:t>
      </w:r>
      <w:r>
        <w:rPr>
          <w:u w:val="single"/>
        </w:rPr>
        <w:t>　　　　　（签字）</w:t>
      </w:r>
    </w:p>
    <w:p w14:paraId="56B2A1A6">
      <w:pPr>
        <w:pStyle w:val="18"/>
        <w:ind w:firstLine="480"/>
        <w:rPr>
          <w:rFonts w:hint="default"/>
        </w:rPr>
      </w:pPr>
      <w:r>
        <w:t>供应商名称</w:t>
      </w:r>
      <w:r>
        <w:rPr>
          <w:u w:val="single"/>
        </w:rPr>
        <w:t>　　　　　（全称并加盖公章）</w:t>
      </w:r>
    </w:p>
    <w:p w14:paraId="60401929">
      <w:pPr>
        <w:pStyle w:val="18"/>
        <w:ind w:firstLine="480"/>
        <w:rPr>
          <w:rFonts w:hint="default"/>
        </w:rPr>
      </w:pPr>
      <w:r>
        <w:t>日期：</w:t>
      </w:r>
      <w:r>
        <w:rPr>
          <w:u w:val="single"/>
        </w:rPr>
        <w:t>　　</w:t>
      </w:r>
      <w:r>
        <w:t>年</w:t>
      </w:r>
      <w:r>
        <w:rPr>
          <w:u w:val="single"/>
        </w:rPr>
        <w:t>　　</w:t>
      </w:r>
      <w:r>
        <w:t>月</w:t>
      </w:r>
      <w:r>
        <w:rPr>
          <w:u w:val="single"/>
        </w:rPr>
        <w:t>　　</w:t>
      </w:r>
      <w:r>
        <w:t>日</w:t>
      </w:r>
    </w:p>
    <w:p w14:paraId="6809FDBA">
      <w:pPr>
        <w:pStyle w:val="18"/>
        <w:rPr>
          <w:rFonts w:hint="eastAsia" w:eastAsia="宋体"/>
          <w:lang w:eastAsia="zh-CN"/>
        </w:rPr>
      </w:pPr>
      <w:r>
        <w:t xml:space="preserve"> </w:t>
      </w:r>
    </w:p>
    <w:p w14:paraId="49612AC5">
      <w:pPr>
        <w:pStyle w:val="18"/>
        <w:rPr>
          <w:rFonts w:hint="default"/>
        </w:rPr>
      </w:pPr>
      <w:r>
        <w:br w:type="page"/>
      </w:r>
    </w:p>
    <w:p w14:paraId="33FA15EB">
      <w:pPr>
        <w:pStyle w:val="18"/>
        <w:jc w:val="center"/>
        <w:outlineLvl w:val="3"/>
        <w:rPr>
          <w:rFonts w:hint="default"/>
        </w:rPr>
      </w:pPr>
      <w:r>
        <w:rPr>
          <w:b/>
          <w:sz w:val="24"/>
        </w:rPr>
        <w:t>附件3-7 依法缴纳社会保障资金证明材料</w:t>
      </w:r>
    </w:p>
    <w:p w14:paraId="2368DDB9">
      <w:pPr>
        <w:pStyle w:val="18"/>
        <w:ind w:firstLine="480"/>
        <w:rPr>
          <w:rFonts w:hint="default"/>
        </w:rPr>
      </w:pPr>
      <w:r>
        <w:t>致：</w:t>
      </w:r>
      <w:r>
        <w:rPr>
          <w:u w:val="single"/>
        </w:rPr>
        <w:t>（采购人或采购代理机构）</w:t>
      </w:r>
    </w:p>
    <w:p w14:paraId="0A9369DC">
      <w:pPr>
        <w:pStyle w:val="18"/>
        <w:ind w:firstLine="480"/>
        <w:rPr>
          <w:rFonts w:hint="default"/>
        </w:rPr>
      </w:pPr>
      <w:r>
        <w:t>1、依法缴纳社会保障资金的供应商</w:t>
      </w:r>
    </w:p>
    <w:p w14:paraId="735C7022">
      <w:pPr>
        <w:pStyle w:val="18"/>
        <w:ind w:firstLine="480"/>
        <w:rPr>
          <w:rFonts w:hint="default"/>
        </w:rPr>
      </w:pPr>
      <w:r>
        <w:t>（ ）法人（包括企业、事业单位和社会团体）的</w:t>
      </w:r>
    </w:p>
    <w:p w14:paraId="29A8CE48">
      <w:pPr>
        <w:pStyle w:val="18"/>
        <w:ind w:firstLine="480"/>
        <w:rPr>
          <w:rFonts w:hint="default"/>
        </w:rPr>
      </w:pPr>
      <w:r>
        <w:t>现附上自</w:t>
      </w:r>
      <w:r>
        <w:rPr>
          <w:u w:val="single"/>
        </w:rPr>
        <w:t>　　年　　月　　日</w:t>
      </w:r>
      <w:r>
        <w:t>至</w:t>
      </w:r>
      <w:r>
        <w:rPr>
          <w:u w:val="single"/>
        </w:rPr>
        <w:t>　　年　　月　　日</w:t>
      </w:r>
      <w:r>
        <w:t>我方缴纳的社会保险凭据（限：税务机关/社会保障资金管理机关的专用收据或社会保险缴纳清单，或社会保险的银行缴款收讫凭证）复印件，上述证明材料真实有效，否则我方负全部责任。</w:t>
      </w:r>
    </w:p>
    <w:p w14:paraId="0A950817">
      <w:pPr>
        <w:pStyle w:val="18"/>
        <w:ind w:firstLine="480"/>
        <w:rPr>
          <w:rFonts w:hint="default"/>
        </w:rPr>
      </w:pPr>
      <w:r>
        <w:t>（ ）非法人（包括其他组织、自然人）的</w:t>
      </w:r>
    </w:p>
    <w:p w14:paraId="6096A0EC">
      <w:pPr>
        <w:pStyle w:val="18"/>
        <w:ind w:firstLine="480"/>
        <w:rPr>
          <w:rFonts w:hint="default"/>
        </w:rPr>
      </w:pPr>
      <w:r>
        <w:t>自</w:t>
      </w:r>
      <w:r>
        <w:rPr>
          <w:u w:val="single"/>
        </w:rPr>
        <w:t>　　年　　月　　日</w:t>
      </w:r>
      <w:r>
        <w:t>至</w:t>
      </w:r>
      <w:r>
        <w:rPr>
          <w:u w:val="single"/>
        </w:rPr>
        <w:t>　　年　　月　　日</w:t>
      </w:r>
      <w:r>
        <w:t>我方缴纳的社会保险凭据（限：税务机关/社会保障资金管理机关的专用收据或社会保险缴纳清单，或社会保险的银行缴款收讫凭证）复印件，上述证明材料真实有效，否则我方负全部责任。</w:t>
      </w:r>
    </w:p>
    <w:p w14:paraId="7344AE06">
      <w:pPr>
        <w:pStyle w:val="18"/>
        <w:ind w:firstLine="480"/>
        <w:rPr>
          <w:rFonts w:hint="default"/>
        </w:rPr>
      </w:pPr>
      <w:r>
        <w:t>2、依法不需要缴纳或暂缓缴纳社会保障资金的供应商</w:t>
      </w:r>
    </w:p>
    <w:p w14:paraId="26F9EEE7">
      <w:pPr>
        <w:pStyle w:val="18"/>
        <w:ind w:firstLine="480"/>
        <w:rPr>
          <w:rFonts w:hint="eastAsia" w:eastAsia="宋体"/>
          <w:lang w:eastAsia="zh-CN"/>
        </w:rPr>
      </w:pPr>
      <w:r>
        <w:t>（）现附上我方依法不需要缴纳社会保障资金证明材料复印件，上述证明材料真实有效，否则我方负全部责任。</w:t>
      </w:r>
    </w:p>
    <w:p w14:paraId="0FFEA502">
      <w:pPr>
        <w:pStyle w:val="18"/>
        <w:ind w:firstLine="480"/>
        <w:rPr>
          <w:rFonts w:hint="eastAsia" w:eastAsia="宋体"/>
          <w:lang w:eastAsia="zh-CN"/>
        </w:rPr>
      </w:pPr>
    </w:p>
    <w:p w14:paraId="46D09CC4">
      <w:pPr>
        <w:pStyle w:val="18"/>
        <w:ind w:firstLine="480"/>
        <w:rPr>
          <w:rFonts w:hint="eastAsia" w:eastAsia="宋体"/>
          <w:lang w:eastAsia="zh-CN"/>
        </w:rPr>
      </w:pPr>
    </w:p>
    <w:p w14:paraId="5DC6AE9B">
      <w:pPr>
        <w:pStyle w:val="18"/>
        <w:ind w:firstLine="480"/>
        <w:rPr>
          <w:rFonts w:hint="default"/>
        </w:rPr>
      </w:pPr>
      <w:r>
        <w:t>※注意</w:t>
      </w:r>
    </w:p>
    <w:p w14:paraId="1C96F7BD">
      <w:pPr>
        <w:pStyle w:val="18"/>
        <w:ind w:firstLine="480"/>
        <w:rPr>
          <w:rFonts w:hint="default"/>
        </w:rPr>
      </w:pPr>
      <w:r>
        <w:t>1、请供应商根据实际情况填写，在相应的（）中打“√”，并按照本格式的要求提供相应证明材料的复印件。</w:t>
      </w:r>
    </w:p>
    <w:p w14:paraId="53F8F009">
      <w:pPr>
        <w:pStyle w:val="18"/>
        <w:ind w:firstLine="480"/>
        <w:rPr>
          <w:rFonts w:hint="default"/>
        </w:rPr>
      </w:pPr>
      <w:r>
        <w:t>2、供应商提供的社会保险凭据复印件应符合下列规定：</w:t>
      </w:r>
    </w:p>
    <w:p w14:paraId="29C2CC95">
      <w:pPr>
        <w:pStyle w:val="18"/>
        <w:ind w:firstLine="480"/>
        <w:rPr>
          <w:rFonts w:hint="default"/>
        </w:rPr>
      </w:pPr>
      <w:r>
        <w:t>2.1首次响应文件递交截止时间前（不含截止时间的当月）已依法缴纳社会保障资金的投供应商，提供首次响应文件递交截止时间前六个月（不含截止时间的当月）中任一月份的社会保险凭据复印件。</w:t>
      </w:r>
    </w:p>
    <w:p w14:paraId="676CEDF2">
      <w:pPr>
        <w:pStyle w:val="18"/>
        <w:ind w:firstLine="480"/>
        <w:rPr>
          <w:rFonts w:hint="default"/>
        </w:rPr>
      </w:pPr>
      <w:r>
        <w:t>2.2首次响应文件递交截止时间的当月成立的供应商，视同满足本项资格条件要求。</w:t>
      </w:r>
    </w:p>
    <w:p w14:paraId="253F24E1">
      <w:pPr>
        <w:pStyle w:val="18"/>
        <w:ind w:firstLine="480"/>
        <w:rPr>
          <w:rFonts w:hint="eastAsia" w:eastAsia="宋体"/>
          <w:lang w:eastAsia="zh-CN"/>
        </w:rPr>
      </w:pPr>
      <w:r>
        <w:t>2.3若为依法不需要缴纳或暂缓缴纳社会保障资金的供应商，提供依法不需要缴纳或暂缓缴纳社会保障资金证明材料的，视同满足本项资格条件要求。</w:t>
      </w:r>
    </w:p>
    <w:p w14:paraId="19D5D736">
      <w:pPr>
        <w:pStyle w:val="18"/>
        <w:ind w:firstLine="480"/>
        <w:rPr>
          <w:rFonts w:hint="eastAsia" w:eastAsia="宋体"/>
          <w:lang w:eastAsia="zh-CN"/>
        </w:rPr>
      </w:pPr>
    </w:p>
    <w:p w14:paraId="743A06A8">
      <w:pPr>
        <w:pStyle w:val="18"/>
        <w:ind w:firstLine="480"/>
        <w:rPr>
          <w:rFonts w:hint="eastAsia" w:eastAsia="宋体"/>
          <w:lang w:eastAsia="zh-CN"/>
        </w:rPr>
      </w:pPr>
    </w:p>
    <w:p w14:paraId="6D6C3ABB">
      <w:pPr>
        <w:pStyle w:val="18"/>
        <w:ind w:firstLine="480"/>
        <w:rPr>
          <w:rFonts w:hint="default"/>
        </w:rPr>
      </w:pPr>
      <w:r>
        <w:t>供应商代表</w:t>
      </w:r>
      <w:r>
        <w:rPr>
          <w:u w:val="single"/>
        </w:rPr>
        <w:t>　　　　　（签字）</w:t>
      </w:r>
    </w:p>
    <w:p w14:paraId="288DC427">
      <w:pPr>
        <w:pStyle w:val="18"/>
        <w:ind w:firstLine="480"/>
        <w:rPr>
          <w:rFonts w:hint="default"/>
        </w:rPr>
      </w:pPr>
      <w:r>
        <w:t>供应商名称</w:t>
      </w:r>
      <w:r>
        <w:rPr>
          <w:u w:val="single"/>
        </w:rPr>
        <w:t>　　　　　（全称并加盖公章）</w:t>
      </w:r>
    </w:p>
    <w:p w14:paraId="7E86E92E">
      <w:pPr>
        <w:pStyle w:val="18"/>
        <w:ind w:firstLine="480"/>
        <w:rPr>
          <w:rFonts w:hint="default"/>
        </w:rPr>
      </w:pPr>
      <w:r>
        <w:t>日期：</w:t>
      </w:r>
      <w:r>
        <w:rPr>
          <w:u w:val="single"/>
        </w:rPr>
        <w:t>　　</w:t>
      </w:r>
      <w:r>
        <w:t>年</w:t>
      </w:r>
      <w:r>
        <w:rPr>
          <w:u w:val="single"/>
        </w:rPr>
        <w:t>　　</w:t>
      </w:r>
      <w:r>
        <w:t>月</w:t>
      </w:r>
      <w:r>
        <w:rPr>
          <w:u w:val="single"/>
        </w:rPr>
        <w:t>　　</w:t>
      </w:r>
      <w:r>
        <w:t>日</w:t>
      </w:r>
    </w:p>
    <w:p w14:paraId="51275AAD">
      <w:pPr>
        <w:pStyle w:val="18"/>
        <w:rPr>
          <w:rFonts w:hint="eastAsia" w:eastAsia="宋体"/>
          <w:lang w:eastAsia="zh-CN"/>
        </w:rPr>
      </w:pPr>
      <w:r>
        <w:t xml:space="preserve"> </w:t>
      </w:r>
    </w:p>
    <w:p w14:paraId="39365378">
      <w:pPr>
        <w:pStyle w:val="18"/>
        <w:rPr>
          <w:rFonts w:hint="default"/>
        </w:rPr>
      </w:pPr>
      <w:r>
        <w:br w:type="page"/>
      </w:r>
    </w:p>
    <w:p w14:paraId="32115FA1">
      <w:pPr>
        <w:pStyle w:val="18"/>
        <w:jc w:val="center"/>
        <w:outlineLvl w:val="3"/>
        <w:rPr>
          <w:rFonts w:hint="default"/>
        </w:rPr>
      </w:pPr>
      <w:r>
        <w:rPr>
          <w:b/>
          <w:sz w:val="24"/>
        </w:rPr>
        <w:t>附件3-8 具备履行合同所必需设备和专业技术能力证明材料</w:t>
      </w:r>
    </w:p>
    <w:p w14:paraId="189EC721">
      <w:pPr>
        <w:pStyle w:val="18"/>
        <w:jc w:val="center"/>
        <w:outlineLvl w:val="3"/>
        <w:rPr>
          <w:rFonts w:hint="default"/>
        </w:rPr>
      </w:pPr>
      <w:r>
        <w:rPr>
          <w:b/>
          <w:sz w:val="24"/>
        </w:rPr>
        <w:t>声明函</w:t>
      </w:r>
    </w:p>
    <w:p w14:paraId="28CDC917">
      <w:pPr>
        <w:pStyle w:val="18"/>
        <w:ind w:firstLine="480"/>
        <w:rPr>
          <w:rFonts w:hint="default"/>
        </w:rPr>
      </w:pPr>
      <w:r>
        <w:t>致：</w:t>
      </w:r>
      <w:r>
        <w:rPr>
          <w:u w:val="single"/>
        </w:rPr>
        <w:t>（采购人或采购代理机构）</w:t>
      </w:r>
    </w:p>
    <w:p w14:paraId="1F698196">
      <w:pPr>
        <w:pStyle w:val="18"/>
        <w:ind w:firstLine="480"/>
        <w:rPr>
          <w:rFonts w:hint="default"/>
        </w:rPr>
      </w:pPr>
      <w:r>
        <w:t>我方具备履行合同所必需的设备和专业技术能力，并对本声明承诺的真实性负责，否则产生不利后果由我方承担责任。</w:t>
      </w:r>
    </w:p>
    <w:p w14:paraId="6BE14366">
      <w:pPr>
        <w:pStyle w:val="18"/>
        <w:ind w:firstLine="480"/>
        <w:rPr>
          <w:rFonts w:hint="eastAsia" w:eastAsia="宋体"/>
          <w:lang w:eastAsia="zh-CN"/>
        </w:rPr>
      </w:pPr>
      <w:r>
        <w:t>特此声明。</w:t>
      </w:r>
    </w:p>
    <w:p w14:paraId="65134B2E">
      <w:pPr>
        <w:pStyle w:val="18"/>
        <w:ind w:firstLine="480"/>
        <w:rPr>
          <w:rFonts w:hint="eastAsia" w:eastAsia="宋体"/>
          <w:lang w:eastAsia="zh-CN"/>
        </w:rPr>
      </w:pPr>
    </w:p>
    <w:p w14:paraId="6FFE3CF3">
      <w:pPr>
        <w:pStyle w:val="18"/>
        <w:ind w:firstLine="480"/>
        <w:rPr>
          <w:rFonts w:hint="eastAsia" w:eastAsia="宋体"/>
          <w:lang w:eastAsia="zh-CN"/>
        </w:rPr>
      </w:pPr>
    </w:p>
    <w:p w14:paraId="67A43A29">
      <w:pPr>
        <w:pStyle w:val="18"/>
        <w:ind w:firstLine="480"/>
        <w:rPr>
          <w:rFonts w:hint="default"/>
        </w:rPr>
      </w:pPr>
      <w:r>
        <w:t>※注意：</w:t>
      </w:r>
    </w:p>
    <w:p w14:paraId="23E91F49">
      <w:pPr>
        <w:pStyle w:val="18"/>
        <w:ind w:firstLine="480"/>
        <w:rPr>
          <w:rFonts w:hint="default"/>
        </w:rPr>
      </w:pPr>
      <w:r>
        <w:t>1.磋商文件“供应商的资格”中特定资格条件如果没有特别规定，则由供应商在响应文件中按上述格式提供其具备履行合同所必需的设备和专业技术能力的声明即可，声明函应加盖供应商单位公章。。</w:t>
      </w:r>
    </w:p>
    <w:p w14:paraId="390D018B">
      <w:pPr>
        <w:pStyle w:val="18"/>
        <w:ind w:firstLine="480"/>
        <w:rPr>
          <w:rFonts w:hint="default"/>
        </w:rPr>
      </w:pPr>
      <w:r>
        <w:t>2.如果根据项目的特点和需要，对履行合同所必需的设备和专业技术能力的证明材料有特别专项要求的，则采购人或采购代理机构应当在磋商文件“供应商的资格”中特定资格条件进行明确约定，供应商可以不用提供上述格式要求的声明函，但必须按特定资格条件的规定提供相应专项证明材料，并对相应证明材料的真实性负责。</w:t>
      </w:r>
    </w:p>
    <w:p w14:paraId="4FC0FA45">
      <w:pPr>
        <w:pStyle w:val="18"/>
        <w:ind w:firstLine="480"/>
        <w:rPr>
          <w:rFonts w:hint="eastAsia" w:eastAsia="宋体"/>
          <w:lang w:eastAsia="zh-CN"/>
        </w:rPr>
      </w:pPr>
      <w:r>
        <w:t>3.对于接受联合体形式的磋商且供应商是联合体的，则联合体各成员都应当提交本资格证明文件。</w:t>
      </w:r>
    </w:p>
    <w:p w14:paraId="6500B9BB">
      <w:pPr>
        <w:pStyle w:val="18"/>
        <w:ind w:firstLine="480"/>
        <w:rPr>
          <w:rFonts w:hint="eastAsia" w:eastAsia="宋体"/>
          <w:lang w:eastAsia="zh-CN"/>
        </w:rPr>
      </w:pPr>
    </w:p>
    <w:p w14:paraId="6D0140A1">
      <w:pPr>
        <w:pStyle w:val="18"/>
        <w:ind w:firstLine="480"/>
        <w:rPr>
          <w:rFonts w:hint="eastAsia" w:eastAsia="宋体"/>
          <w:lang w:eastAsia="zh-CN"/>
        </w:rPr>
      </w:pPr>
    </w:p>
    <w:p w14:paraId="7563A9B5">
      <w:pPr>
        <w:pStyle w:val="18"/>
        <w:ind w:firstLine="480"/>
        <w:rPr>
          <w:rFonts w:hint="default"/>
        </w:rPr>
      </w:pPr>
      <w:r>
        <w:t>供应商代表</w:t>
      </w:r>
      <w:r>
        <w:rPr>
          <w:u w:val="single"/>
        </w:rPr>
        <w:t>　　　　　（签字）</w:t>
      </w:r>
    </w:p>
    <w:p w14:paraId="75A3CC26">
      <w:pPr>
        <w:pStyle w:val="18"/>
        <w:ind w:firstLine="480"/>
        <w:rPr>
          <w:rFonts w:hint="default"/>
        </w:rPr>
      </w:pPr>
      <w:r>
        <w:t>供应商名称</w:t>
      </w:r>
      <w:r>
        <w:rPr>
          <w:u w:val="single"/>
        </w:rPr>
        <w:t>　　　　　（全称并加盖公章）</w:t>
      </w:r>
    </w:p>
    <w:p w14:paraId="61851D8C">
      <w:pPr>
        <w:pStyle w:val="18"/>
        <w:ind w:firstLine="480"/>
        <w:rPr>
          <w:rFonts w:hint="default"/>
        </w:rPr>
      </w:pPr>
      <w:r>
        <w:t>日期：</w:t>
      </w:r>
      <w:r>
        <w:rPr>
          <w:u w:val="single"/>
        </w:rPr>
        <w:t>　　</w:t>
      </w:r>
      <w:r>
        <w:t>年</w:t>
      </w:r>
      <w:r>
        <w:rPr>
          <w:u w:val="single"/>
        </w:rPr>
        <w:t>　　</w:t>
      </w:r>
      <w:r>
        <w:t>月</w:t>
      </w:r>
      <w:r>
        <w:rPr>
          <w:u w:val="single"/>
        </w:rPr>
        <w:t>　　</w:t>
      </w:r>
      <w:r>
        <w:t>日</w:t>
      </w:r>
    </w:p>
    <w:p w14:paraId="79284476">
      <w:pPr>
        <w:pStyle w:val="18"/>
        <w:rPr>
          <w:rFonts w:hint="eastAsia" w:eastAsia="宋体"/>
          <w:lang w:eastAsia="zh-CN"/>
        </w:rPr>
      </w:pPr>
      <w:r>
        <w:t xml:space="preserve"> </w:t>
      </w:r>
    </w:p>
    <w:p w14:paraId="3CDBEE98">
      <w:pPr>
        <w:pStyle w:val="18"/>
        <w:rPr>
          <w:rFonts w:hint="default"/>
        </w:rPr>
      </w:pPr>
      <w:r>
        <w:br w:type="page"/>
      </w:r>
    </w:p>
    <w:p w14:paraId="0724D673">
      <w:pPr>
        <w:pStyle w:val="18"/>
        <w:jc w:val="center"/>
        <w:outlineLvl w:val="3"/>
        <w:rPr>
          <w:rFonts w:hint="default"/>
        </w:rPr>
      </w:pPr>
      <w:r>
        <w:rPr>
          <w:b/>
          <w:sz w:val="24"/>
        </w:rPr>
        <w:t>附件3-9 信用记录查询结果</w:t>
      </w:r>
    </w:p>
    <w:p w14:paraId="0A508D30">
      <w:pPr>
        <w:pStyle w:val="18"/>
        <w:ind w:firstLine="480"/>
        <w:rPr>
          <w:rFonts w:hint="default"/>
        </w:rPr>
      </w:pPr>
      <w:r>
        <w:t>1、由磋商小组通过网站查询并打印供应商的信用记录。</w:t>
      </w:r>
    </w:p>
    <w:p w14:paraId="24875A09">
      <w:pPr>
        <w:pStyle w:val="18"/>
        <w:ind w:firstLine="480"/>
        <w:rPr>
          <w:rFonts w:hint="default"/>
        </w:rPr>
      </w:pPr>
      <w:r>
        <w:t xml:space="preserve"> 2、经查询，供应商参加本项目采购活动(响应文件递交截止时间)前三年内被列入失信被执行人名单、重大税收违法案件当事人名单、政府采购严重违法失信行为记录名单及其他重大违法记录且相关信用惩戒期限未满的，其资格审查不合格。</w:t>
      </w:r>
    </w:p>
    <w:p w14:paraId="4F8B1B9F">
      <w:pPr>
        <w:pStyle w:val="18"/>
        <w:ind w:firstLine="480"/>
        <w:rPr>
          <w:rFonts w:hint="default"/>
        </w:rPr>
      </w:pPr>
      <w:r>
        <w:t xml:space="preserve"> 3、供应商应了解自身的信用记录情况。当供应商受到200万以上罚款的行政处罚且该罚款不属较大数额罚款时，供应商应在响应文件中提供此项罚款不属于较大数额罚款的依据（如提供：相关法律制度的规定、行政执法机构对该罚款不属于较大数额罚款的认定或者其他有效依据）。</w:t>
      </w:r>
    </w:p>
    <w:p w14:paraId="53E37189">
      <w:pPr>
        <w:pStyle w:val="18"/>
        <w:rPr>
          <w:rFonts w:hint="eastAsia" w:eastAsia="宋体"/>
          <w:lang w:eastAsia="zh-CN"/>
        </w:rPr>
      </w:pPr>
      <w:r>
        <w:t xml:space="preserve"> </w:t>
      </w:r>
    </w:p>
    <w:p w14:paraId="23792FAF">
      <w:pPr>
        <w:pStyle w:val="18"/>
        <w:rPr>
          <w:rFonts w:hint="default"/>
        </w:rPr>
      </w:pPr>
      <w:r>
        <w:br w:type="page"/>
      </w:r>
    </w:p>
    <w:p w14:paraId="2562F80C">
      <w:pPr>
        <w:pStyle w:val="18"/>
        <w:jc w:val="center"/>
        <w:outlineLvl w:val="3"/>
        <w:rPr>
          <w:rFonts w:hint="default"/>
        </w:rPr>
      </w:pPr>
      <w:r>
        <w:rPr>
          <w:b/>
          <w:sz w:val="24"/>
        </w:rPr>
        <w:t>附件3-10 联合体协议</w:t>
      </w:r>
    </w:p>
    <w:p w14:paraId="53ACB853">
      <w:pPr>
        <w:pStyle w:val="18"/>
        <w:jc w:val="center"/>
        <w:outlineLvl w:val="3"/>
        <w:rPr>
          <w:rFonts w:hint="default"/>
        </w:rPr>
      </w:pPr>
      <w:r>
        <w:rPr>
          <w:b/>
          <w:sz w:val="24"/>
        </w:rPr>
        <w:t>（接受联合体的项目使用）</w:t>
      </w:r>
    </w:p>
    <w:p w14:paraId="5FF2E5C2">
      <w:pPr>
        <w:pStyle w:val="18"/>
        <w:ind w:firstLine="480"/>
        <w:rPr>
          <w:rFonts w:hint="default"/>
        </w:rPr>
      </w:pPr>
      <w:r>
        <w:t>致：</w:t>
      </w:r>
      <w:r>
        <w:rPr>
          <w:u w:val="single"/>
        </w:rPr>
        <w:t>（采购人或采购代理机构）</w:t>
      </w:r>
    </w:p>
    <w:p w14:paraId="2AA6DB4A">
      <w:pPr>
        <w:pStyle w:val="18"/>
        <w:ind w:firstLine="480"/>
        <w:rPr>
          <w:rFonts w:hint="default"/>
        </w:rPr>
      </w:pPr>
      <w:r>
        <w:t>兹有</w:t>
      </w:r>
      <w:r>
        <w:rPr>
          <w:u w:val="single"/>
        </w:rPr>
        <w:t>（填写“联合体中各方的全称”，各方的全称之间请用“、”分割）</w:t>
      </w:r>
      <w:r>
        <w:t>自愿组成联合体，共同参加</w:t>
      </w:r>
      <w:r>
        <w:rPr>
          <w:u w:val="single"/>
        </w:rPr>
        <w:t>（填写“项目名称”）</w:t>
      </w:r>
      <w:r>
        <w:t xml:space="preserve"> 项目（项目编号：</w:t>
      </w:r>
      <w:r>
        <w:rPr>
          <w:u w:val="single"/>
        </w:rPr>
        <w:t>　　　　　　</w:t>
      </w:r>
      <w:r>
        <w:t>）的响应磋商。现就联合体参加本项目响应磋商的有关事宜达成下列协议：</w:t>
      </w:r>
    </w:p>
    <w:p w14:paraId="0BBA18E5">
      <w:pPr>
        <w:pStyle w:val="18"/>
        <w:ind w:firstLine="480"/>
        <w:rPr>
          <w:rFonts w:hint="default"/>
        </w:rPr>
      </w:pPr>
      <w:r>
        <w:t>一、联合体各方应承担的工作和义务具体如下：</w:t>
      </w:r>
    </w:p>
    <w:p w14:paraId="70AAC2C2">
      <w:pPr>
        <w:pStyle w:val="18"/>
        <w:ind w:firstLine="480"/>
        <w:rPr>
          <w:rFonts w:hint="default"/>
        </w:rPr>
      </w:pPr>
      <w:r>
        <w:t>1、牵头方（全称）：</w:t>
      </w:r>
      <w:r>
        <w:rPr>
          <w:u w:val="single"/>
        </w:rPr>
        <w:t xml:space="preserve">（填写“工作及义务的具体内容”） </w:t>
      </w:r>
      <w:r>
        <w:t>；</w:t>
      </w:r>
    </w:p>
    <w:p w14:paraId="72A4D9DB">
      <w:pPr>
        <w:pStyle w:val="18"/>
        <w:ind w:firstLine="480"/>
        <w:rPr>
          <w:rFonts w:hint="default"/>
        </w:rPr>
      </w:pPr>
      <w:r>
        <w:t>2、成员方：</w:t>
      </w:r>
    </w:p>
    <w:p w14:paraId="23B4A202">
      <w:pPr>
        <w:pStyle w:val="18"/>
        <w:ind w:firstLine="480"/>
        <w:rPr>
          <w:rFonts w:hint="default"/>
        </w:rPr>
      </w:pPr>
      <w:r>
        <w:t>2.1（成员一的全称）：</w:t>
      </w:r>
      <w:r>
        <w:rPr>
          <w:u w:val="single"/>
        </w:rPr>
        <w:t>（填写“工作及义务的具体内容”）</w:t>
      </w:r>
      <w:r>
        <w:t xml:space="preserve"> ；</w:t>
      </w:r>
    </w:p>
    <w:p w14:paraId="35298AB9">
      <w:pPr>
        <w:pStyle w:val="18"/>
        <w:ind w:firstLine="480"/>
        <w:rPr>
          <w:rFonts w:hint="default"/>
        </w:rPr>
      </w:pPr>
      <w:r>
        <w:t>……</w:t>
      </w:r>
    </w:p>
    <w:p w14:paraId="50935F9F">
      <w:pPr>
        <w:pStyle w:val="18"/>
        <w:ind w:firstLine="480"/>
        <w:rPr>
          <w:rFonts w:hint="default"/>
        </w:rPr>
      </w:pPr>
      <w:r>
        <w:t>二、联合体各方的合同金额占比，具体如下：</w:t>
      </w:r>
    </w:p>
    <w:p w14:paraId="0629343B">
      <w:pPr>
        <w:pStyle w:val="18"/>
        <w:ind w:firstLine="480"/>
        <w:rPr>
          <w:rFonts w:hint="default"/>
        </w:rPr>
      </w:pPr>
      <w:r>
        <w:t>1.牵头方（</w:t>
      </w:r>
      <w:r>
        <w:rPr>
          <w:u w:val="single"/>
        </w:rPr>
        <w:t xml:space="preserve"> 全称</w:t>
      </w:r>
      <w:r>
        <w:t xml:space="preserve"> ）的合同金额占合同总额的</w:t>
      </w:r>
      <w:r>
        <w:rPr>
          <w:u w:val="single"/>
        </w:rPr>
        <w:t>　　</w:t>
      </w:r>
      <w:r>
        <w:t>%；</w:t>
      </w:r>
    </w:p>
    <w:p w14:paraId="4398E90D">
      <w:pPr>
        <w:pStyle w:val="18"/>
        <w:ind w:firstLine="480"/>
        <w:rPr>
          <w:rFonts w:hint="default"/>
        </w:rPr>
      </w:pPr>
      <w:r>
        <w:t>2.成员方：</w:t>
      </w:r>
    </w:p>
    <w:p w14:paraId="350B4A47">
      <w:pPr>
        <w:pStyle w:val="18"/>
        <w:ind w:firstLine="480"/>
        <w:rPr>
          <w:rFonts w:hint="default"/>
        </w:rPr>
      </w:pPr>
      <w:r>
        <w:t>2.1（</w:t>
      </w:r>
      <w:r>
        <w:rPr>
          <w:u w:val="single"/>
        </w:rPr>
        <w:t xml:space="preserve"> 成员1的全称 </w:t>
      </w:r>
      <w:r>
        <w:t>）的合同金额占合同总额的</w:t>
      </w:r>
      <w:r>
        <w:rPr>
          <w:u w:val="single"/>
        </w:rPr>
        <w:t>　　</w:t>
      </w:r>
      <w:r>
        <w:t>%；</w:t>
      </w:r>
    </w:p>
    <w:p w14:paraId="4F4B88F0">
      <w:pPr>
        <w:pStyle w:val="18"/>
        <w:ind w:firstLine="480"/>
        <w:rPr>
          <w:rFonts w:hint="default"/>
        </w:rPr>
      </w:pPr>
      <w:r>
        <w:t>……</w:t>
      </w:r>
    </w:p>
    <w:p w14:paraId="7EB81584">
      <w:pPr>
        <w:pStyle w:val="18"/>
        <w:ind w:firstLine="480"/>
        <w:rPr>
          <w:rFonts w:hint="default"/>
        </w:rPr>
      </w:pPr>
      <w:r>
        <w:t>三、联合体各方约定：</w:t>
      </w:r>
    </w:p>
    <w:p w14:paraId="0F1D0E92">
      <w:pPr>
        <w:pStyle w:val="18"/>
        <w:ind w:firstLine="480"/>
        <w:rPr>
          <w:rFonts w:hint="default"/>
        </w:rPr>
      </w:pPr>
      <w:r>
        <w:t>1、由</w:t>
      </w:r>
      <w:r>
        <w:rPr>
          <w:u w:val="single"/>
        </w:rPr>
        <w:t>（填写“牵头方的全称”）代表联合体办理参加本项目报价的有关事宜（包括但不限于：注册账号、派出供应商人代表、提交响应文件及参加开标、谈判、澄清等），在此过程中，供应商代表签字的一切文件和处理结果，联合体均予以认可并对此承担责任。</w:t>
      </w:r>
    </w:p>
    <w:p w14:paraId="1E093A7A">
      <w:pPr>
        <w:pStyle w:val="18"/>
        <w:ind w:firstLine="480"/>
        <w:rPr>
          <w:rFonts w:hint="default"/>
        </w:rPr>
      </w:pPr>
      <w:r>
        <w:t>2、联合体各方约定由</w:t>
      </w:r>
      <w:r>
        <w:rPr>
          <w:u w:val="single"/>
        </w:rPr>
        <w:t>（填写“牵头方的全称”）代表联合体办理磋商保证金事宜。</w:t>
      </w:r>
    </w:p>
    <w:p w14:paraId="3263E8E3">
      <w:pPr>
        <w:pStyle w:val="18"/>
        <w:ind w:firstLine="480"/>
        <w:rPr>
          <w:rFonts w:hint="default"/>
        </w:rPr>
      </w:pPr>
      <w:r>
        <w:t>3、根据福建省财政厅文件（闽财购[2008]10号）的规定，若本项目采用综合评分法，则联合体只能确定由其中一方的条件参与商务部分的评标。因此，联合体各方约定以（应填写“其中一方的全称”，如：联合体确定以成员一的条件参与商务部分的评标，则填写“成员一的全称”…；否则填写“无”）的条件参与商务部分的评标。</w:t>
      </w:r>
    </w:p>
    <w:p w14:paraId="2542C216">
      <w:pPr>
        <w:pStyle w:val="18"/>
        <w:ind w:firstLine="480"/>
        <w:rPr>
          <w:rFonts w:hint="default"/>
        </w:rPr>
      </w:pPr>
      <w:r>
        <w:t>四、若中标，牵头方将代表联合体与采购人就合同签订事宜进行协商；若协商一致，则联合体各方将共同与采购人签订政府采购合同，并就政府采购合同约定的事项对采购人承担连带责任。</w:t>
      </w:r>
    </w:p>
    <w:p w14:paraId="1A84E57C">
      <w:pPr>
        <w:pStyle w:val="18"/>
        <w:ind w:firstLine="480"/>
        <w:rPr>
          <w:rFonts w:hint="default"/>
        </w:rPr>
      </w:pPr>
      <w:r>
        <w:t>五、本协议自签署之日起生效，政府采购合同履行完毕后自动失效。</w:t>
      </w:r>
    </w:p>
    <w:p w14:paraId="0351E393">
      <w:pPr>
        <w:pStyle w:val="18"/>
        <w:ind w:firstLine="480"/>
        <w:rPr>
          <w:rFonts w:hint="default"/>
        </w:rPr>
      </w:pPr>
      <w:r>
        <w:t>六、本协议一式</w:t>
      </w:r>
      <w:r>
        <w:rPr>
          <w:u w:val="single"/>
        </w:rPr>
        <w:t>（填写具体份数）</w:t>
      </w:r>
      <w:r>
        <w:t>份，联合体各方各执一份，响应文件中提交一份。</w:t>
      </w:r>
    </w:p>
    <w:p w14:paraId="45EEB4D5">
      <w:pPr>
        <w:pStyle w:val="18"/>
        <w:ind w:firstLine="480"/>
        <w:rPr>
          <w:rFonts w:hint="default"/>
        </w:rPr>
      </w:pPr>
      <w:r>
        <w:t>（以下无正文）</w:t>
      </w:r>
    </w:p>
    <w:p w14:paraId="5EFEAB5E">
      <w:pPr>
        <w:pStyle w:val="18"/>
        <w:ind w:firstLine="480"/>
        <w:rPr>
          <w:rFonts w:hint="default"/>
        </w:rPr>
      </w:pPr>
      <w:r>
        <w:t>牵头方：</w:t>
      </w:r>
      <w:r>
        <w:rPr>
          <w:u w:val="single"/>
        </w:rPr>
        <w:t>（全称并加盖单位公章）</w:t>
      </w:r>
    </w:p>
    <w:p w14:paraId="670DF422">
      <w:pPr>
        <w:pStyle w:val="18"/>
        <w:ind w:firstLine="480"/>
        <w:rPr>
          <w:rFonts w:hint="default"/>
        </w:rPr>
      </w:pPr>
      <w:r>
        <w:t>法定代表人或其委托代理人：</w:t>
      </w:r>
      <w:r>
        <w:rPr>
          <w:u w:val="single"/>
        </w:rPr>
        <w:t xml:space="preserve"> （签字或盖章）</w:t>
      </w:r>
    </w:p>
    <w:p w14:paraId="2AF55E94">
      <w:pPr>
        <w:pStyle w:val="18"/>
        <w:ind w:firstLine="480"/>
        <w:rPr>
          <w:rFonts w:hint="default"/>
        </w:rPr>
      </w:pPr>
      <w:r>
        <w:t>成员一：</w:t>
      </w:r>
      <w:r>
        <w:rPr>
          <w:u w:val="single"/>
        </w:rPr>
        <w:t>（全称并加盖成员一的单位公章）</w:t>
      </w:r>
    </w:p>
    <w:p w14:paraId="49E07173">
      <w:pPr>
        <w:pStyle w:val="18"/>
        <w:ind w:firstLine="480"/>
        <w:rPr>
          <w:rFonts w:hint="default"/>
        </w:rPr>
      </w:pPr>
      <w:r>
        <w:t>法定代表人或其委托代理人：</w:t>
      </w:r>
      <w:r>
        <w:rPr>
          <w:u w:val="single"/>
        </w:rPr>
        <w:t xml:space="preserve"> （签字或盖章）</w:t>
      </w:r>
    </w:p>
    <w:p w14:paraId="2094986E">
      <w:pPr>
        <w:pStyle w:val="18"/>
        <w:ind w:firstLine="480"/>
        <w:rPr>
          <w:rFonts w:hint="default"/>
        </w:rPr>
      </w:pPr>
      <w:r>
        <w:t>……</w:t>
      </w:r>
    </w:p>
    <w:p w14:paraId="5A52819F">
      <w:pPr>
        <w:pStyle w:val="18"/>
        <w:ind w:firstLine="480"/>
        <w:rPr>
          <w:rFonts w:hint="default"/>
        </w:rPr>
      </w:pPr>
      <w:r>
        <w:t>成员**：</w:t>
      </w:r>
      <w:r>
        <w:rPr>
          <w:u w:val="single"/>
        </w:rPr>
        <w:t>（全称并加盖成员**的单位公章）</w:t>
      </w:r>
    </w:p>
    <w:p w14:paraId="2D17D187">
      <w:pPr>
        <w:pStyle w:val="18"/>
        <w:ind w:firstLine="480"/>
        <w:rPr>
          <w:rFonts w:hint="default"/>
        </w:rPr>
      </w:pPr>
      <w:r>
        <w:t>法定代表人或其委托代理人：</w:t>
      </w:r>
      <w:r>
        <w:rPr>
          <w:u w:val="single"/>
        </w:rPr>
        <w:t xml:space="preserve"> （签字或盖章）</w:t>
      </w:r>
    </w:p>
    <w:p w14:paraId="00E9F6CE">
      <w:pPr>
        <w:pStyle w:val="18"/>
        <w:ind w:firstLine="480"/>
        <w:jc w:val="right"/>
        <w:rPr>
          <w:rFonts w:hint="default"/>
        </w:rPr>
      </w:pPr>
      <w:r>
        <w:t>签署日期：</w:t>
      </w:r>
      <w:r>
        <w:rPr>
          <w:u w:val="single"/>
        </w:rPr>
        <w:t>　　年　　月　　日</w:t>
      </w:r>
    </w:p>
    <w:p w14:paraId="0A111BE7">
      <w:pPr>
        <w:pStyle w:val="18"/>
        <w:ind w:firstLine="480"/>
        <w:rPr>
          <w:rFonts w:hint="default"/>
        </w:rPr>
      </w:pPr>
      <w:r>
        <w:t>※注意：</w:t>
      </w:r>
    </w:p>
    <w:p w14:paraId="49849378">
      <w:pPr>
        <w:pStyle w:val="18"/>
        <w:ind w:firstLine="480"/>
        <w:rPr>
          <w:rFonts w:hint="default"/>
        </w:rPr>
      </w:pPr>
      <w:r>
        <w:t>1、磋商文件接受联合体报价且供应商为联合体的，供应商应提供本协议；否则无须提供。</w:t>
      </w:r>
    </w:p>
    <w:p w14:paraId="6E279B76">
      <w:pPr>
        <w:pStyle w:val="18"/>
        <w:ind w:firstLine="480"/>
        <w:rPr>
          <w:rFonts w:hint="default"/>
        </w:rPr>
      </w:pPr>
      <w:r>
        <w:t>2、本协议由委托代理人签字或盖章的，应按照本章载明的格式提供“单位授权书”。</w:t>
      </w:r>
    </w:p>
    <w:p w14:paraId="25F861FE">
      <w:pPr>
        <w:pStyle w:val="18"/>
        <w:ind w:firstLine="480"/>
        <w:rPr>
          <w:rFonts w:hint="default"/>
        </w:rPr>
      </w:pPr>
      <w:r>
        <w:t>3、在以联合体形式落实中小企业预留份额项目中，供应商除了要提供《中小企业声明函》，还需提供本协议。</w:t>
      </w:r>
    </w:p>
    <w:p w14:paraId="76097825">
      <w:pPr>
        <w:pStyle w:val="18"/>
        <w:ind w:firstLine="480"/>
        <w:rPr>
          <w:rFonts w:hint="default"/>
        </w:rPr>
      </w:pPr>
      <w:r>
        <w:t>4、在以联合体形式落实中小企业预留份额项目中，供应商除了要提供《中小企业声明函》，还需提供本协议。</w:t>
      </w:r>
    </w:p>
    <w:p w14:paraId="39534FAE">
      <w:pPr>
        <w:pStyle w:val="18"/>
        <w:rPr>
          <w:rFonts w:hint="eastAsia" w:eastAsia="宋体"/>
          <w:lang w:eastAsia="zh-CN"/>
        </w:rPr>
      </w:pPr>
      <w:r>
        <w:t xml:space="preserve"> </w:t>
      </w:r>
    </w:p>
    <w:p w14:paraId="4150134D">
      <w:pPr>
        <w:pStyle w:val="18"/>
        <w:rPr>
          <w:rFonts w:hint="default"/>
        </w:rPr>
      </w:pPr>
      <w:r>
        <w:br w:type="page"/>
      </w:r>
    </w:p>
    <w:p w14:paraId="533B11DA">
      <w:pPr>
        <w:pStyle w:val="18"/>
        <w:jc w:val="center"/>
        <w:outlineLvl w:val="3"/>
        <w:rPr>
          <w:rFonts w:hint="default"/>
        </w:rPr>
      </w:pPr>
      <w:r>
        <w:rPr>
          <w:b/>
          <w:sz w:val="24"/>
        </w:rPr>
        <w:t>附件3-11 分包意向协议（若有）</w:t>
      </w:r>
    </w:p>
    <w:p w14:paraId="20A05584">
      <w:pPr>
        <w:pStyle w:val="18"/>
        <w:ind w:firstLine="480"/>
        <w:rPr>
          <w:rFonts w:hint="default"/>
        </w:rPr>
      </w:pPr>
      <w:r>
        <w:t>甲方（总包方）：</w:t>
      </w:r>
      <w:r>
        <w:rPr>
          <w:u w:val="single"/>
        </w:rPr>
        <w:t>　　　　　　　</w:t>
      </w:r>
      <w:r>
        <w:t>（即本项目的供应商）</w:t>
      </w:r>
    </w:p>
    <w:p w14:paraId="27CCA4DC">
      <w:pPr>
        <w:pStyle w:val="18"/>
        <w:ind w:firstLine="480"/>
        <w:rPr>
          <w:rFonts w:hint="default"/>
        </w:rPr>
      </w:pPr>
      <w:r>
        <w:t>乙方（分包方）：</w:t>
      </w:r>
      <w:r>
        <w:rPr>
          <w:u w:val="single"/>
        </w:rPr>
        <w:t>　　　　　　　</w:t>
      </w:r>
    </w:p>
    <w:p w14:paraId="418D536C">
      <w:pPr>
        <w:pStyle w:val="18"/>
        <w:ind w:firstLine="480"/>
        <w:rPr>
          <w:rFonts w:hint="default"/>
        </w:rPr>
      </w:pPr>
      <w:r>
        <w:t>兹有甲方参加</w:t>
      </w:r>
      <w:r>
        <w:rPr>
          <w:u w:val="single"/>
        </w:rPr>
        <w:t>（填写“项目名称”）</w:t>
      </w:r>
      <w:r>
        <w:t xml:space="preserve"> 项目（项目编号：</w:t>
      </w:r>
      <w:r>
        <w:rPr>
          <w:u w:val="single"/>
        </w:rPr>
        <w:t>　　　　　　　</w:t>
      </w:r>
      <w:r>
        <w:t>）的政府采购活动。甲方期望将采购项目的部分采购标的分包给乙方完成，而乙方保证能够向甲方提供本协议项下的采购标的，甲、乙双方就合同分包的有关事宜达成下列协议：</w:t>
      </w:r>
    </w:p>
    <w:p w14:paraId="57EDBFD7">
      <w:pPr>
        <w:pStyle w:val="18"/>
        <w:ind w:firstLine="480"/>
        <w:rPr>
          <w:rFonts w:hint="default"/>
        </w:rPr>
      </w:pPr>
      <w:r>
        <w:t>一、分包标的</w:t>
      </w:r>
    </w:p>
    <w:p w14:paraId="637C6AE8">
      <w:pPr>
        <w:pStyle w:val="18"/>
        <w:ind w:firstLine="480"/>
        <w:rPr>
          <w:rFonts w:hint="default"/>
        </w:rPr>
      </w:pPr>
      <w:r>
        <w:rPr>
          <w:u w:val="single"/>
        </w:rPr>
        <w:t>（根据双方的意向填写，可以是表格或文字描述）。</w:t>
      </w:r>
    </w:p>
    <w:p w14:paraId="2FACBBCD">
      <w:pPr>
        <w:pStyle w:val="18"/>
        <w:ind w:firstLine="480"/>
        <w:rPr>
          <w:rFonts w:hint="default"/>
        </w:rPr>
      </w:pPr>
      <w:r>
        <w:t>二、分包合同金额占比</w:t>
      </w:r>
    </w:p>
    <w:p w14:paraId="4F2A0147">
      <w:pPr>
        <w:pStyle w:val="18"/>
        <w:ind w:firstLine="480"/>
        <w:rPr>
          <w:rFonts w:hint="default"/>
        </w:rPr>
      </w:pPr>
      <w:r>
        <w:t>分包合同价占报价总价的比例：</w:t>
      </w:r>
      <w:r>
        <w:rPr>
          <w:u w:val="single"/>
        </w:rPr>
        <w:t>　　　　　</w:t>
      </w:r>
      <w:r>
        <w:t>%</w:t>
      </w:r>
    </w:p>
    <w:p w14:paraId="4AED20FA">
      <w:pPr>
        <w:pStyle w:val="18"/>
        <w:ind w:firstLine="480"/>
        <w:rPr>
          <w:rFonts w:hint="default"/>
        </w:rPr>
      </w:pPr>
      <w:r>
        <w:t>三、其他条款</w:t>
      </w:r>
    </w:p>
    <w:p w14:paraId="6963BA87">
      <w:pPr>
        <w:pStyle w:val="18"/>
        <w:ind w:firstLine="480"/>
        <w:rPr>
          <w:rFonts w:hint="default"/>
        </w:rPr>
      </w:pPr>
      <w:r>
        <w:t>分包合同标的交付时间、地点和条件，质量要求和标准，验收，款项的支付，履约担保，违约责任，质量保证，知识产权，合同纠纷处理方式，不可抗力等条款待甲方中标（成交）后，根据甲方与采购人签订的总包合同确定具体的内容。</w:t>
      </w:r>
    </w:p>
    <w:tbl>
      <w:tblPr>
        <w:tblStyle w:val="13"/>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4153"/>
        <w:gridCol w:w="4153"/>
      </w:tblGrid>
      <w:tr w14:paraId="18BE145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2111A217">
            <w:pPr>
              <w:pStyle w:val="18"/>
              <w:rPr>
                <w:rFonts w:hint="default"/>
              </w:rPr>
            </w:pPr>
            <w:r>
              <w:t>甲方：</w:t>
            </w:r>
          </w:p>
        </w:tc>
        <w:tc>
          <w:tcPr>
            <w:tcW w:w="4153" w:type="dxa"/>
            <w:noWrap w:val="0"/>
            <w:vAlign w:val="top"/>
          </w:tcPr>
          <w:p w14:paraId="7124D2A7">
            <w:pPr>
              <w:pStyle w:val="18"/>
              <w:rPr>
                <w:rFonts w:hint="default"/>
              </w:rPr>
            </w:pPr>
            <w:r>
              <w:t>乙方：</w:t>
            </w:r>
          </w:p>
        </w:tc>
      </w:tr>
      <w:tr w14:paraId="79515D4F">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2DD896E2">
            <w:pPr>
              <w:pStyle w:val="18"/>
              <w:rPr>
                <w:rFonts w:hint="default"/>
              </w:rPr>
            </w:pPr>
            <w:r>
              <w:t>住所：</w:t>
            </w:r>
          </w:p>
        </w:tc>
        <w:tc>
          <w:tcPr>
            <w:tcW w:w="4153" w:type="dxa"/>
            <w:noWrap w:val="0"/>
            <w:vAlign w:val="top"/>
          </w:tcPr>
          <w:p w14:paraId="139FA812">
            <w:pPr>
              <w:pStyle w:val="18"/>
              <w:rPr>
                <w:rFonts w:hint="default"/>
              </w:rPr>
            </w:pPr>
            <w:r>
              <w:t>住所：</w:t>
            </w:r>
          </w:p>
        </w:tc>
      </w:tr>
      <w:tr w14:paraId="4851D9EC">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70462F3C">
            <w:pPr>
              <w:pStyle w:val="18"/>
              <w:rPr>
                <w:rFonts w:hint="default"/>
              </w:rPr>
            </w:pPr>
            <w:r>
              <w:t>单位负责人或委托代理人：</w:t>
            </w:r>
          </w:p>
        </w:tc>
        <w:tc>
          <w:tcPr>
            <w:tcW w:w="4153" w:type="dxa"/>
            <w:noWrap w:val="0"/>
            <w:vAlign w:val="top"/>
          </w:tcPr>
          <w:p w14:paraId="2DB928B1">
            <w:pPr>
              <w:pStyle w:val="18"/>
              <w:rPr>
                <w:rFonts w:hint="default"/>
              </w:rPr>
            </w:pPr>
            <w:r>
              <w:t>单位负责人或委托代理人：</w:t>
            </w:r>
          </w:p>
        </w:tc>
      </w:tr>
      <w:tr w14:paraId="4CA9994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5F67E977">
            <w:pPr>
              <w:pStyle w:val="18"/>
              <w:rPr>
                <w:rFonts w:hint="default"/>
              </w:rPr>
            </w:pPr>
            <w:r>
              <w:t>联系方法：</w:t>
            </w:r>
          </w:p>
        </w:tc>
        <w:tc>
          <w:tcPr>
            <w:tcW w:w="4153" w:type="dxa"/>
            <w:noWrap w:val="0"/>
            <w:vAlign w:val="top"/>
          </w:tcPr>
          <w:p w14:paraId="128EDE5A">
            <w:pPr>
              <w:pStyle w:val="18"/>
              <w:rPr>
                <w:rFonts w:hint="default"/>
              </w:rPr>
            </w:pPr>
            <w:r>
              <w:t>联系方法：</w:t>
            </w:r>
          </w:p>
        </w:tc>
      </w:tr>
      <w:tr w14:paraId="30060A9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01819B4A">
            <w:pPr>
              <w:pStyle w:val="18"/>
              <w:rPr>
                <w:rFonts w:hint="default"/>
              </w:rPr>
            </w:pPr>
            <w:r>
              <w:t>开户银行：</w:t>
            </w:r>
          </w:p>
        </w:tc>
        <w:tc>
          <w:tcPr>
            <w:tcW w:w="4153" w:type="dxa"/>
            <w:noWrap w:val="0"/>
            <w:vAlign w:val="top"/>
          </w:tcPr>
          <w:p w14:paraId="352ED176">
            <w:pPr>
              <w:pStyle w:val="18"/>
              <w:rPr>
                <w:rFonts w:hint="default"/>
              </w:rPr>
            </w:pPr>
            <w:r>
              <w:t>开户银行：</w:t>
            </w:r>
          </w:p>
        </w:tc>
      </w:tr>
      <w:tr w14:paraId="6211B844">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4153" w:type="dxa"/>
            <w:noWrap w:val="0"/>
            <w:vAlign w:val="top"/>
          </w:tcPr>
          <w:p w14:paraId="52208239">
            <w:pPr>
              <w:pStyle w:val="18"/>
              <w:rPr>
                <w:rFonts w:hint="default"/>
              </w:rPr>
            </w:pPr>
            <w:r>
              <w:t>账号：</w:t>
            </w:r>
          </w:p>
        </w:tc>
        <w:tc>
          <w:tcPr>
            <w:tcW w:w="4153" w:type="dxa"/>
            <w:noWrap w:val="0"/>
            <w:vAlign w:val="top"/>
          </w:tcPr>
          <w:p w14:paraId="4842ABEE">
            <w:pPr>
              <w:pStyle w:val="18"/>
              <w:rPr>
                <w:rFonts w:hint="default"/>
              </w:rPr>
            </w:pPr>
            <w:r>
              <w:t>账号：</w:t>
            </w:r>
          </w:p>
        </w:tc>
      </w:tr>
      <w:tr w14:paraId="68452052">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06" w:type="dxa"/>
            <w:gridSpan w:val="2"/>
            <w:noWrap w:val="0"/>
            <w:vAlign w:val="top"/>
          </w:tcPr>
          <w:p w14:paraId="294574C1">
            <w:pPr>
              <w:pStyle w:val="18"/>
              <w:jc w:val="right"/>
              <w:rPr>
                <w:rFonts w:hint="default"/>
              </w:rPr>
            </w:pPr>
            <w:r>
              <w:t>签订地点：</w:t>
            </w:r>
            <w:r>
              <w:rPr>
                <w:u w:val="single"/>
              </w:rPr>
              <w:t>　　　　　　　　　　</w:t>
            </w:r>
          </w:p>
          <w:p w14:paraId="02DFA015">
            <w:pPr>
              <w:pStyle w:val="18"/>
              <w:jc w:val="right"/>
              <w:rPr>
                <w:rFonts w:hint="default"/>
              </w:rPr>
            </w:pPr>
            <w:r>
              <w:t>签约日期：</w:t>
            </w:r>
            <w:r>
              <w:rPr>
                <w:u w:val="single"/>
              </w:rPr>
              <w:t>　　年　　月　　日</w:t>
            </w:r>
          </w:p>
        </w:tc>
      </w:tr>
    </w:tbl>
    <w:p w14:paraId="2CB3DE4F">
      <w:pPr>
        <w:pStyle w:val="18"/>
        <w:ind w:firstLine="480"/>
        <w:rPr>
          <w:rFonts w:hint="default"/>
        </w:rPr>
      </w:pPr>
      <w:r>
        <w:t>※注意：</w:t>
      </w:r>
    </w:p>
    <w:p w14:paraId="4C69A086">
      <w:pPr>
        <w:pStyle w:val="18"/>
        <w:ind w:firstLine="480"/>
        <w:rPr>
          <w:rFonts w:hint="default"/>
        </w:rPr>
      </w:pPr>
      <w:r>
        <w:t>1.磋商文件接受合同分包且供应商拟将合同分包的，应提供本协议；否则无须提供。</w:t>
      </w:r>
    </w:p>
    <w:p w14:paraId="664D277A">
      <w:pPr>
        <w:pStyle w:val="18"/>
        <w:ind w:firstLine="480"/>
        <w:rPr>
          <w:rFonts w:hint="default"/>
        </w:rPr>
      </w:pPr>
      <w:r>
        <w:t>2.本协议由委托代理人签字或盖章的，应按照本章载明的格式提供“单位授权书”。</w:t>
      </w:r>
    </w:p>
    <w:p w14:paraId="506FF1EA">
      <w:pPr>
        <w:pStyle w:val="18"/>
        <w:ind w:firstLine="480"/>
        <w:rPr>
          <w:rFonts w:hint="default"/>
        </w:rPr>
      </w:pPr>
      <w:r>
        <w:t>3.在以合同分包形式落实中小企业预留份额项目中，供应商除了要提供《中小企业声明函》，还需提供本协议。</w:t>
      </w:r>
    </w:p>
    <w:p w14:paraId="670F256B">
      <w:pPr>
        <w:pStyle w:val="18"/>
        <w:rPr>
          <w:rFonts w:hint="eastAsia" w:eastAsia="宋体"/>
          <w:lang w:eastAsia="zh-CN"/>
        </w:rPr>
      </w:pPr>
      <w:r>
        <w:t xml:space="preserve"> </w:t>
      </w:r>
    </w:p>
    <w:p w14:paraId="0F7A52AF">
      <w:pPr>
        <w:pStyle w:val="18"/>
        <w:rPr>
          <w:rFonts w:hint="default"/>
        </w:rPr>
      </w:pPr>
      <w:r>
        <w:br w:type="page"/>
      </w:r>
    </w:p>
    <w:p w14:paraId="2F87D9A2">
      <w:pPr>
        <w:pStyle w:val="18"/>
        <w:jc w:val="center"/>
        <w:outlineLvl w:val="3"/>
        <w:rPr>
          <w:rFonts w:hint="default"/>
        </w:rPr>
      </w:pPr>
      <w:r>
        <w:rPr>
          <w:b/>
          <w:sz w:val="24"/>
        </w:rPr>
        <w:t>附件3-12 参加采购活动前三年内在经营活动中没有重大违法记录书面声明</w:t>
      </w:r>
    </w:p>
    <w:p w14:paraId="640EFE14">
      <w:pPr>
        <w:pStyle w:val="18"/>
        <w:ind w:firstLine="480"/>
        <w:rPr>
          <w:rFonts w:hint="default"/>
        </w:rPr>
      </w:pPr>
      <w:r>
        <w:t>致：</w:t>
      </w:r>
      <w:r>
        <w:rPr>
          <w:u w:val="single"/>
        </w:rPr>
        <w:t>（采购人或采购代理机构）</w:t>
      </w:r>
    </w:p>
    <w:p w14:paraId="4325C8FE">
      <w:pPr>
        <w:pStyle w:val="18"/>
        <w:ind w:firstLine="480"/>
        <w:rPr>
          <w:rFonts w:hint="eastAsia" w:eastAsia="宋体"/>
          <w:lang w:eastAsia="zh-CN"/>
        </w:rPr>
      </w:pPr>
      <w:r>
        <w:t>参加采购活动前三年内，我方在经营活动中没有重大违法记录，即没有因违法经营受到刑事处罚或责令停产停业、吊销许可证或执照、较大数额罚款等行政处罚。否则产生不利后果由我方承担责任。</w:t>
      </w:r>
    </w:p>
    <w:p w14:paraId="15CF3942">
      <w:pPr>
        <w:pStyle w:val="18"/>
        <w:ind w:firstLine="480"/>
        <w:rPr>
          <w:rFonts w:hint="eastAsia" w:eastAsia="宋体"/>
          <w:lang w:eastAsia="zh-CN"/>
        </w:rPr>
      </w:pPr>
    </w:p>
    <w:p w14:paraId="4BEDA520">
      <w:pPr>
        <w:pStyle w:val="18"/>
        <w:ind w:firstLine="480"/>
        <w:rPr>
          <w:rFonts w:hint="eastAsia" w:eastAsia="宋体"/>
          <w:lang w:eastAsia="zh-CN"/>
        </w:rPr>
      </w:pPr>
      <w:r>
        <w:t>特此申明。</w:t>
      </w:r>
    </w:p>
    <w:p w14:paraId="00D63105">
      <w:pPr>
        <w:pStyle w:val="18"/>
        <w:ind w:firstLine="480"/>
        <w:rPr>
          <w:rFonts w:hint="eastAsia" w:eastAsia="宋体"/>
          <w:lang w:eastAsia="zh-CN"/>
        </w:rPr>
      </w:pPr>
    </w:p>
    <w:p w14:paraId="508158CF">
      <w:pPr>
        <w:pStyle w:val="18"/>
        <w:ind w:firstLine="480"/>
        <w:rPr>
          <w:rFonts w:hint="default"/>
        </w:rPr>
      </w:pPr>
      <w:r>
        <w:t>供应商名称</w:t>
      </w:r>
      <w:r>
        <w:rPr>
          <w:u w:val="single"/>
        </w:rPr>
        <w:t>　　　　　（全称并加盖公章）</w:t>
      </w:r>
    </w:p>
    <w:p w14:paraId="4FAAA930">
      <w:pPr>
        <w:pStyle w:val="18"/>
        <w:ind w:firstLine="480"/>
        <w:rPr>
          <w:rFonts w:hint="default"/>
        </w:rPr>
      </w:pPr>
      <w:r>
        <w:t>日期：</w:t>
      </w:r>
      <w:r>
        <w:rPr>
          <w:u w:val="single"/>
        </w:rPr>
        <w:t>　　</w:t>
      </w:r>
      <w:r>
        <w:t>年</w:t>
      </w:r>
      <w:r>
        <w:rPr>
          <w:u w:val="single"/>
        </w:rPr>
        <w:t>　　</w:t>
      </w:r>
      <w:r>
        <w:t>月</w:t>
      </w:r>
      <w:r>
        <w:rPr>
          <w:u w:val="single"/>
        </w:rPr>
        <w:t>　　</w:t>
      </w:r>
      <w:r>
        <w:t>日</w:t>
      </w:r>
    </w:p>
    <w:p w14:paraId="24E35873">
      <w:pPr>
        <w:pStyle w:val="18"/>
        <w:ind w:firstLine="480"/>
        <w:rPr>
          <w:rFonts w:hint="default"/>
        </w:rPr>
      </w:pPr>
      <w:r>
        <w:t>※注意：</w:t>
      </w:r>
    </w:p>
    <w:p w14:paraId="25FF5024">
      <w:pPr>
        <w:pStyle w:val="18"/>
        <w:ind w:firstLine="480"/>
        <w:rPr>
          <w:rFonts w:hint="default"/>
        </w:rPr>
      </w:pPr>
      <w:r>
        <w:t>1、“重大违法记录”指供应商因违法经营受到刑事处罚或责令停产停业、吊销许可证或执照、较大数额罚款等行政处罚。根据财库〔2022〕3号文件的规定，“较大数额罚款”认定为200万元以上的罚款，法律、行政法规以及国务院有关部门明确规定相关领域“较大数额罚款”标准高于200万元的，从其规定。</w:t>
      </w:r>
    </w:p>
    <w:p w14:paraId="363C83C4">
      <w:pPr>
        <w:pStyle w:val="18"/>
        <w:ind w:firstLine="480"/>
        <w:rPr>
          <w:rFonts w:hint="default"/>
        </w:rPr>
      </w:pPr>
      <w:r>
        <w:t>2、请供应商根据实际情况如实声明，否则视为提供虚假材料。</w:t>
      </w:r>
    </w:p>
    <w:p w14:paraId="1DA86AFD">
      <w:pPr>
        <w:pStyle w:val="18"/>
        <w:rPr>
          <w:rFonts w:hint="eastAsia" w:eastAsia="宋体"/>
          <w:lang w:eastAsia="zh-CN"/>
        </w:rPr>
      </w:pPr>
      <w:r>
        <w:t xml:space="preserve"> </w:t>
      </w:r>
    </w:p>
    <w:p w14:paraId="2EE34A31">
      <w:pPr>
        <w:pStyle w:val="18"/>
        <w:rPr>
          <w:rFonts w:hint="default"/>
        </w:rPr>
      </w:pPr>
      <w:r>
        <w:br w:type="page"/>
      </w:r>
    </w:p>
    <w:p w14:paraId="11D6C0A1">
      <w:pPr>
        <w:pStyle w:val="18"/>
        <w:jc w:val="center"/>
        <w:outlineLvl w:val="3"/>
        <w:rPr>
          <w:rFonts w:hint="default"/>
        </w:rPr>
      </w:pPr>
      <w:r>
        <w:rPr>
          <w:b/>
          <w:sz w:val="24"/>
        </w:rPr>
        <w:t>附件3-13 其它资格证明文件</w:t>
      </w:r>
    </w:p>
    <w:p w14:paraId="562AC0A0">
      <w:pPr>
        <w:pStyle w:val="18"/>
        <w:jc w:val="center"/>
        <w:outlineLvl w:val="3"/>
        <w:rPr>
          <w:rFonts w:hint="default"/>
        </w:rPr>
      </w:pPr>
      <w:r>
        <w:rPr>
          <w:b/>
          <w:sz w:val="24"/>
        </w:rPr>
        <w:t>（若有）</w:t>
      </w:r>
    </w:p>
    <w:p w14:paraId="2EB5A74B">
      <w:pPr>
        <w:pStyle w:val="18"/>
        <w:ind w:firstLine="480"/>
        <w:rPr>
          <w:rFonts w:hint="default"/>
        </w:rPr>
      </w:pPr>
      <w:r>
        <w:t>说明：1、采购人或采购代理机构可以根据项目的特点和需要，在磋商文件“供应商的资格”中特定资格条件，对其它资格证明文件进行具体规定，供应商应按照磋商文件要求，在此项下提供相关证明材料，并加盖供应商单位公章。</w:t>
      </w:r>
    </w:p>
    <w:p w14:paraId="0EB79971">
      <w:pPr>
        <w:pStyle w:val="18"/>
        <w:ind w:firstLine="480"/>
        <w:rPr>
          <w:rFonts w:hint="eastAsia" w:eastAsia="宋体"/>
          <w:lang w:eastAsia="zh-CN"/>
        </w:rPr>
      </w:pPr>
      <w:r>
        <w:t>2、若磋商文件规定接受联合体形式且供应商为联合体的，涉及联合体成员的其它资格证明文件在此处提供相关证明材料，并加盖供应商单位公章。</w:t>
      </w:r>
    </w:p>
    <w:p w14:paraId="4771DFBE">
      <w:pPr>
        <w:pStyle w:val="18"/>
        <w:ind w:firstLine="480"/>
        <w:rPr>
          <w:rFonts w:hint="eastAsia" w:eastAsia="宋体"/>
          <w:lang w:eastAsia="zh-CN"/>
        </w:rPr>
      </w:pPr>
    </w:p>
    <w:p w14:paraId="5B2E976F">
      <w:pPr>
        <w:pStyle w:val="18"/>
        <w:ind w:firstLine="480"/>
        <w:rPr>
          <w:rFonts w:hint="eastAsia" w:eastAsia="宋体"/>
          <w:lang w:eastAsia="zh-CN"/>
        </w:rPr>
      </w:pPr>
    </w:p>
    <w:p w14:paraId="6C329B4A">
      <w:pPr>
        <w:pStyle w:val="18"/>
        <w:ind w:firstLine="480"/>
        <w:rPr>
          <w:rFonts w:hint="default"/>
        </w:rPr>
      </w:pPr>
      <w:r>
        <w:t>供应商代表</w:t>
      </w:r>
      <w:r>
        <w:rPr>
          <w:u w:val="single"/>
        </w:rPr>
        <w:t>　　　　　（签字）</w:t>
      </w:r>
    </w:p>
    <w:p w14:paraId="533DA61F">
      <w:pPr>
        <w:pStyle w:val="18"/>
        <w:ind w:firstLine="480"/>
        <w:rPr>
          <w:rFonts w:hint="default"/>
        </w:rPr>
      </w:pPr>
      <w:r>
        <w:t>供应商名称</w:t>
      </w:r>
      <w:r>
        <w:rPr>
          <w:u w:val="single"/>
        </w:rPr>
        <w:t>　　　　　（全称并加盖公章）</w:t>
      </w:r>
    </w:p>
    <w:p w14:paraId="59EA6D9E">
      <w:pPr>
        <w:pStyle w:val="18"/>
        <w:ind w:firstLine="480"/>
        <w:rPr>
          <w:rFonts w:hint="default"/>
        </w:rPr>
      </w:pPr>
      <w:r>
        <w:t>日期：</w:t>
      </w:r>
      <w:r>
        <w:rPr>
          <w:u w:val="single"/>
        </w:rPr>
        <w:t>　　</w:t>
      </w:r>
      <w:r>
        <w:t>年</w:t>
      </w:r>
      <w:r>
        <w:rPr>
          <w:u w:val="single"/>
        </w:rPr>
        <w:t>　　</w:t>
      </w:r>
      <w:r>
        <w:t>月</w:t>
      </w:r>
      <w:r>
        <w:rPr>
          <w:u w:val="single"/>
        </w:rPr>
        <w:t>　　</w:t>
      </w:r>
      <w:r>
        <w:t>日</w:t>
      </w:r>
    </w:p>
    <w:p w14:paraId="22AB52A0">
      <w:pPr>
        <w:pStyle w:val="18"/>
        <w:rPr>
          <w:rFonts w:hint="eastAsia" w:eastAsia="宋体"/>
          <w:lang w:eastAsia="zh-CN"/>
        </w:rPr>
      </w:pPr>
      <w:r>
        <w:t xml:space="preserve"> </w:t>
      </w:r>
    </w:p>
    <w:p w14:paraId="4602B3F5">
      <w:pPr>
        <w:pStyle w:val="18"/>
        <w:rPr>
          <w:rFonts w:hint="default"/>
        </w:rPr>
      </w:pPr>
      <w:r>
        <w:br w:type="page"/>
      </w:r>
    </w:p>
    <w:p w14:paraId="5CF71514">
      <w:pPr>
        <w:pStyle w:val="18"/>
        <w:jc w:val="center"/>
        <w:outlineLvl w:val="2"/>
        <w:rPr>
          <w:rFonts w:hint="default"/>
        </w:rPr>
      </w:pPr>
      <w:r>
        <w:rPr>
          <w:b/>
          <w:sz w:val="28"/>
        </w:rPr>
        <w:t>附件4 磋商保证金凭证</w:t>
      </w:r>
    </w:p>
    <w:p w14:paraId="780DB784">
      <w:pPr>
        <w:pStyle w:val="18"/>
        <w:jc w:val="center"/>
        <w:outlineLvl w:val="3"/>
        <w:rPr>
          <w:rFonts w:hint="default"/>
        </w:rPr>
      </w:pPr>
      <w:r>
        <w:rPr>
          <w:b/>
          <w:sz w:val="24"/>
        </w:rPr>
        <w:t>编制说明</w:t>
      </w:r>
    </w:p>
    <w:p w14:paraId="51EFC73F">
      <w:pPr>
        <w:pStyle w:val="18"/>
        <w:ind w:firstLine="480"/>
        <w:rPr>
          <w:rFonts w:hint="default"/>
        </w:rPr>
      </w:pPr>
      <w:r>
        <w:t>1、在此项下提交的“磋商保证金”材料可使用转账凭证复印件或从福建省政府采购网上公开信息系统中下载的有关原始页面的打印件。通过办理保函的，提供保函</w:t>
      </w:r>
      <w:r>
        <w:rPr>
          <w:rFonts w:hint="eastAsia"/>
          <w:lang w:val="en-US" w:eastAsia="zh-CN"/>
        </w:rPr>
        <w:t>文件</w:t>
      </w:r>
      <w:r>
        <w:t>。</w:t>
      </w:r>
    </w:p>
    <w:p w14:paraId="73DCFC17">
      <w:pPr>
        <w:pStyle w:val="18"/>
        <w:ind w:firstLine="480"/>
        <w:rPr>
          <w:rFonts w:hint="default"/>
        </w:rPr>
      </w:pPr>
      <w:r>
        <w:t>2、磋商保证金是否已提交按照磋商文件规定执行。</w:t>
      </w:r>
    </w:p>
    <w:p w14:paraId="14E51275">
      <w:pPr>
        <w:pStyle w:val="18"/>
        <w:rPr>
          <w:rFonts w:hint="eastAsia" w:eastAsia="宋体"/>
          <w:lang w:eastAsia="zh-CN"/>
        </w:rPr>
      </w:pPr>
      <w:r>
        <w:t xml:space="preserve"> </w:t>
      </w:r>
    </w:p>
    <w:p w14:paraId="14752412">
      <w:pPr>
        <w:pStyle w:val="18"/>
        <w:rPr>
          <w:rFonts w:hint="default"/>
        </w:rPr>
      </w:pPr>
      <w:r>
        <w:br w:type="page"/>
      </w:r>
    </w:p>
    <w:p w14:paraId="46F0A22E">
      <w:pPr>
        <w:pStyle w:val="18"/>
        <w:jc w:val="center"/>
        <w:outlineLvl w:val="2"/>
        <w:rPr>
          <w:rFonts w:hint="default"/>
        </w:rPr>
      </w:pPr>
      <w:r>
        <w:rPr>
          <w:b/>
          <w:sz w:val="28"/>
        </w:rPr>
        <w:t>附件5-1 技术和服务要求响应表</w:t>
      </w:r>
    </w:p>
    <w:p w14:paraId="75ACEE9A">
      <w:pPr>
        <w:pStyle w:val="18"/>
        <w:ind w:firstLine="480"/>
        <w:rPr>
          <w:rFonts w:hint="default"/>
        </w:rPr>
      </w:pPr>
      <w:r>
        <w:t>供应商名称：</w:t>
      </w:r>
      <w:r>
        <w:rPr>
          <w:u w:val="single"/>
        </w:rPr>
        <w:t>（全称加盖单位公章）</w:t>
      </w:r>
      <w:r>
        <w:t>项目编号∶</w:t>
      </w:r>
      <w:r>
        <w:rPr>
          <w:u w:val="single"/>
        </w:rPr>
        <w:t>　　　　　　　　　　</w:t>
      </w:r>
    </w:p>
    <w:tbl>
      <w:tblPr>
        <w:tblStyle w:val="13"/>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09"/>
        <w:gridCol w:w="1519"/>
        <w:gridCol w:w="2026"/>
        <w:gridCol w:w="2026"/>
        <w:gridCol w:w="2026"/>
      </w:tblGrid>
      <w:tr w14:paraId="223E082D">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9" w:type="dxa"/>
            <w:noWrap w:val="0"/>
            <w:vAlign w:val="top"/>
          </w:tcPr>
          <w:p w14:paraId="11265521">
            <w:pPr>
              <w:pStyle w:val="18"/>
              <w:rPr>
                <w:rFonts w:hint="default"/>
              </w:rPr>
            </w:pPr>
            <w:r>
              <w:t>采购包</w:t>
            </w:r>
          </w:p>
        </w:tc>
        <w:tc>
          <w:tcPr>
            <w:tcW w:w="1519" w:type="dxa"/>
            <w:noWrap w:val="0"/>
            <w:vAlign w:val="top"/>
          </w:tcPr>
          <w:p w14:paraId="4306EC1A">
            <w:pPr>
              <w:pStyle w:val="18"/>
              <w:rPr>
                <w:rFonts w:hint="default"/>
              </w:rPr>
            </w:pPr>
            <w:r>
              <w:t>章节条目号</w:t>
            </w:r>
          </w:p>
        </w:tc>
        <w:tc>
          <w:tcPr>
            <w:tcW w:w="2026" w:type="dxa"/>
            <w:noWrap w:val="0"/>
            <w:vAlign w:val="top"/>
          </w:tcPr>
          <w:p w14:paraId="6ED00EFA">
            <w:pPr>
              <w:pStyle w:val="18"/>
              <w:rPr>
                <w:rFonts w:hint="default"/>
              </w:rPr>
            </w:pPr>
            <w:r>
              <w:t>竞争性磋商文件规定的技术和服务要求</w:t>
            </w:r>
          </w:p>
        </w:tc>
        <w:tc>
          <w:tcPr>
            <w:tcW w:w="2026" w:type="dxa"/>
            <w:noWrap w:val="0"/>
            <w:vAlign w:val="top"/>
          </w:tcPr>
          <w:p w14:paraId="10D1BE7B">
            <w:pPr>
              <w:pStyle w:val="18"/>
              <w:rPr>
                <w:rFonts w:hint="default"/>
              </w:rPr>
            </w:pPr>
            <w:r>
              <w:t>响应文件响应承诺</w:t>
            </w:r>
          </w:p>
        </w:tc>
        <w:tc>
          <w:tcPr>
            <w:tcW w:w="2026" w:type="dxa"/>
            <w:noWrap w:val="0"/>
            <w:vAlign w:val="top"/>
          </w:tcPr>
          <w:p w14:paraId="56D9FD91">
            <w:pPr>
              <w:pStyle w:val="18"/>
              <w:rPr>
                <w:rFonts w:hint="default"/>
              </w:rPr>
            </w:pPr>
            <w:r>
              <w:t>是否偏离及说明</w:t>
            </w:r>
          </w:p>
        </w:tc>
      </w:tr>
      <w:tr w14:paraId="6B7598B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9" w:type="dxa"/>
            <w:noWrap w:val="0"/>
            <w:vAlign w:val="top"/>
          </w:tcPr>
          <w:p w14:paraId="0249548A"/>
        </w:tc>
        <w:tc>
          <w:tcPr>
            <w:tcW w:w="1519" w:type="dxa"/>
            <w:noWrap w:val="0"/>
            <w:vAlign w:val="top"/>
          </w:tcPr>
          <w:p w14:paraId="5592BB5C">
            <w:pPr>
              <w:pStyle w:val="18"/>
              <w:rPr>
                <w:rFonts w:hint="default"/>
              </w:rPr>
            </w:pPr>
            <w:r>
              <w:t xml:space="preserve">    </w:t>
            </w:r>
          </w:p>
        </w:tc>
        <w:tc>
          <w:tcPr>
            <w:tcW w:w="2026" w:type="dxa"/>
            <w:noWrap w:val="0"/>
            <w:vAlign w:val="top"/>
          </w:tcPr>
          <w:p w14:paraId="51D5D306">
            <w:pPr>
              <w:pStyle w:val="18"/>
              <w:rPr>
                <w:rFonts w:hint="default"/>
              </w:rPr>
            </w:pPr>
            <w:r>
              <w:t xml:space="preserve">    </w:t>
            </w:r>
          </w:p>
        </w:tc>
        <w:tc>
          <w:tcPr>
            <w:tcW w:w="2026" w:type="dxa"/>
            <w:noWrap w:val="0"/>
            <w:vAlign w:val="top"/>
          </w:tcPr>
          <w:p w14:paraId="2617B5C5">
            <w:pPr>
              <w:pStyle w:val="18"/>
              <w:rPr>
                <w:rFonts w:hint="default"/>
              </w:rPr>
            </w:pPr>
            <w:r>
              <w:t xml:space="preserve">    </w:t>
            </w:r>
          </w:p>
        </w:tc>
        <w:tc>
          <w:tcPr>
            <w:tcW w:w="2026" w:type="dxa"/>
            <w:noWrap w:val="0"/>
            <w:vAlign w:val="top"/>
          </w:tcPr>
          <w:p w14:paraId="2BE4DD2E">
            <w:pPr>
              <w:pStyle w:val="18"/>
              <w:rPr>
                <w:rFonts w:hint="default"/>
              </w:rPr>
            </w:pPr>
            <w:r>
              <w:t xml:space="preserve">    </w:t>
            </w:r>
          </w:p>
        </w:tc>
      </w:tr>
      <w:tr w14:paraId="6A6D0D3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9" w:type="dxa"/>
            <w:noWrap w:val="0"/>
            <w:vAlign w:val="top"/>
          </w:tcPr>
          <w:p w14:paraId="7C7D0298"/>
        </w:tc>
        <w:tc>
          <w:tcPr>
            <w:tcW w:w="1519" w:type="dxa"/>
            <w:noWrap w:val="0"/>
            <w:vAlign w:val="top"/>
          </w:tcPr>
          <w:p w14:paraId="07AD4BE1">
            <w:pPr>
              <w:pStyle w:val="18"/>
              <w:rPr>
                <w:rFonts w:hint="default"/>
              </w:rPr>
            </w:pPr>
            <w:r>
              <w:t xml:space="preserve">    </w:t>
            </w:r>
          </w:p>
        </w:tc>
        <w:tc>
          <w:tcPr>
            <w:tcW w:w="2026" w:type="dxa"/>
            <w:noWrap w:val="0"/>
            <w:vAlign w:val="top"/>
          </w:tcPr>
          <w:p w14:paraId="06418591">
            <w:pPr>
              <w:pStyle w:val="18"/>
              <w:rPr>
                <w:rFonts w:hint="default"/>
              </w:rPr>
            </w:pPr>
            <w:r>
              <w:t xml:space="preserve">    </w:t>
            </w:r>
          </w:p>
        </w:tc>
        <w:tc>
          <w:tcPr>
            <w:tcW w:w="2026" w:type="dxa"/>
            <w:noWrap w:val="0"/>
            <w:vAlign w:val="top"/>
          </w:tcPr>
          <w:p w14:paraId="7E9EA147">
            <w:pPr>
              <w:pStyle w:val="18"/>
              <w:rPr>
                <w:rFonts w:hint="default"/>
              </w:rPr>
            </w:pPr>
            <w:r>
              <w:t xml:space="preserve">    </w:t>
            </w:r>
          </w:p>
        </w:tc>
        <w:tc>
          <w:tcPr>
            <w:tcW w:w="2026" w:type="dxa"/>
            <w:noWrap w:val="0"/>
            <w:vAlign w:val="top"/>
          </w:tcPr>
          <w:p w14:paraId="64119C67">
            <w:pPr>
              <w:pStyle w:val="18"/>
              <w:rPr>
                <w:rFonts w:hint="default"/>
              </w:rPr>
            </w:pPr>
            <w:r>
              <w:t xml:space="preserve">    </w:t>
            </w:r>
          </w:p>
        </w:tc>
      </w:tr>
      <w:tr w14:paraId="04D1209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9" w:type="dxa"/>
            <w:noWrap w:val="0"/>
            <w:vAlign w:val="top"/>
          </w:tcPr>
          <w:p w14:paraId="558E875A"/>
        </w:tc>
        <w:tc>
          <w:tcPr>
            <w:tcW w:w="1519" w:type="dxa"/>
            <w:noWrap w:val="0"/>
            <w:vAlign w:val="top"/>
          </w:tcPr>
          <w:p w14:paraId="25BFD9FE">
            <w:pPr>
              <w:pStyle w:val="18"/>
              <w:rPr>
                <w:rFonts w:hint="default"/>
              </w:rPr>
            </w:pPr>
            <w:r>
              <w:t xml:space="preserve">    </w:t>
            </w:r>
          </w:p>
        </w:tc>
        <w:tc>
          <w:tcPr>
            <w:tcW w:w="2026" w:type="dxa"/>
            <w:noWrap w:val="0"/>
            <w:vAlign w:val="top"/>
          </w:tcPr>
          <w:p w14:paraId="192E6DFB">
            <w:pPr>
              <w:pStyle w:val="18"/>
              <w:rPr>
                <w:rFonts w:hint="default"/>
              </w:rPr>
            </w:pPr>
            <w:r>
              <w:t xml:space="preserve">    </w:t>
            </w:r>
          </w:p>
        </w:tc>
        <w:tc>
          <w:tcPr>
            <w:tcW w:w="2026" w:type="dxa"/>
            <w:noWrap w:val="0"/>
            <w:vAlign w:val="top"/>
          </w:tcPr>
          <w:p w14:paraId="09491333">
            <w:pPr>
              <w:pStyle w:val="18"/>
              <w:rPr>
                <w:rFonts w:hint="default"/>
              </w:rPr>
            </w:pPr>
            <w:r>
              <w:t xml:space="preserve">    </w:t>
            </w:r>
          </w:p>
        </w:tc>
        <w:tc>
          <w:tcPr>
            <w:tcW w:w="2026" w:type="dxa"/>
            <w:noWrap w:val="0"/>
            <w:vAlign w:val="top"/>
          </w:tcPr>
          <w:p w14:paraId="3FA48673">
            <w:pPr>
              <w:pStyle w:val="18"/>
              <w:rPr>
                <w:rFonts w:hint="default"/>
              </w:rPr>
            </w:pPr>
            <w:r>
              <w:t xml:space="preserve">    </w:t>
            </w:r>
          </w:p>
        </w:tc>
      </w:tr>
    </w:tbl>
    <w:p w14:paraId="5F2F824A">
      <w:pPr>
        <w:pStyle w:val="18"/>
        <w:rPr>
          <w:rFonts w:hint="default"/>
        </w:rPr>
      </w:pPr>
      <w:r>
        <w:rPr>
          <w:b/>
        </w:rPr>
        <w:t>注：（1）竞争性磋商文件（含技术和服务要求等）规定的各相关条款要求，如果供应商在响应文件中没有以书面方式对竞争性磋商文件规定的各项要求和条款提出不满足或不响应或负偏离，则视为供应商能够完全理解并满足本竞争性磋商文件规定的各相关条款要求。如有不满足或不响应或负偏离，不管是多么微小，供应商都应在响应文件中按上表格式加以如实详细说明，否则，供应商成交后才提出或者被采购人发现的任何负偏离或不响应或不满足均视为成交供应商违约，按供应商虚假承诺骗取成交处理，采购人将取消其成交供应商资格，其磋商保证金（如果未签订合同）将不予退还，给采购人和采购代理机构造成损失的，还必须进行赔偿并负相关责任。</w:t>
      </w:r>
    </w:p>
    <w:p w14:paraId="1E6D0D91">
      <w:pPr>
        <w:pStyle w:val="18"/>
        <w:rPr>
          <w:rFonts w:hint="eastAsia" w:eastAsia="宋体"/>
          <w:b/>
          <w:lang w:eastAsia="zh-CN"/>
        </w:rPr>
      </w:pPr>
      <w:r>
        <w:rPr>
          <w:b/>
        </w:rPr>
        <w:t>（2）磋商文件不能详细列明采购标的的技术、服务要求，需经磋商由供应商提供最终设计方案或解决方案的；或者供应商需要说明的内容需要通过图片、视频等特殊表达；无法适用上表格式文字说明的，则供应商可在本表中进行相应说明和页码索引，再另页具体提交应答。</w:t>
      </w:r>
    </w:p>
    <w:p w14:paraId="74F6B2D2">
      <w:pPr>
        <w:pStyle w:val="18"/>
        <w:rPr>
          <w:rFonts w:hint="eastAsia" w:eastAsia="宋体"/>
          <w:b/>
          <w:lang w:eastAsia="zh-CN"/>
        </w:rPr>
      </w:pPr>
    </w:p>
    <w:p w14:paraId="6BE94F57">
      <w:pPr>
        <w:pStyle w:val="18"/>
        <w:rPr>
          <w:rFonts w:hint="eastAsia" w:eastAsia="宋体"/>
          <w:lang w:eastAsia="zh-CN"/>
        </w:rPr>
      </w:pPr>
    </w:p>
    <w:p w14:paraId="1B9A5141">
      <w:pPr>
        <w:pStyle w:val="18"/>
        <w:ind w:firstLine="480"/>
        <w:rPr>
          <w:rFonts w:hint="default"/>
        </w:rPr>
      </w:pPr>
      <w:r>
        <w:t>供应商代表签字：</w:t>
      </w:r>
      <w:r>
        <w:rPr>
          <w:u w:val="single"/>
        </w:rPr>
        <w:t>　　　　　　　　　　</w:t>
      </w:r>
    </w:p>
    <w:p w14:paraId="00CBA642">
      <w:pPr>
        <w:pStyle w:val="18"/>
        <w:rPr>
          <w:rFonts w:hint="eastAsia" w:eastAsia="宋体"/>
          <w:lang w:eastAsia="zh-CN"/>
        </w:rPr>
      </w:pPr>
      <w:r>
        <w:t xml:space="preserve"> </w:t>
      </w:r>
    </w:p>
    <w:p w14:paraId="238C3936">
      <w:pPr>
        <w:pStyle w:val="18"/>
        <w:rPr>
          <w:rFonts w:hint="default"/>
        </w:rPr>
      </w:pPr>
      <w:r>
        <w:br w:type="page"/>
      </w:r>
    </w:p>
    <w:p w14:paraId="0805C087">
      <w:pPr>
        <w:pStyle w:val="18"/>
        <w:jc w:val="center"/>
        <w:outlineLvl w:val="3"/>
        <w:rPr>
          <w:rFonts w:hint="default"/>
        </w:rPr>
      </w:pPr>
      <w:r>
        <w:rPr>
          <w:b/>
          <w:sz w:val="24"/>
        </w:rPr>
        <w:t>附件5-2        商务条件和其它事项响应表</w:t>
      </w:r>
    </w:p>
    <w:p w14:paraId="7DC6DE71">
      <w:pPr>
        <w:pStyle w:val="18"/>
        <w:ind w:firstLine="480"/>
        <w:rPr>
          <w:rFonts w:hint="default"/>
        </w:rPr>
      </w:pPr>
      <w:r>
        <w:t>供应商名称：</w:t>
      </w:r>
      <w:r>
        <w:rPr>
          <w:u w:val="single"/>
        </w:rPr>
        <w:t>（全称加盖单位公章）</w:t>
      </w:r>
      <w:r>
        <w:t>项目编号∶</w:t>
      </w:r>
      <w:r>
        <w:rPr>
          <w:u w:val="single"/>
        </w:rPr>
        <w:t>　　　　　　　　　　</w:t>
      </w:r>
    </w:p>
    <w:tbl>
      <w:tblPr>
        <w:tblStyle w:val="13"/>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709"/>
        <w:gridCol w:w="1519"/>
        <w:gridCol w:w="2026"/>
        <w:gridCol w:w="2026"/>
        <w:gridCol w:w="2026"/>
      </w:tblGrid>
      <w:tr w14:paraId="68316C3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PrEx>
        <w:tc>
          <w:tcPr>
            <w:tcW w:w="709" w:type="dxa"/>
            <w:noWrap w:val="0"/>
            <w:vAlign w:val="top"/>
          </w:tcPr>
          <w:p w14:paraId="04EEC2E9">
            <w:pPr>
              <w:pStyle w:val="18"/>
              <w:rPr>
                <w:rFonts w:hint="default"/>
              </w:rPr>
            </w:pPr>
            <w:r>
              <w:t>采购包</w:t>
            </w:r>
          </w:p>
        </w:tc>
        <w:tc>
          <w:tcPr>
            <w:tcW w:w="1519" w:type="dxa"/>
            <w:noWrap w:val="0"/>
            <w:vAlign w:val="top"/>
          </w:tcPr>
          <w:p w14:paraId="25A677B3">
            <w:pPr>
              <w:pStyle w:val="18"/>
              <w:rPr>
                <w:rFonts w:hint="default"/>
              </w:rPr>
            </w:pPr>
            <w:r>
              <w:t>章节条目号</w:t>
            </w:r>
          </w:p>
        </w:tc>
        <w:tc>
          <w:tcPr>
            <w:tcW w:w="2026" w:type="dxa"/>
            <w:noWrap w:val="0"/>
            <w:vAlign w:val="top"/>
          </w:tcPr>
          <w:p w14:paraId="18A44EEA">
            <w:pPr>
              <w:pStyle w:val="18"/>
              <w:rPr>
                <w:rFonts w:hint="default"/>
              </w:rPr>
            </w:pPr>
            <w:r>
              <w:t>竞争性磋商文件规定的商务条件要求</w:t>
            </w:r>
          </w:p>
        </w:tc>
        <w:tc>
          <w:tcPr>
            <w:tcW w:w="2026" w:type="dxa"/>
            <w:noWrap w:val="0"/>
            <w:vAlign w:val="top"/>
          </w:tcPr>
          <w:p w14:paraId="03FCE20B">
            <w:pPr>
              <w:pStyle w:val="18"/>
              <w:rPr>
                <w:rFonts w:hint="default"/>
              </w:rPr>
            </w:pPr>
            <w:r>
              <w:t>响应文件响应承诺</w:t>
            </w:r>
          </w:p>
        </w:tc>
        <w:tc>
          <w:tcPr>
            <w:tcW w:w="2026" w:type="dxa"/>
            <w:noWrap w:val="0"/>
            <w:vAlign w:val="top"/>
          </w:tcPr>
          <w:p w14:paraId="77D44764">
            <w:pPr>
              <w:pStyle w:val="18"/>
              <w:rPr>
                <w:rFonts w:hint="default"/>
              </w:rPr>
            </w:pPr>
            <w:r>
              <w:t>是否偏离及说明</w:t>
            </w:r>
          </w:p>
        </w:tc>
      </w:tr>
      <w:tr w14:paraId="05FE57B8">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9" w:type="dxa"/>
            <w:noWrap w:val="0"/>
            <w:vAlign w:val="top"/>
          </w:tcPr>
          <w:p w14:paraId="080EC023"/>
        </w:tc>
        <w:tc>
          <w:tcPr>
            <w:tcW w:w="1519" w:type="dxa"/>
            <w:noWrap w:val="0"/>
            <w:vAlign w:val="top"/>
          </w:tcPr>
          <w:p w14:paraId="5D2C61FB">
            <w:pPr>
              <w:pStyle w:val="18"/>
              <w:rPr>
                <w:rFonts w:hint="default"/>
              </w:rPr>
            </w:pPr>
            <w:r>
              <w:t xml:space="preserve">    </w:t>
            </w:r>
          </w:p>
        </w:tc>
        <w:tc>
          <w:tcPr>
            <w:tcW w:w="2026" w:type="dxa"/>
            <w:noWrap w:val="0"/>
            <w:vAlign w:val="top"/>
          </w:tcPr>
          <w:p w14:paraId="3B60AD4C">
            <w:pPr>
              <w:pStyle w:val="18"/>
              <w:rPr>
                <w:rFonts w:hint="default"/>
              </w:rPr>
            </w:pPr>
            <w:r>
              <w:t xml:space="preserve">    </w:t>
            </w:r>
          </w:p>
        </w:tc>
        <w:tc>
          <w:tcPr>
            <w:tcW w:w="2026" w:type="dxa"/>
            <w:noWrap w:val="0"/>
            <w:vAlign w:val="top"/>
          </w:tcPr>
          <w:p w14:paraId="52953AEC">
            <w:pPr>
              <w:pStyle w:val="18"/>
              <w:rPr>
                <w:rFonts w:hint="default"/>
              </w:rPr>
            </w:pPr>
            <w:r>
              <w:t xml:space="preserve">    </w:t>
            </w:r>
          </w:p>
        </w:tc>
        <w:tc>
          <w:tcPr>
            <w:tcW w:w="2026" w:type="dxa"/>
            <w:noWrap w:val="0"/>
            <w:vAlign w:val="top"/>
          </w:tcPr>
          <w:p w14:paraId="1F50F874">
            <w:pPr>
              <w:pStyle w:val="18"/>
              <w:rPr>
                <w:rFonts w:hint="default"/>
              </w:rPr>
            </w:pPr>
            <w:r>
              <w:t xml:space="preserve">    </w:t>
            </w:r>
          </w:p>
        </w:tc>
      </w:tr>
      <w:tr w14:paraId="729E65E9">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9" w:type="dxa"/>
            <w:noWrap w:val="0"/>
            <w:vAlign w:val="top"/>
          </w:tcPr>
          <w:p w14:paraId="0E43AD5E"/>
        </w:tc>
        <w:tc>
          <w:tcPr>
            <w:tcW w:w="1519" w:type="dxa"/>
            <w:noWrap w:val="0"/>
            <w:vAlign w:val="top"/>
          </w:tcPr>
          <w:p w14:paraId="7F5E4B02">
            <w:pPr>
              <w:pStyle w:val="18"/>
              <w:rPr>
                <w:rFonts w:hint="default"/>
              </w:rPr>
            </w:pPr>
            <w:r>
              <w:t xml:space="preserve">    </w:t>
            </w:r>
          </w:p>
        </w:tc>
        <w:tc>
          <w:tcPr>
            <w:tcW w:w="2026" w:type="dxa"/>
            <w:noWrap w:val="0"/>
            <w:vAlign w:val="top"/>
          </w:tcPr>
          <w:p w14:paraId="4D1AFA9E">
            <w:pPr>
              <w:pStyle w:val="18"/>
              <w:rPr>
                <w:rFonts w:hint="default"/>
              </w:rPr>
            </w:pPr>
            <w:r>
              <w:t xml:space="preserve">    </w:t>
            </w:r>
          </w:p>
        </w:tc>
        <w:tc>
          <w:tcPr>
            <w:tcW w:w="2026" w:type="dxa"/>
            <w:noWrap w:val="0"/>
            <w:vAlign w:val="top"/>
          </w:tcPr>
          <w:p w14:paraId="2AE7B371">
            <w:pPr>
              <w:pStyle w:val="18"/>
              <w:rPr>
                <w:rFonts w:hint="default"/>
              </w:rPr>
            </w:pPr>
            <w:r>
              <w:t xml:space="preserve">    </w:t>
            </w:r>
          </w:p>
        </w:tc>
        <w:tc>
          <w:tcPr>
            <w:tcW w:w="2026" w:type="dxa"/>
            <w:noWrap w:val="0"/>
            <w:vAlign w:val="top"/>
          </w:tcPr>
          <w:p w14:paraId="733BED32">
            <w:pPr>
              <w:pStyle w:val="18"/>
              <w:rPr>
                <w:rFonts w:hint="default"/>
              </w:rPr>
            </w:pPr>
            <w:r>
              <w:t xml:space="preserve">    </w:t>
            </w:r>
          </w:p>
        </w:tc>
      </w:tr>
      <w:tr w14:paraId="25304970">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709" w:type="dxa"/>
            <w:noWrap w:val="0"/>
            <w:vAlign w:val="top"/>
          </w:tcPr>
          <w:p w14:paraId="4434CBBB"/>
        </w:tc>
        <w:tc>
          <w:tcPr>
            <w:tcW w:w="1519" w:type="dxa"/>
            <w:noWrap w:val="0"/>
            <w:vAlign w:val="top"/>
          </w:tcPr>
          <w:p w14:paraId="24E81FF2">
            <w:pPr>
              <w:pStyle w:val="18"/>
              <w:rPr>
                <w:rFonts w:hint="default"/>
              </w:rPr>
            </w:pPr>
            <w:r>
              <w:t xml:space="preserve">    </w:t>
            </w:r>
          </w:p>
        </w:tc>
        <w:tc>
          <w:tcPr>
            <w:tcW w:w="2026" w:type="dxa"/>
            <w:noWrap w:val="0"/>
            <w:vAlign w:val="top"/>
          </w:tcPr>
          <w:p w14:paraId="5AABE095">
            <w:pPr>
              <w:pStyle w:val="18"/>
              <w:rPr>
                <w:rFonts w:hint="default"/>
              </w:rPr>
            </w:pPr>
            <w:r>
              <w:t xml:space="preserve">    </w:t>
            </w:r>
          </w:p>
        </w:tc>
        <w:tc>
          <w:tcPr>
            <w:tcW w:w="2026" w:type="dxa"/>
            <w:noWrap w:val="0"/>
            <w:vAlign w:val="top"/>
          </w:tcPr>
          <w:p w14:paraId="00323711">
            <w:pPr>
              <w:pStyle w:val="18"/>
              <w:rPr>
                <w:rFonts w:hint="default"/>
              </w:rPr>
            </w:pPr>
            <w:r>
              <w:t xml:space="preserve">    </w:t>
            </w:r>
          </w:p>
        </w:tc>
        <w:tc>
          <w:tcPr>
            <w:tcW w:w="2026" w:type="dxa"/>
            <w:noWrap w:val="0"/>
            <w:vAlign w:val="top"/>
          </w:tcPr>
          <w:p w14:paraId="72D1D654">
            <w:pPr>
              <w:pStyle w:val="18"/>
              <w:rPr>
                <w:rFonts w:hint="default"/>
              </w:rPr>
            </w:pPr>
            <w:r>
              <w:t xml:space="preserve">    </w:t>
            </w:r>
          </w:p>
        </w:tc>
      </w:tr>
    </w:tbl>
    <w:p w14:paraId="10EDBF05">
      <w:pPr>
        <w:pStyle w:val="18"/>
        <w:rPr>
          <w:rFonts w:hint="default"/>
        </w:rPr>
      </w:pPr>
      <w:r>
        <w:rPr>
          <w:b/>
        </w:rPr>
        <w:t>注：（1）竞争性磋商文件（含技术和服务要求等）规定的各相关条款要求，如果供应商在响应文件中没有以书面方式对竞争性磋商文件规定的各项要求和条款提出不满足或不响应或负偏离，则视为供应商能够完全理解并满足本竞争性磋商文件规定的各相关条款要求。如有不满足或不响应或负偏离，不管是多么微小，供应商都应在响应文件中按上表格式加以如实详细说明，否则，供应商成交后才提出或者被采购人发现的任何负偏离或不响应或不满足均视为成交供应商违约，按供应商虚假承诺骗取成交处理，采购人将取消其成交供应商资格，其磋商保证金（如果未签订合同）将不予退还，给采购人和采购代理机构造成损失的，还必须进行赔偿并负相关责任。</w:t>
      </w:r>
    </w:p>
    <w:p w14:paraId="273EDEC8">
      <w:pPr>
        <w:pStyle w:val="18"/>
        <w:rPr>
          <w:rFonts w:hint="eastAsia" w:eastAsia="宋体"/>
          <w:b/>
          <w:lang w:eastAsia="zh-CN"/>
        </w:rPr>
      </w:pPr>
      <w:r>
        <w:rPr>
          <w:b/>
        </w:rPr>
        <w:t>（2）磋商文件不能详细列明采购标的的技术、服务要求，需经磋商由供应商提供最终设计方案或解决方案的；或者供应商需要说明的内容需要通过图片、视频等特殊表达；无法适用上表格式文字说明的，则供应商可在本表中进行相应说明和页码索引，再另页具体提交应答。</w:t>
      </w:r>
    </w:p>
    <w:p w14:paraId="1A2DF6C7">
      <w:pPr>
        <w:pStyle w:val="18"/>
        <w:rPr>
          <w:rFonts w:hint="eastAsia" w:eastAsia="宋体"/>
          <w:b/>
          <w:lang w:eastAsia="zh-CN"/>
        </w:rPr>
      </w:pPr>
    </w:p>
    <w:p w14:paraId="3825DAEE">
      <w:pPr>
        <w:pStyle w:val="18"/>
        <w:rPr>
          <w:rFonts w:hint="eastAsia" w:eastAsia="宋体"/>
          <w:lang w:eastAsia="zh-CN"/>
        </w:rPr>
      </w:pPr>
    </w:p>
    <w:p w14:paraId="2ECF26F7">
      <w:pPr>
        <w:pStyle w:val="18"/>
        <w:ind w:firstLine="480"/>
        <w:rPr>
          <w:rFonts w:hint="default"/>
        </w:rPr>
      </w:pPr>
      <w:r>
        <w:t>供应商代表签字：</w:t>
      </w:r>
      <w:r>
        <w:rPr>
          <w:u w:val="single"/>
        </w:rPr>
        <w:t>　　　　　　　　　　</w:t>
      </w:r>
    </w:p>
    <w:p w14:paraId="4A92F7F6">
      <w:pPr>
        <w:pStyle w:val="18"/>
        <w:rPr>
          <w:rFonts w:hint="eastAsia" w:eastAsia="宋体"/>
          <w:lang w:eastAsia="zh-CN"/>
        </w:rPr>
      </w:pPr>
      <w:r>
        <w:t xml:space="preserve"> </w:t>
      </w:r>
    </w:p>
    <w:p w14:paraId="45034BCD">
      <w:pPr>
        <w:pStyle w:val="18"/>
        <w:rPr>
          <w:rFonts w:hint="default"/>
        </w:rPr>
      </w:pPr>
      <w:r>
        <w:br w:type="page"/>
      </w:r>
    </w:p>
    <w:p w14:paraId="2C2EA23D">
      <w:pPr>
        <w:pStyle w:val="18"/>
        <w:jc w:val="center"/>
        <w:outlineLvl w:val="2"/>
        <w:rPr>
          <w:rFonts w:hint="default"/>
        </w:rPr>
      </w:pPr>
      <w:r>
        <w:rPr>
          <w:b/>
          <w:sz w:val="28"/>
        </w:rPr>
        <w:t>附件6 相关技术、商务、服务响应承诺及资料</w:t>
      </w:r>
    </w:p>
    <w:p w14:paraId="719B9B9D">
      <w:pPr>
        <w:pStyle w:val="18"/>
        <w:ind w:firstLine="480"/>
        <w:rPr>
          <w:rFonts w:hint="default"/>
        </w:rPr>
      </w:pPr>
      <w:r>
        <w:t>说明：</w:t>
      </w:r>
    </w:p>
    <w:p w14:paraId="15E285EE">
      <w:pPr>
        <w:pStyle w:val="18"/>
        <w:ind w:firstLine="480"/>
        <w:rPr>
          <w:rFonts w:hint="default"/>
        </w:rPr>
      </w:pPr>
      <w:r>
        <w:t>1.采购人或采购代理机构可以根据项目的特点和需要，在磋商文件中对供应商需要提供的相关技术、商务、服务响应承诺及资料进行具体规定或附表格式，供应商应按照磋商文件要求提供相关承诺及材料，并加盖供应商单位公章。</w:t>
      </w:r>
    </w:p>
    <w:p w14:paraId="531389A7">
      <w:pPr>
        <w:pStyle w:val="18"/>
        <w:ind w:firstLine="480"/>
        <w:rPr>
          <w:rFonts w:hint="eastAsia" w:eastAsia="宋体"/>
          <w:lang w:eastAsia="zh-CN"/>
        </w:rPr>
      </w:pPr>
      <w:r>
        <w:t>2.如果没有特别要求的，供应商根据磋商文件的要求以及特点，提供相关技术、商务、服务响应承诺及资料，格式自拟。</w:t>
      </w:r>
    </w:p>
    <w:p w14:paraId="62FA452C">
      <w:pPr>
        <w:pStyle w:val="18"/>
        <w:ind w:firstLine="480"/>
        <w:rPr>
          <w:rFonts w:hint="eastAsia" w:eastAsia="宋体"/>
          <w:lang w:eastAsia="zh-CN"/>
        </w:rPr>
      </w:pPr>
    </w:p>
    <w:p w14:paraId="33EC6872">
      <w:pPr>
        <w:pStyle w:val="18"/>
        <w:ind w:firstLine="480"/>
        <w:rPr>
          <w:rFonts w:hint="eastAsia" w:eastAsia="宋体"/>
          <w:lang w:eastAsia="zh-CN"/>
        </w:rPr>
      </w:pPr>
    </w:p>
    <w:p w14:paraId="76A124DF">
      <w:pPr>
        <w:pStyle w:val="18"/>
        <w:ind w:firstLine="480"/>
        <w:rPr>
          <w:rFonts w:hint="eastAsia" w:eastAsia="宋体"/>
          <w:lang w:eastAsia="zh-CN"/>
        </w:rPr>
      </w:pPr>
    </w:p>
    <w:p w14:paraId="52DA824B">
      <w:pPr>
        <w:pStyle w:val="18"/>
        <w:ind w:firstLine="480"/>
        <w:rPr>
          <w:rFonts w:hint="eastAsia" w:eastAsia="宋体"/>
          <w:lang w:eastAsia="zh-CN"/>
        </w:rPr>
      </w:pPr>
    </w:p>
    <w:p w14:paraId="3E3999C9">
      <w:pPr>
        <w:pStyle w:val="18"/>
        <w:ind w:firstLine="480"/>
        <w:rPr>
          <w:rFonts w:hint="default"/>
        </w:rPr>
      </w:pPr>
      <w:r>
        <w:t>供应商代表</w:t>
      </w:r>
      <w:r>
        <w:rPr>
          <w:u w:val="single"/>
        </w:rPr>
        <w:t>　　　　　（签字）</w:t>
      </w:r>
    </w:p>
    <w:p w14:paraId="5C4361A3">
      <w:pPr>
        <w:pStyle w:val="18"/>
        <w:ind w:firstLine="480"/>
        <w:rPr>
          <w:rFonts w:hint="default"/>
        </w:rPr>
      </w:pPr>
      <w:r>
        <w:t>供应商名称</w:t>
      </w:r>
      <w:r>
        <w:rPr>
          <w:u w:val="single"/>
        </w:rPr>
        <w:t>　　　　　（全称并加盖公章）　　　　　</w:t>
      </w:r>
    </w:p>
    <w:p w14:paraId="57B68F66">
      <w:pPr>
        <w:pStyle w:val="18"/>
        <w:ind w:firstLine="480"/>
        <w:rPr>
          <w:rFonts w:hint="default"/>
        </w:rPr>
      </w:pPr>
      <w:r>
        <w:t>日期：</w:t>
      </w:r>
      <w:r>
        <w:rPr>
          <w:u w:val="single"/>
        </w:rPr>
        <w:t>　　　</w:t>
      </w:r>
      <w:r>
        <w:t>年</w:t>
      </w:r>
      <w:r>
        <w:rPr>
          <w:u w:val="single"/>
        </w:rPr>
        <w:t>　　　</w:t>
      </w:r>
      <w:r>
        <w:t>月</w:t>
      </w:r>
      <w:r>
        <w:rPr>
          <w:u w:val="single"/>
        </w:rPr>
        <w:t>　　　</w:t>
      </w:r>
      <w:r>
        <w:t>日</w:t>
      </w:r>
    </w:p>
    <w:p w14:paraId="219345BE">
      <w:pPr>
        <w:pStyle w:val="18"/>
        <w:rPr>
          <w:rFonts w:hint="eastAsia" w:eastAsia="宋体"/>
          <w:lang w:eastAsia="zh-CN"/>
        </w:rPr>
      </w:pPr>
      <w:r>
        <w:t xml:space="preserve"> </w:t>
      </w:r>
    </w:p>
    <w:p w14:paraId="747F7545">
      <w:pPr>
        <w:pStyle w:val="18"/>
        <w:rPr>
          <w:rFonts w:hint="default"/>
        </w:rPr>
      </w:pPr>
      <w:r>
        <w:br w:type="page"/>
      </w:r>
    </w:p>
    <w:p w14:paraId="34A6A032">
      <w:pPr>
        <w:pStyle w:val="18"/>
        <w:jc w:val="center"/>
        <w:outlineLvl w:val="2"/>
        <w:rPr>
          <w:rFonts w:hint="default"/>
        </w:rPr>
      </w:pPr>
      <w:r>
        <w:rPr>
          <w:b/>
          <w:sz w:val="28"/>
        </w:rPr>
        <w:t>附件7 供应商提交符合政府采购政策的证明材料</w:t>
      </w:r>
    </w:p>
    <w:p w14:paraId="7A89B37C">
      <w:pPr>
        <w:pStyle w:val="18"/>
        <w:jc w:val="center"/>
        <w:outlineLvl w:val="3"/>
        <w:rPr>
          <w:rFonts w:hint="default"/>
        </w:rPr>
      </w:pPr>
      <w:r>
        <w:rPr>
          <w:b/>
          <w:sz w:val="24"/>
        </w:rPr>
        <w:t>附件7-1-1 中小企业声明函（若有）</w:t>
      </w:r>
    </w:p>
    <w:p w14:paraId="063A250E">
      <w:pPr>
        <w:pStyle w:val="18"/>
        <w:ind w:firstLine="480"/>
        <w:rPr>
          <w:rFonts w:hint="default"/>
        </w:rPr>
      </w:pPr>
      <w:r>
        <w:t>中小企业声明函（货物）</w:t>
      </w:r>
    </w:p>
    <w:p w14:paraId="6752D79C">
      <w:pPr>
        <w:pStyle w:val="18"/>
        <w:ind w:firstLine="480"/>
        <w:rPr>
          <w:rFonts w:hint="default"/>
        </w:rPr>
      </w:pPr>
      <w:r>
        <w:t>本公司</w:t>
      </w:r>
      <w:r>
        <w:rPr>
          <w:u w:val="single"/>
        </w:rPr>
        <w:t>（联合体）</w:t>
      </w:r>
      <w:r>
        <w:t>郑重声明，根据《政府采购促进中小企业发展管理办法》（财库﹝2020﹞46号）的规定，本公司</w:t>
      </w:r>
      <w:r>
        <w:rPr>
          <w:u w:val="single"/>
        </w:rPr>
        <w:t>（联合体）</w:t>
      </w:r>
      <w:r>
        <w:t>参加</w:t>
      </w:r>
      <w:r>
        <w:rPr>
          <w:u w:val="single"/>
        </w:rPr>
        <w:t>（单位名称）</w:t>
      </w:r>
      <w:r>
        <w:t>的</w:t>
      </w:r>
      <w:r>
        <w:rPr>
          <w:u w:val="single"/>
        </w:rPr>
        <w:t>（项目名称）</w:t>
      </w:r>
      <w:r>
        <w:t>采购活动，提供的货物全部由符合政策要求的中小企业制造。相关企业（含联合体中的中小企业、签订分包意向协议的中小企业）的具体情况如下：</w:t>
      </w:r>
    </w:p>
    <w:p w14:paraId="24CB0438">
      <w:pPr>
        <w:pStyle w:val="18"/>
        <w:ind w:firstLine="480"/>
        <w:rPr>
          <w:rFonts w:hint="default"/>
        </w:rPr>
      </w:pPr>
      <w:r>
        <w:t>1.</w:t>
      </w:r>
      <w:r>
        <w:rPr>
          <w:u w:val="single"/>
        </w:rPr>
        <w:t>（标的名称）</w:t>
      </w:r>
      <w:r>
        <w:t>，属于</w:t>
      </w:r>
      <w:r>
        <w:rPr>
          <w:u w:val="single"/>
        </w:rPr>
        <w:t>（采购文件中明确的所属行业）</w:t>
      </w:r>
      <w:r>
        <w:t>行业；制造商为</w:t>
      </w:r>
      <w:r>
        <w:rPr>
          <w:u w:val="single"/>
        </w:rPr>
        <w:t>（企业名称）</w:t>
      </w:r>
      <w:r>
        <w:t>，从业人员人，营业收入为万元，资产总额为万元1，属于</w:t>
      </w:r>
      <w:r>
        <w:rPr>
          <w:u w:val="single"/>
        </w:rPr>
        <w:t>（中型企业、小型企业、微型企业）</w:t>
      </w:r>
      <w:r>
        <w:t>；</w:t>
      </w:r>
    </w:p>
    <w:p w14:paraId="4984DC3E">
      <w:pPr>
        <w:pStyle w:val="18"/>
        <w:ind w:firstLine="480"/>
        <w:rPr>
          <w:rFonts w:hint="default"/>
        </w:rPr>
      </w:pPr>
      <w:r>
        <w:t>2.</w:t>
      </w:r>
      <w:r>
        <w:rPr>
          <w:u w:val="single"/>
        </w:rPr>
        <w:t>（标的名称）</w:t>
      </w:r>
      <w:r>
        <w:t>，属于</w:t>
      </w:r>
      <w:r>
        <w:rPr>
          <w:u w:val="single"/>
        </w:rPr>
        <w:t>（采购文件中明确的所属行业）</w:t>
      </w:r>
      <w:r>
        <w:t>行业；制造商为</w:t>
      </w:r>
      <w:r>
        <w:rPr>
          <w:u w:val="single"/>
        </w:rPr>
        <w:t>（企业名称）</w:t>
      </w:r>
      <w:r>
        <w:t>，从业人员人，营业收入为万元，资产总额为万元1，属于</w:t>
      </w:r>
      <w:r>
        <w:rPr>
          <w:u w:val="single"/>
        </w:rPr>
        <w:t>（中型企业、小型企业、微型企业）</w:t>
      </w:r>
      <w:r>
        <w:t>；</w:t>
      </w:r>
    </w:p>
    <w:p w14:paraId="3DAB44FF">
      <w:pPr>
        <w:pStyle w:val="18"/>
        <w:ind w:firstLine="480"/>
        <w:rPr>
          <w:rFonts w:hint="default"/>
        </w:rPr>
      </w:pPr>
      <w:r>
        <w:t>......</w:t>
      </w:r>
    </w:p>
    <w:p w14:paraId="28E29385">
      <w:pPr>
        <w:pStyle w:val="18"/>
        <w:ind w:firstLine="480"/>
        <w:rPr>
          <w:rFonts w:hint="default"/>
        </w:rPr>
      </w:pPr>
      <w:r>
        <w:t>以上企业，不属于大企业的分支机构，不存在控股股东为大企业的情形，也不存在与大企业的负责人为同一人的情形。</w:t>
      </w:r>
    </w:p>
    <w:p w14:paraId="00C1E6D7">
      <w:pPr>
        <w:pStyle w:val="18"/>
        <w:ind w:firstLine="480"/>
        <w:rPr>
          <w:rFonts w:hint="default"/>
        </w:rPr>
      </w:pPr>
      <w:r>
        <w:t>本企业对上述声明内容的真实性负责。如有虚假，将依法承担相应责任。</w:t>
      </w:r>
    </w:p>
    <w:p w14:paraId="7973B5C2">
      <w:pPr>
        <w:pStyle w:val="18"/>
        <w:ind w:firstLine="480"/>
        <w:rPr>
          <w:rFonts w:hint="default"/>
        </w:rPr>
      </w:pPr>
      <w:r>
        <w:t>企业名称（盖章）：</w:t>
      </w:r>
    </w:p>
    <w:p w14:paraId="76427C18">
      <w:pPr>
        <w:pStyle w:val="18"/>
        <w:ind w:firstLine="480"/>
        <w:rPr>
          <w:rFonts w:hint="default"/>
        </w:rPr>
      </w:pPr>
      <w:r>
        <w:t>日期：</w:t>
      </w:r>
      <w:r>
        <w:rPr>
          <w:u w:val="single"/>
        </w:rPr>
        <w:t>　　　</w:t>
      </w:r>
      <w:r>
        <w:t>年</w:t>
      </w:r>
      <w:r>
        <w:rPr>
          <w:u w:val="single"/>
        </w:rPr>
        <w:t>　　　</w:t>
      </w:r>
      <w:r>
        <w:t>月</w:t>
      </w:r>
      <w:r>
        <w:rPr>
          <w:u w:val="single"/>
        </w:rPr>
        <w:t>　　　</w:t>
      </w:r>
      <w:r>
        <w:t>日</w:t>
      </w:r>
    </w:p>
    <w:p w14:paraId="7F97F14D">
      <w:pPr>
        <w:pStyle w:val="18"/>
        <w:ind w:firstLine="480"/>
        <w:rPr>
          <w:rFonts w:hint="default"/>
        </w:rPr>
      </w:pPr>
      <w:r>
        <w:t>※注意：</w:t>
      </w:r>
    </w:p>
    <w:p w14:paraId="009C57EC">
      <w:pPr>
        <w:pStyle w:val="18"/>
        <w:ind w:firstLine="480"/>
        <w:rPr>
          <w:rFonts w:hint="default"/>
        </w:rPr>
      </w:pPr>
      <w:r>
        <w:t>1、从业人员、营业收入、资产总额填报上一年度数据，无上一年度数据的新成立企业可不填报。</w:t>
      </w:r>
    </w:p>
    <w:p w14:paraId="3B31B42E">
      <w:pPr>
        <w:pStyle w:val="18"/>
        <w:ind w:firstLine="480"/>
        <w:rPr>
          <w:rFonts w:hint="default"/>
        </w:rPr>
      </w:pPr>
      <w:r>
        <w:t>2、供应商须按磋商文件中明确的所属行业填列，多品目项目中须按上表要求逐条填列，否则，其提供的中小企业声明将被判定为无效声明函，由此造成的后果由供应商自行承担（涉及资格的按无效报价处理；涉及价格评审优惠的，不予认定）。</w:t>
      </w:r>
    </w:p>
    <w:p w14:paraId="62D54A6F">
      <w:pPr>
        <w:pStyle w:val="18"/>
        <w:ind w:firstLine="480"/>
        <w:rPr>
          <w:rFonts w:hint="default"/>
        </w:rPr>
      </w:pPr>
      <w:r>
        <w:t>3、供应商应当对其出具的《中小企业声明函》真实性负责，供应商出具的《中小企业声明函》内容不实的，属于提供虚假材料谋取中标。在实际操作中，项目属性为货物且供应商希望获得中小企业政策支持的，应从制造商处获得充分、准确的信息。对相关制造商信息了解不充分，或者不能确定相关信息真实、准确的，不建议出具《中小企业声明函》。</w:t>
      </w:r>
    </w:p>
    <w:p w14:paraId="6D59284F">
      <w:pPr>
        <w:pStyle w:val="18"/>
        <w:rPr>
          <w:rFonts w:hint="eastAsia" w:eastAsia="宋体"/>
          <w:lang w:eastAsia="zh-CN"/>
        </w:rPr>
      </w:pPr>
      <w:r>
        <w:t xml:space="preserve"> </w:t>
      </w:r>
    </w:p>
    <w:p w14:paraId="0917353E">
      <w:pPr>
        <w:pStyle w:val="18"/>
        <w:rPr>
          <w:rFonts w:hint="default"/>
        </w:rPr>
      </w:pPr>
      <w:r>
        <w:br w:type="page"/>
      </w:r>
    </w:p>
    <w:p w14:paraId="41C9D8C9">
      <w:pPr>
        <w:pStyle w:val="18"/>
        <w:jc w:val="center"/>
        <w:outlineLvl w:val="3"/>
        <w:rPr>
          <w:rFonts w:hint="default"/>
        </w:rPr>
      </w:pPr>
      <w:r>
        <w:rPr>
          <w:b/>
          <w:sz w:val="24"/>
        </w:rPr>
        <w:t xml:space="preserve"> 中小企业声明函（工程、服务）</w:t>
      </w:r>
    </w:p>
    <w:p w14:paraId="049C1844">
      <w:pPr>
        <w:pStyle w:val="18"/>
        <w:ind w:firstLine="480"/>
        <w:rPr>
          <w:rFonts w:hint="default"/>
        </w:rPr>
      </w:pPr>
      <w:r>
        <w:t>本公司</w:t>
      </w:r>
      <w:r>
        <w:rPr>
          <w:u w:val="single"/>
        </w:rPr>
        <w:t>（联合体）</w:t>
      </w:r>
      <w:r>
        <w:t>郑重声明，根据《政府采购促进中小企业发展管理办法》（财库﹝2020﹞46号）的规定，本公司</w:t>
      </w:r>
      <w:r>
        <w:rPr>
          <w:u w:val="single"/>
        </w:rPr>
        <w:t>（联合体）</w:t>
      </w:r>
      <w:r>
        <w:t>参加</w:t>
      </w:r>
      <w:r>
        <w:rPr>
          <w:u w:val="single"/>
        </w:rPr>
        <w:t>（单位名称）</w:t>
      </w:r>
      <w:r>
        <w:t>的</w:t>
      </w:r>
      <w:r>
        <w:rPr>
          <w:u w:val="single"/>
        </w:rPr>
        <w:t>（项目名称）</w:t>
      </w:r>
      <w:r>
        <w:t>采购活动，工程的施工单位全部为符合政策要求的中小企业（或者：服务全部由符合政策要求的中小企业承接）。相关企业（含联合体中的中小企业、签订分包意向协议的中小企业）的具体情况如下：</w:t>
      </w:r>
    </w:p>
    <w:p w14:paraId="7E559C05">
      <w:pPr>
        <w:pStyle w:val="18"/>
        <w:ind w:firstLine="480"/>
        <w:rPr>
          <w:rFonts w:hint="default"/>
        </w:rPr>
      </w:pPr>
      <w:r>
        <w:t>1.</w:t>
      </w:r>
      <w:r>
        <w:rPr>
          <w:u w:val="single"/>
        </w:rPr>
        <w:t>（标的名称）</w:t>
      </w:r>
      <w:r>
        <w:t>，属于</w:t>
      </w:r>
      <w:r>
        <w:rPr>
          <w:u w:val="single"/>
        </w:rPr>
        <w:t>（采购文件中明确的所属行业）</w:t>
      </w:r>
      <w:r>
        <w:t>行业；承建（承接）企业为</w:t>
      </w:r>
      <w:r>
        <w:rPr>
          <w:u w:val="single"/>
        </w:rPr>
        <w:t>（企业名称）</w:t>
      </w:r>
      <w:r>
        <w:t>，从业人员</w:t>
      </w:r>
      <w:r>
        <w:rPr>
          <w:u w:val="single"/>
        </w:rPr>
        <w:t xml:space="preserve"> </w:t>
      </w:r>
      <w:r>
        <w:t>人，营业收入为</w:t>
      </w:r>
      <w:r>
        <w:rPr>
          <w:u w:val="single"/>
        </w:rPr>
        <w:t xml:space="preserve"> </w:t>
      </w:r>
      <w:r>
        <w:t>万元，资产总额为</w:t>
      </w:r>
      <w:r>
        <w:rPr>
          <w:u w:val="single"/>
        </w:rPr>
        <w:t xml:space="preserve"> </w:t>
      </w:r>
      <w:r>
        <w:t>万元1，属于</w:t>
      </w:r>
      <w:r>
        <w:rPr>
          <w:u w:val="single"/>
        </w:rPr>
        <w:t>（中型企业、小型企业、微型企业）</w:t>
      </w:r>
      <w:r>
        <w:t>；</w:t>
      </w:r>
    </w:p>
    <w:p w14:paraId="6C330DBB">
      <w:pPr>
        <w:pStyle w:val="18"/>
        <w:ind w:firstLine="480"/>
        <w:rPr>
          <w:rFonts w:hint="default"/>
        </w:rPr>
      </w:pPr>
      <w:r>
        <w:t>1.</w:t>
      </w:r>
      <w:r>
        <w:rPr>
          <w:u w:val="single"/>
        </w:rPr>
        <w:t>（标的名称）</w:t>
      </w:r>
      <w:r>
        <w:t>，属于</w:t>
      </w:r>
      <w:r>
        <w:rPr>
          <w:u w:val="single"/>
        </w:rPr>
        <w:t>（采购文件中明确的所属行业）</w:t>
      </w:r>
      <w:r>
        <w:t>行业；承建（承接）企业为</w:t>
      </w:r>
      <w:r>
        <w:rPr>
          <w:u w:val="single"/>
        </w:rPr>
        <w:t>（企业名称）</w:t>
      </w:r>
      <w:r>
        <w:t>，从业人员</w:t>
      </w:r>
      <w:r>
        <w:rPr>
          <w:u w:val="single"/>
        </w:rPr>
        <w:t xml:space="preserve"> </w:t>
      </w:r>
      <w:r>
        <w:t>人，营业收入为</w:t>
      </w:r>
      <w:r>
        <w:rPr>
          <w:u w:val="single"/>
        </w:rPr>
        <w:t xml:space="preserve"> </w:t>
      </w:r>
      <w:r>
        <w:t>万元，资产总额为</w:t>
      </w:r>
      <w:r>
        <w:rPr>
          <w:u w:val="single"/>
        </w:rPr>
        <w:t xml:space="preserve"> </w:t>
      </w:r>
      <w:r>
        <w:t>万元1，属于</w:t>
      </w:r>
      <w:r>
        <w:rPr>
          <w:u w:val="single"/>
        </w:rPr>
        <w:t>（中型企业、小型企业、微型企业）</w:t>
      </w:r>
      <w:r>
        <w:t>；</w:t>
      </w:r>
    </w:p>
    <w:p w14:paraId="3F41927F">
      <w:pPr>
        <w:pStyle w:val="18"/>
        <w:ind w:firstLine="480"/>
        <w:rPr>
          <w:rFonts w:hint="default"/>
        </w:rPr>
      </w:pPr>
      <w:r>
        <w:t>......</w:t>
      </w:r>
    </w:p>
    <w:p w14:paraId="5461F7E5">
      <w:pPr>
        <w:pStyle w:val="18"/>
        <w:ind w:firstLine="480"/>
        <w:rPr>
          <w:rFonts w:hint="default"/>
        </w:rPr>
      </w:pPr>
      <w:r>
        <w:t>以上企业，不属于大企业的分支机构，不存在控股股东为大企业的情形，也不存在与大企业的负责人为同一人的情形。</w:t>
      </w:r>
    </w:p>
    <w:p w14:paraId="489EA0AA">
      <w:pPr>
        <w:pStyle w:val="18"/>
        <w:ind w:firstLine="480"/>
        <w:rPr>
          <w:rFonts w:hint="default"/>
        </w:rPr>
      </w:pPr>
      <w:r>
        <w:t>本企业对上述声明内容的真实性负责。如有虚假，将依法承担相应责任。</w:t>
      </w:r>
    </w:p>
    <w:p w14:paraId="6D3D7CB6">
      <w:pPr>
        <w:pStyle w:val="18"/>
        <w:ind w:firstLine="480"/>
        <w:rPr>
          <w:rFonts w:hint="default"/>
        </w:rPr>
      </w:pPr>
      <w:r>
        <w:t>企业名称（盖章）：</w:t>
      </w:r>
    </w:p>
    <w:p w14:paraId="05593526">
      <w:pPr>
        <w:pStyle w:val="18"/>
        <w:ind w:firstLine="480"/>
        <w:rPr>
          <w:rFonts w:hint="eastAsia" w:eastAsia="宋体"/>
          <w:lang w:eastAsia="zh-CN"/>
        </w:rPr>
      </w:pPr>
      <w:r>
        <w:t>日期：</w:t>
      </w:r>
      <w:r>
        <w:rPr>
          <w:u w:val="single"/>
        </w:rPr>
        <w:t>　　　</w:t>
      </w:r>
      <w:r>
        <w:t>年</w:t>
      </w:r>
      <w:r>
        <w:rPr>
          <w:u w:val="single"/>
        </w:rPr>
        <w:t>　　　</w:t>
      </w:r>
      <w:r>
        <w:t>月</w:t>
      </w:r>
      <w:r>
        <w:rPr>
          <w:u w:val="single"/>
        </w:rPr>
        <w:t>　　　</w:t>
      </w:r>
      <w:r>
        <w:t>日</w:t>
      </w:r>
    </w:p>
    <w:p w14:paraId="4505FC52">
      <w:pPr>
        <w:pStyle w:val="18"/>
        <w:ind w:firstLine="480"/>
        <w:rPr>
          <w:rFonts w:hint="eastAsia" w:eastAsia="宋体"/>
          <w:lang w:eastAsia="zh-CN"/>
        </w:rPr>
      </w:pPr>
    </w:p>
    <w:p w14:paraId="695AF3D0">
      <w:pPr>
        <w:pStyle w:val="18"/>
        <w:ind w:firstLine="480"/>
        <w:rPr>
          <w:rFonts w:hint="default"/>
        </w:rPr>
      </w:pPr>
      <w:r>
        <w:t xml:space="preserve"> ※注意：</w:t>
      </w:r>
    </w:p>
    <w:p w14:paraId="204FFD87">
      <w:pPr>
        <w:pStyle w:val="18"/>
        <w:ind w:firstLine="480"/>
        <w:rPr>
          <w:rFonts w:hint="default"/>
        </w:rPr>
      </w:pPr>
      <w:r>
        <w:t>1、从业人员、营业收入、资产总额填报上一年度数据，无上一年度数据的新成立企业可不填报。</w:t>
      </w:r>
    </w:p>
    <w:p w14:paraId="66500175">
      <w:pPr>
        <w:pStyle w:val="18"/>
        <w:ind w:firstLine="480"/>
        <w:rPr>
          <w:rFonts w:hint="default"/>
        </w:rPr>
      </w:pPr>
      <w:r>
        <w:t xml:space="preserve"> 2、供应商须按磋商文件中明确的所属行业填列，多品目项目中须按上表要求逐条填列，否则，其提供的中小企业声明将被判定为无效声明函，由此造成的后果由供应商自行承担（涉及资格的按无效报价处理；涉及价格评审优惠的，不予认定）。</w:t>
      </w:r>
    </w:p>
    <w:p w14:paraId="43BCACF7">
      <w:pPr>
        <w:pStyle w:val="18"/>
        <w:ind w:firstLine="480"/>
        <w:rPr>
          <w:rFonts w:hint="eastAsia" w:eastAsia="宋体"/>
          <w:lang w:eastAsia="zh-CN"/>
        </w:rPr>
      </w:pPr>
      <w:r>
        <w:t>3、供应商应当对其出具的《中小企业声明函》真实性负责，供应商出具的《中小企业声明函》内容不实的，属于提供虚假材料谋取中标。在实际操作中，项目属性为货物且供应商希望获得中小企业政策支持的，应从制造商处获得充分、准确的信息。对相关制造商信息了解不充分，或者不能确定相关信息真实、准确的，不建议出具《中小企业声明函》。</w:t>
      </w:r>
    </w:p>
    <w:p w14:paraId="5710DA59">
      <w:pPr>
        <w:pStyle w:val="18"/>
        <w:ind w:firstLine="480"/>
        <w:rPr>
          <w:rFonts w:hint="eastAsia" w:eastAsia="宋体"/>
          <w:lang w:eastAsia="zh-CN"/>
        </w:rPr>
      </w:pPr>
    </w:p>
    <w:p w14:paraId="30DE810F">
      <w:pPr>
        <w:pStyle w:val="18"/>
        <w:rPr>
          <w:rFonts w:hint="eastAsia" w:eastAsia="宋体"/>
          <w:lang w:eastAsia="zh-CN"/>
        </w:rPr>
      </w:pPr>
      <w:r>
        <w:t xml:space="preserve"> </w:t>
      </w:r>
    </w:p>
    <w:p w14:paraId="400C5730">
      <w:pPr>
        <w:pStyle w:val="18"/>
        <w:rPr>
          <w:rFonts w:hint="default"/>
        </w:rPr>
      </w:pPr>
      <w:r>
        <w:br w:type="page"/>
      </w:r>
    </w:p>
    <w:p w14:paraId="5B3C16C6">
      <w:pPr>
        <w:pStyle w:val="18"/>
        <w:jc w:val="center"/>
        <w:outlineLvl w:val="3"/>
        <w:rPr>
          <w:rFonts w:hint="default"/>
        </w:rPr>
      </w:pPr>
      <w:r>
        <w:rPr>
          <w:b/>
          <w:sz w:val="24"/>
        </w:rPr>
        <w:t xml:space="preserve"> 附件7-1-2 残疾人福利性单位声明函（若有）</w:t>
      </w:r>
    </w:p>
    <w:p w14:paraId="043465C8">
      <w:pPr>
        <w:pStyle w:val="18"/>
        <w:ind w:firstLine="480"/>
        <w:rPr>
          <w:rFonts w:hint="default"/>
        </w:rPr>
      </w:pPr>
      <w:r>
        <w:t>本供应商郑重声明，根据《财政部、民政部、中国残疾人联合会关于促进残疾人就业政府采购政策的通知》（财库[2017]141号）、《政府采购促进中小企业发展管理办法》（财库〔2020〕46号）的规定，本供应商为符合条件的残疾人福利性单位，且本供应商参加贵单位的</w:t>
      </w:r>
      <w:r>
        <w:rPr>
          <w:u w:val="single"/>
        </w:rPr>
        <w:t>（填写“项目名称”）</w:t>
      </w:r>
      <w:r>
        <w:t>项目采购活动：</w:t>
      </w:r>
    </w:p>
    <w:p w14:paraId="5BDB9EDD">
      <w:pPr>
        <w:pStyle w:val="18"/>
        <w:ind w:firstLine="480"/>
        <w:rPr>
          <w:rFonts w:hint="default"/>
        </w:rPr>
      </w:pPr>
      <w:r>
        <w:t>（ ）提供本供应商制造的</w:t>
      </w:r>
      <w:r>
        <w:rPr>
          <w:u w:val="single"/>
        </w:rPr>
        <w:t>（填写“所投采购包、品目号”）</w:t>
      </w:r>
      <w:r>
        <w:t>货物，或提供其他残疾人福利性单位制造的</w:t>
      </w:r>
      <w:r>
        <w:rPr>
          <w:u w:val="single"/>
        </w:rPr>
        <w:t>（填写“所投采购包、品目号”）</w:t>
      </w:r>
      <w:r>
        <w:t>货物（不包括使用非残疾人福利性单位注册商标的货物）。（说明：只有部分货物由残疾人福利企业制造的，在该货物后标★）</w:t>
      </w:r>
    </w:p>
    <w:p w14:paraId="56175FB9">
      <w:pPr>
        <w:pStyle w:val="18"/>
        <w:ind w:firstLine="480"/>
        <w:rPr>
          <w:rFonts w:hint="default"/>
        </w:rPr>
      </w:pPr>
      <w:r>
        <w:t>（ ）由本供应商承建的</w:t>
      </w:r>
      <w:r>
        <w:rPr>
          <w:u w:val="single"/>
        </w:rPr>
        <w:t>（填写“所投采购包、品目号”）</w:t>
      </w:r>
      <w:r>
        <w:t>工程</w:t>
      </w:r>
    </w:p>
    <w:p w14:paraId="29655A01">
      <w:pPr>
        <w:pStyle w:val="18"/>
        <w:ind w:firstLine="480"/>
        <w:rPr>
          <w:rFonts w:hint="default"/>
        </w:rPr>
      </w:pPr>
      <w:r>
        <w:t>（ ）由本供应商承接的</w:t>
      </w:r>
      <w:r>
        <w:rPr>
          <w:u w:val="single"/>
        </w:rPr>
        <w:t>（填写“所投采购包、品目号”）</w:t>
      </w:r>
      <w:r>
        <w:t>服务；</w:t>
      </w:r>
    </w:p>
    <w:p w14:paraId="0F8F838E">
      <w:pPr>
        <w:pStyle w:val="18"/>
        <w:ind w:firstLine="480"/>
        <w:rPr>
          <w:rFonts w:hint="eastAsia" w:eastAsia="宋体"/>
          <w:lang w:eastAsia="zh-CN"/>
        </w:rPr>
      </w:pPr>
      <w:r>
        <w:t>本供应商对上述声明的真实性负责。如有虚假，将依法承担相应责任。</w:t>
      </w:r>
    </w:p>
    <w:p w14:paraId="24A2461D">
      <w:pPr>
        <w:pStyle w:val="18"/>
        <w:ind w:firstLine="480"/>
        <w:rPr>
          <w:rFonts w:hint="eastAsia" w:eastAsia="宋体"/>
          <w:lang w:eastAsia="zh-CN"/>
        </w:rPr>
      </w:pPr>
    </w:p>
    <w:p w14:paraId="09B52F80">
      <w:pPr>
        <w:pStyle w:val="18"/>
        <w:ind w:firstLine="480"/>
        <w:rPr>
          <w:rFonts w:hint="eastAsia" w:eastAsia="宋体"/>
          <w:lang w:eastAsia="zh-CN"/>
        </w:rPr>
      </w:pPr>
    </w:p>
    <w:p w14:paraId="74954B3B">
      <w:pPr>
        <w:pStyle w:val="18"/>
        <w:ind w:firstLine="480"/>
        <w:rPr>
          <w:rFonts w:hint="default"/>
        </w:rPr>
      </w:pPr>
      <w:r>
        <w:t>供应商代表</w:t>
      </w:r>
      <w:r>
        <w:rPr>
          <w:u w:val="single"/>
        </w:rPr>
        <w:t>　　　（签字）</w:t>
      </w:r>
    </w:p>
    <w:p w14:paraId="56386402">
      <w:pPr>
        <w:pStyle w:val="18"/>
        <w:ind w:firstLine="480"/>
        <w:rPr>
          <w:rFonts w:hint="default"/>
        </w:rPr>
      </w:pPr>
      <w:r>
        <w:t>供应商名称</w:t>
      </w:r>
      <w:r>
        <w:rPr>
          <w:u w:val="single"/>
        </w:rPr>
        <w:t>　　　（全称并加盖公章）　　　</w:t>
      </w:r>
    </w:p>
    <w:p w14:paraId="6A16ABA8">
      <w:pPr>
        <w:pStyle w:val="18"/>
        <w:ind w:firstLine="480"/>
        <w:rPr>
          <w:rFonts w:hint="eastAsia" w:eastAsia="宋体"/>
          <w:lang w:eastAsia="zh-CN"/>
        </w:rPr>
      </w:pPr>
      <w:r>
        <w:t>日期：</w:t>
      </w:r>
      <w:r>
        <w:rPr>
          <w:u w:val="single"/>
        </w:rPr>
        <w:t>　　　</w:t>
      </w:r>
      <w:r>
        <w:t>年</w:t>
      </w:r>
      <w:r>
        <w:rPr>
          <w:u w:val="single"/>
        </w:rPr>
        <w:t>　　　</w:t>
      </w:r>
      <w:r>
        <w:t>月</w:t>
      </w:r>
      <w:r>
        <w:rPr>
          <w:u w:val="single"/>
        </w:rPr>
        <w:t>　　　</w:t>
      </w:r>
      <w:r>
        <w:t>日</w:t>
      </w:r>
    </w:p>
    <w:p w14:paraId="43A7C087">
      <w:pPr>
        <w:pStyle w:val="18"/>
        <w:ind w:firstLine="480"/>
        <w:rPr>
          <w:rFonts w:hint="eastAsia" w:eastAsia="宋体"/>
          <w:lang w:eastAsia="zh-CN"/>
        </w:rPr>
      </w:pPr>
    </w:p>
    <w:p w14:paraId="0C532A28">
      <w:pPr>
        <w:pStyle w:val="18"/>
        <w:ind w:firstLine="480"/>
        <w:rPr>
          <w:rFonts w:hint="eastAsia" w:eastAsia="宋体"/>
          <w:lang w:eastAsia="zh-CN"/>
        </w:rPr>
      </w:pPr>
    </w:p>
    <w:p w14:paraId="3D179EB5">
      <w:pPr>
        <w:pStyle w:val="18"/>
        <w:ind w:firstLine="480"/>
        <w:rPr>
          <w:rFonts w:hint="default"/>
        </w:rPr>
      </w:pPr>
      <w:r>
        <w:t>备注：（1）若供应商不符合残疾人福利性单位，不用提供本声明函，否则视为提供虚假材料。供应商在提交最后报价前，如果已向磋商小组提交上述声明函，视同为供应商符合残疾人福利性单位，享受价格扣除的优惠政策。</w:t>
      </w:r>
    </w:p>
    <w:p w14:paraId="13213D08">
      <w:pPr>
        <w:pStyle w:val="18"/>
        <w:ind w:firstLine="480"/>
        <w:rPr>
          <w:rFonts w:hint="default"/>
        </w:rPr>
      </w:pPr>
      <w:r>
        <w:t>（2）请供应商按照实际情况编制填写本声明函，并在相应的（）中打“√”。</w:t>
      </w:r>
    </w:p>
    <w:p w14:paraId="781683DA">
      <w:pPr>
        <w:pStyle w:val="18"/>
        <w:ind w:firstLine="480"/>
        <w:rPr>
          <w:rFonts w:hint="default"/>
        </w:rPr>
      </w:pPr>
      <w:r>
        <w:t>（3）纸质响应文件正本中的本声明函（若有）应为原件。</w:t>
      </w:r>
    </w:p>
    <w:p w14:paraId="730B15A7">
      <w:pPr>
        <w:pStyle w:val="18"/>
        <w:ind w:firstLine="480"/>
        <w:rPr>
          <w:rFonts w:hint="default"/>
        </w:rPr>
      </w:pPr>
      <w:r>
        <w:t>（4）若《残疾人福利性单位声明函》内容不真实，视为提供虚假材料。</w:t>
      </w:r>
    </w:p>
    <w:p w14:paraId="57348621">
      <w:pPr>
        <w:pStyle w:val="18"/>
        <w:rPr>
          <w:rFonts w:hint="eastAsia" w:eastAsia="宋体"/>
          <w:lang w:eastAsia="zh-CN"/>
        </w:rPr>
      </w:pPr>
      <w:r>
        <w:t xml:space="preserve"> </w:t>
      </w:r>
    </w:p>
    <w:p w14:paraId="0BC640FD">
      <w:pPr>
        <w:pStyle w:val="18"/>
        <w:rPr>
          <w:rFonts w:hint="default"/>
        </w:rPr>
      </w:pPr>
      <w:r>
        <w:br w:type="page"/>
      </w:r>
    </w:p>
    <w:p w14:paraId="46DC99E6">
      <w:pPr>
        <w:pStyle w:val="18"/>
        <w:jc w:val="center"/>
        <w:outlineLvl w:val="3"/>
        <w:rPr>
          <w:rFonts w:hint="default"/>
        </w:rPr>
      </w:pPr>
      <w:r>
        <w:rPr>
          <w:b/>
          <w:sz w:val="24"/>
        </w:rPr>
        <w:t>附件7-1-3 监狱企业证明材料</w:t>
      </w:r>
    </w:p>
    <w:p w14:paraId="033A4551">
      <w:pPr>
        <w:pStyle w:val="18"/>
        <w:ind w:firstLine="480"/>
        <w:rPr>
          <w:rFonts w:hint="default"/>
        </w:rPr>
      </w:pPr>
      <w:r>
        <w:t>供应商为监狱企业，提供本单位制造的货物（承接的服务），并在响应文件中提供省级以上监狱管理局、戒毒管理局（含新疆生产建设兵团）出具的属于监狱企业的证明文件。</w:t>
      </w:r>
    </w:p>
    <w:p w14:paraId="489590BD">
      <w:pPr>
        <w:pStyle w:val="18"/>
        <w:rPr>
          <w:rFonts w:hint="eastAsia" w:eastAsia="宋体"/>
          <w:lang w:eastAsia="zh-CN"/>
        </w:rPr>
      </w:pPr>
      <w:r>
        <w:t xml:space="preserve"> </w:t>
      </w:r>
    </w:p>
    <w:p w14:paraId="745560C2">
      <w:pPr>
        <w:pStyle w:val="18"/>
        <w:rPr>
          <w:rFonts w:hint="default"/>
        </w:rPr>
      </w:pPr>
      <w:r>
        <w:br w:type="page"/>
      </w:r>
    </w:p>
    <w:p w14:paraId="18E8D7E9">
      <w:pPr>
        <w:pStyle w:val="18"/>
        <w:jc w:val="center"/>
        <w:outlineLvl w:val="3"/>
        <w:rPr>
          <w:rFonts w:hint="default"/>
        </w:rPr>
      </w:pPr>
      <w:r>
        <w:rPr>
          <w:b/>
          <w:sz w:val="24"/>
        </w:rPr>
        <w:t xml:space="preserve"> 附件7-2 优先类节能产品、环境标志产品加分证明材料（若有）</w:t>
      </w:r>
    </w:p>
    <w:tbl>
      <w:tblPr>
        <w:tblStyle w:val="13"/>
        <w:tblW w:w="0" w:type="auto"/>
        <w:tblInd w:w="0" w:type="dxa"/>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Layout w:type="autofit"/>
        <w:tblCellMar>
          <w:top w:w="0" w:type="dxa"/>
          <w:left w:w="108" w:type="dxa"/>
          <w:bottom w:w="0" w:type="dxa"/>
          <w:right w:w="108" w:type="dxa"/>
        </w:tblCellMar>
      </w:tblPr>
      <w:tblGrid>
        <w:gridCol w:w="831"/>
        <w:gridCol w:w="831"/>
        <w:gridCol w:w="1661"/>
        <w:gridCol w:w="1661"/>
        <w:gridCol w:w="1661"/>
        <w:gridCol w:w="831"/>
        <w:gridCol w:w="831"/>
      </w:tblGrid>
      <w:tr w14:paraId="1043884B">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noWrap w:val="0"/>
            <w:vAlign w:val="top"/>
          </w:tcPr>
          <w:p w14:paraId="30F4CD15">
            <w:pPr>
              <w:pStyle w:val="18"/>
              <w:jc w:val="center"/>
              <w:rPr>
                <w:rFonts w:hint="default"/>
              </w:rPr>
            </w:pPr>
            <w:r>
              <w:t xml:space="preserve">   </w:t>
            </w:r>
          </w:p>
        </w:tc>
        <w:tc>
          <w:tcPr>
            <w:tcW w:w="7476" w:type="dxa"/>
            <w:gridSpan w:val="6"/>
            <w:noWrap w:val="0"/>
            <w:vAlign w:val="top"/>
          </w:tcPr>
          <w:p w14:paraId="49E975D9">
            <w:pPr>
              <w:pStyle w:val="18"/>
              <w:jc w:val="center"/>
              <w:rPr>
                <w:rFonts w:hint="default"/>
              </w:rPr>
            </w:pPr>
            <w:r>
              <w:t>本采购包内属于节能、环境标志产品的情况</w:t>
            </w:r>
          </w:p>
        </w:tc>
      </w:tr>
      <w:tr w14:paraId="36B43C45">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noWrap w:val="0"/>
            <w:vAlign w:val="top"/>
          </w:tcPr>
          <w:p w14:paraId="66DD676C">
            <w:pPr>
              <w:pStyle w:val="18"/>
              <w:jc w:val="center"/>
              <w:rPr>
                <w:rFonts w:hint="default"/>
              </w:rPr>
            </w:pPr>
            <w:r>
              <w:t>采购包</w:t>
            </w:r>
          </w:p>
        </w:tc>
        <w:tc>
          <w:tcPr>
            <w:tcW w:w="831" w:type="dxa"/>
            <w:noWrap w:val="0"/>
            <w:vAlign w:val="top"/>
          </w:tcPr>
          <w:p w14:paraId="5FD991C0">
            <w:pPr>
              <w:pStyle w:val="18"/>
              <w:jc w:val="center"/>
              <w:rPr>
                <w:rFonts w:hint="default"/>
              </w:rPr>
            </w:pPr>
            <w:r>
              <w:t>品目号</w:t>
            </w:r>
          </w:p>
        </w:tc>
        <w:tc>
          <w:tcPr>
            <w:tcW w:w="1661" w:type="dxa"/>
            <w:noWrap w:val="0"/>
            <w:vAlign w:val="top"/>
          </w:tcPr>
          <w:p w14:paraId="04B2880D">
            <w:pPr>
              <w:pStyle w:val="18"/>
              <w:jc w:val="center"/>
              <w:rPr>
                <w:rFonts w:hint="default"/>
              </w:rPr>
            </w:pPr>
            <w:r>
              <w:t>产品名称</w:t>
            </w:r>
          </w:p>
        </w:tc>
        <w:tc>
          <w:tcPr>
            <w:tcW w:w="1661" w:type="dxa"/>
            <w:noWrap w:val="0"/>
            <w:vAlign w:val="top"/>
          </w:tcPr>
          <w:p w14:paraId="71798268">
            <w:pPr>
              <w:pStyle w:val="18"/>
              <w:jc w:val="center"/>
              <w:rPr>
                <w:rFonts w:hint="default"/>
              </w:rPr>
            </w:pPr>
            <w:r>
              <w:t>最后报价单价（现场）</w:t>
            </w:r>
          </w:p>
        </w:tc>
        <w:tc>
          <w:tcPr>
            <w:tcW w:w="1661" w:type="dxa"/>
            <w:noWrap w:val="0"/>
            <w:vAlign w:val="top"/>
          </w:tcPr>
          <w:p w14:paraId="1226E06D">
            <w:pPr>
              <w:pStyle w:val="18"/>
              <w:jc w:val="center"/>
              <w:rPr>
                <w:rFonts w:hint="default"/>
              </w:rPr>
            </w:pPr>
            <w:r>
              <w:t>数量</w:t>
            </w:r>
          </w:p>
        </w:tc>
        <w:tc>
          <w:tcPr>
            <w:tcW w:w="831" w:type="dxa"/>
            <w:noWrap w:val="0"/>
            <w:vAlign w:val="top"/>
          </w:tcPr>
          <w:p w14:paraId="55CDF581">
            <w:pPr>
              <w:pStyle w:val="18"/>
              <w:jc w:val="center"/>
              <w:rPr>
                <w:rFonts w:hint="default"/>
              </w:rPr>
            </w:pPr>
            <w:r>
              <w:t>最后报价总价（现场）</w:t>
            </w:r>
          </w:p>
        </w:tc>
        <w:tc>
          <w:tcPr>
            <w:tcW w:w="831" w:type="dxa"/>
            <w:noWrap w:val="0"/>
            <w:vAlign w:val="top"/>
          </w:tcPr>
          <w:p w14:paraId="58F3EA9B">
            <w:pPr>
              <w:pStyle w:val="18"/>
              <w:jc w:val="center"/>
              <w:rPr>
                <w:rFonts w:hint="default"/>
              </w:rPr>
            </w:pPr>
            <w:r>
              <w:t>认证种类</w:t>
            </w:r>
          </w:p>
        </w:tc>
      </w:tr>
      <w:tr w14:paraId="62F24F57">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vMerge w:val="restart"/>
            <w:noWrap w:val="0"/>
            <w:vAlign w:val="top"/>
          </w:tcPr>
          <w:p w14:paraId="4A083D52">
            <w:pPr>
              <w:pStyle w:val="18"/>
              <w:jc w:val="center"/>
              <w:rPr>
                <w:rFonts w:hint="default"/>
              </w:rPr>
            </w:pPr>
            <w:r>
              <w:t>*</w:t>
            </w:r>
          </w:p>
        </w:tc>
        <w:tc>
          <w:tcPr>
            <w:tcW w:w="831" w:type="dxa"/>
            <w:noWrap w:val="0"/>
            <w:vAlign w:val="top"/>
          </w:tcPr>
          <w:p w14:paraId="18CDB9FD">
            <w:pPr>
              <w:pStyle w:val="18"/>
              <w:jc w:val="center"/>
              <w:rPr>
                <w:rFonts w:hint="default"/>
              </w:rPr>
            </w:pPr>
            <w:r>
              <w:t>*-1</w:t>
            </w:r>
          </w:p>
        </w:tc>
        <w:tc>
          <w:tcPr>
            <w:tcW w:w="1661" w:type="dxa"/>
            <w:noWrap w:val="0"/>
            <w:vAlign w:val="top"/>
          </w:tcPr>
          <w:p w14:paraId="0BFA5519">
            <w:pPr>
              <w:pStyle w:val="18"/>
              <w:rPr>
                <w:rFonts w:hint="default"/>
              </w:rPr>
            </w:pPr>
            <w:r>
              <w:t xml:space="preserve">   </w:t>
            </w:r>
          </w:p>
        </w:tc>
        <w:tc>
          <w:tcPr>
            <w:tcW w:w="1661" w:type="dxa"/>
            <w:noWrap w:val="0"/>
            <w:vAlign w:val="top"/>
          </w:tcPr>
          <w:p w14:paraId="394E612A">
            <w:pPr>
              <w:pStyle w:val="18"/>
              <w:rPr>
                <w:rFonts w:hint="default"/>
              </w:rPr>
            </w:pPr>
            <w:r>
              <w:t xml:space="preserve">   </w:t>
            </w:r>
          </w:p>
        </w:tc>
        <w:tc>
          <w:tcPr>
            <w:tcW w:w="1661" w:type="dxa"/>
            <w:noWrap w:val="0"/>
            <w:vAlign w:val="top"/>
          </w:tcPr>
          <w:p w14:paraId="6C4C2655">
            <w:pPr>
              <w:pStyle w:val="18"/>
              <w:rPr>
                <w:rFonts w:hint="default"/>
              </w:rPr>
            </w:pPr>
            <w:r>
              <w:t xml:space="preserve">   </w:t>
            </w:r>
          </w:p>
        </w:tc>
        <w:tc>
          <w:tcPr>
            <w:tcW w:w="831" w:type="dxa"/>
            <w:noWrap w:val="0"/>
            <w:vAlign w:val="top"/>
          </w:tcPr>
          <w:p w14:paraId="59496EE3">
            <w:pPr>
              <w:pStyle w:val="18"/>
              <w:rPr>
                <w:rFonts w:hint="default"/>
              </w:rPr>
            </w:pPr>
            <w:r>
              <w:t xml:space="preserve">   </w:t>
            </w:r>
          </w:p>
        </w:tc>
        <w:tc>
          <w:tcPr>
            <w:tcW w:w="831" w:type="dxa"/>
            <w:noWrap w:val="0"/>
            <w:vAlign w:val="top"/>
          </w:tcPr>
          <w:p w14:paraId="5DDCC10F">
            <w:pPr>
              <w:pStyle w:val="18"/>
              <w:rPr>
                <w:rFonts w:hint="default"/>
              </w:rPr>
            </w:pPr>
            <w:r>
              <w:t xml:space="preserve">   </w:t>
            </w:r>
          </w:p>
        </w:tc>
      </w:tr>
      <w:tr w14:paraId="198F0A3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vMerge w:val="continue"/>
            <w:noWrap w:val="0"/>
            <w:vAlign w:val="top"/>
          </w:tcPr>
          <w:p w14:paraId="64B375E8"/>
        </w:tc>
        <w:tc>
          <w:tcPr>
            <w:tcW w:w="831" w:type="dxa"/>
            <w:noWrap w:val="0"/>
            <w:vAlign w:val="top"/>
          </w:tcPr>
          <w:p w14:paraId="1BA212E6">
            <w:pPr>
              <w:pStyle w:val="18"/>
              <w:jc w:val="center"/>
              <w:rPr>
                <w:rFonts w:hint="default"/>
              </w:rPr>
            </w:pPr>
            <w:r>
              <w:t>...</w:t>
            </w:r>
          </w:p>
        </w:tc>
        <w:tc>
          <w:tcPr>
            <w:tcW w:w="1661" w:type="dxa"/>
            <w:noWrap w:val="0"/>
            <w:vAlign w:val="top"/>
          </w:tcPr>
          <w:p w14:paraId="3A7A10E3">
            <w:pPr>
              <w:pStyle w:val="18"/>
              <w:rPr>
                <w:rFonts w:hint="default"/>
              </w:rPr>
            </w:pPr>
            <w:r>
              <w:t xml:space="preserve">   </w:t>
            </w:r>
          </w:p>
        </w:tc>
        <w:tc>
          <w:tcPr>
            <w:tcW w:w="1661" w:type="dxa"/>
            <w:noWrap w:val="0"/>
            <w:vAlign w:val="top"/>
          </w:tcPr>
          <w:p w14:paraId="792CD21E">
            <w:pPr>
              <w:pStyle w:val="18"/>
              <w:rPr>
                <w:rFonts w:hint="default"/>
              </w:rPr>
            </w:pPr>
            <w:r>
              <w:t xml:space="preserve">   </w:t>
            </w:r>
          </w:p>
        </w:tc>
        <w:tc>
          <w:tcPr>
            <w:tcW w:w="1661" w:type="dxa"/>
            <w:noWrap w:val="0"/>
            <w:vAlign w:val="top"/>
          </w:tcPr>
          <w:p w14:paraId="3E0518B4">
            <w:pPr>
              <w:pStyle w:val="18"/>
              <w:rPr>
                <w:rFonts w:hint="default"/>
              </w:rPr>
            </w:pPr>
            <w:r>
              <w:t xml:space="preserve">   </w:t>
            </w:r>
          </w:p>
        </w:tc>
        <w:tc>
          <w:tcPr>
            <w:tcW w:w="831" w:type="dxa"/>
            <w:noWrap w:val="0"/>
            <w:vAlign w:val="top"/>
          </w:tcPr>
          <w:p w14:paraId="7C07EB17">
            <w:pPr>
              <w:pStyle w:val="18"/>
              <w:rPr>
                <w:rFonts w:hint="default"/>
              </w:rPr>
            </w:pPr>
            <w:r>
              <w:t xml:space="preserve">   </w:t>
            </w:r>
          </w:p>
        </w:tc>
        <w:tc>
          <w:tcPr>
            <w:tcW w:w="831" w:type="dxa"/>
            <w:noWrap w:val="0"/>
            <w:vAlign w:val="top"/>
          </w:tcPr>
          <w:p w14:paraId="54159E32">
            <w:pPr>
              <w:pStyle w:val="18"/>
              <w:rPr>
                <w:rFonts w:hint="default"/>
              </w:rPr>
            </w:pPr>
            <w:r>
              <w:t xml:space="preserve">   </w:t>
            </w:r>
          </w:p>
        </w:tc>
      </w:tr>
      <w:tr w14:paraId="224B1611">
        <w:tblPrEx>
          <w:tblBorders>
            <w:top w:val="single" w:color="auto" w:sz="0" w:space="0"/>
            <w:left w:val="single" w:color="auto" w:sz="0" w:space="0"/>
            <w:bottom w:val="single" w:color="auto" w:sz="0" w:space="0"/>
            <w:right w:val="single" w:color="auto" w:sz="0" w:space="0"/>
            <w:insideH w:val="single" w:color="auto" w:sz="0" w:space="0"/>
            <w:insideV w:val="single" w:color="auto" w:sz="0" w:space="0"/>
          </w:tblBorders>
          <w:tblCellMar>
            <w:top w:w="0" w:type="dxa"/>
            <w:left w:w="108" w:type="dxa"/>
            <w:bottom w:w="0" w:type="dxa"/>
            <w:right w:w="108" w:type="dxa"/>
          </w:tblCellMar>
        </w:tblPrEx>
        <w:tc>
          <w:tcPr>
            <w:tcW w:w="831" w:type="dxa"/>
            <w:noWrap w:val="0"/>
            <w:vAlign w:val="top"/>
          </w:tcPr>
          <w:p w14:paraId="10B29B0F">
            <w:pPr>
              <w:pStyle w:val="18"/>
              <w:jc w:val="center"/>
              <w:rPr>
                <w:rFonts w:hint="default"/>
              </w:rPr>
            </w:pPr>
            <w:r>
              <w:t>备注</w:t>
            </w:r>
          </w:p>
        </w:tc>
        <w:tc>
          <w:tcPr>
            <w:tcW w:w="7476" w:type="dxa"/>
            <w:gridSpan w:val="6"/>
            <w:noWrap w:val="0"/>
            <w:vAlign w:val="top"/>
          </w:tcPr>
          <w:p w14:paraId="6D3A4C6B">
            <w:pPr>
              <w:pStyle w:val="18"/>
              <w:rPr>
                <w:rFonts w:hint="default"/>
              </w:rPr>
            </w:pPr>
            <w:r>
              <w:t>a.采购包内属于节能、环境标志产品的报价总金额：</w:t>
            </w:r>
            <w:r>
              <w:rPr>
                <w:u w:val="single"/>
              </w:rPr>
              <w:t xml:space="preserve">           </w:t>
            </w:r>
            <w:r>
              <w:t>；</w:t>
            </w:r>
          </w:p>
          <w:p w14:paraId="4E537132">
            <w:pPr>
              <w:pStyle w:val="18"/>
              <w:rPr>
                <w:rFonts w:hint="default"/>
              </w:rPr>
            </w:pPr>
            <w:r>
              <w:t>b.采购包投标总价（报价总金额）：</w:t>
            </w:r>
            <w:r>
              <w:rPr>
                <w:u w:val="single"/>
              </w:rPr>
              <w:t xml:space="preserve">           </w:t>
            </w:r>
            <w:r>
              <w:t>；</w:t>
            </w:r>
          </w:p>
          <w:p w14:paraId="06D8E799">
            <w:pPr>
              <w:pStyle w:val="18"/>
              <w:rPr>
                <w:rFonts w:hint="default"/>
              </w:rPr>
            </w:pPr>
            <w:r>
              <w:t>c.“采购包内属于节能、环境标志产品的报价总金额”占“采购包投标总价（报价总金额）”的比例（以%列示）：</w:t>
            </w:r>
            <w:r>
              <w:rPr>
                <w:u w:val="single"/>
              </w:rPr>
              <w:t xml:space="preserve">           </w:t>
            </w:r>
            <w:r>
              <w:t>；</w:t>
            </w:r>
          </w:p>
        </w:tc>
      </w:tr>
    </w:tbl>
    <w:p w14:paraId="343B4A61">
      <w:pPr>
        <w:pStyle w:val="18"/>
        <w:ind w:firstLine="480"/>
        <w:rPr>
          <w:rFonts w:hint="default"/>
        </w:rPr>
      </w:pPr>
      <w:r>
        <w:t>※注意</w:t>
      </w:r>
    </w:p>
    <w:p w14:paraId="11722C90">
      <w:pPr>
        <w:pStyle w:val="18"/>
        <w:ind w:firstLine="480"/>
        <w:rPr>
          <w:rFonts w:hint="default"/>
        </w:rPr>
      </w:pPr>
      <w:r>
        <w:t>1、若供应商可享受磋商文件规定的“优先类节能产品、环境标志产品加分”的，则供应商应填写“优先类节能产品、环境标志产品统计表”并按照磋商文件要求提供相应证明材料。对“节能、环境标志产品”计算加分时，只依据响应文件提交的材料。</w:t>
      </w:r>
    </w:p>
    <w:p w14:paraId="255A8295">
      <w:pPr>
        <w:pStyle w:val="18"/>
        <w:ind w:firstLine="480"/>
        <w:rPr>
          <w:rFonts w:hint="default"/>
        </w:rPr>
      </w:pPr>
      <w:r>
        <w:t>2、本表以采购包为单位，不同采购包请分别填写；单个采购包请按照其品目号顺序分别填写。</w:t>
      </w:r>
    </w:p>
    <w:p w14:paraId="3B141B03">
      <w:pPr>
        <w:pStyle w:val="18"/>
        <w:ind w:firstLine="480"/>
        <w:rPr>
          <w:rFonts w:hint="default"/>
        </w:rPr>
      </w:pPr>
      <w:r>
        <w:t>3、具体统计、计算：</w:t>
      </w:r>
    </w:p>
    <w:p w14:paraId="398BECDE">
      <w:pPr>
        <w:pStyle w:val="18"/>
        <w:ind w:firstLine="480"/>
        <w:rPr>
          <w:rFonts w:hint="default"/>
        </w:rPr>
      </w:pPr>
      <w:r>
        <w:t>3.1若同一采购包内的单个或多个货物取得或同时取得节能、环境标志产品等两项或多项认证的，均按照单个货物对应一项认证的原则统计、计算1次。</w:t>
      </w:r>
    </w:p>
    <w:p w14:paraId="5F9AE737">
      <w:pPr>
        <w:pStyle w:val="18"/>
        <w:ind w:firstLine="480"/>
        <w:rPr>
          <w:rFonts w:hint="default"/>
        </w:rPr>
      </w:pPr>
      <w:r>
        <w:t>3.2计算结果若除不尽，可四舍五入保留到小数点后两位。</w:t>
      </w:r>
    </w:p>
    <w:p w14:paraId="41811CDF">
      <w:pPr>
        <w:pStyle w:val="18"/>
        <w:ind w:firstLine="480"/>
        <w:rPr>
          <w:rFonts w:hint="default"/>
        </w:rPr>
      </w:pPr>
      <w:r>
        <w:t>3.3供应商应按照磋商文件上表要求认真统计、计算，否则磋商小组可不予认定。</w:t>
      </w:r>
    </w:p>
    <w:p w14:paraId="4A85C121">
      <w:pPr>
        <w:pStyle w:val="18"/>
        <w:ind w:firstLine="480"/>
        <w:rPr>
          <w:rFonts w:hint="default"/>
        </w:rPr>
      </w:pPr>
      <w:r>
        <w:t>3.4若无节能、环境标志产品，不填写本表，否则，视为提供虚假材料。</w:t>
      </w:r>
    </w:p>
    <w:p w14:paraId="60DE4729">
      <w:pPr>
        <w:pStyle w:val="18"/>
        <w:ind w:firstLine="480"/>
        <w:rPr>
          <w:rFonts w:hint="default"/>
        </w:rPr>
      </w:pPr>
      <w:r>
        <w:t>3.5强制类节能产品不享受价格扣除。</w:t>
      </w:r>
    </w:p>
    <w:p w14:paraId="545CFCB3">
      <w:pPr>
        <w:pStyle w:val="18"/>
        <w:ind w:firstLine="480"/>
        <w:rPr>
          <w:rFonts w:hint="default"/>
        </w:rPr>
      </w:pPr>
      <w:r>
        <w:t>4、本表以采购包为单位，不同采购包请分别填写；同一采购包请按照顺序分别填写，以方便磋商小组审阅。供应商在提交最后报价前，如果已向磋商小组提交上表内容并附相应证明资料，视同为供应商的产品属于节能、环境标志产品，享受加分的优惠政策。</w:t>
      </w:r>
    </w:p>
    <w:p w14:paraId="63D97A42">
      <w:pPr>
        <w:pStyle w:val="18"/>
        <w:ind w:firstLine="480"/>
        <w:rPr>
          <w:rFonts w:hint="default"/>
        </w:rPr>
      </w:pPr>
      <w:r>
        <w:t>5、纸质响应文件正本中的本表（若有）应为原件。</w:t>
      </w:r>
    </w:p>
    <w:p w14:paraId="6803737A">
      <w:pPr>
        <w:pStyle w:val="18"/>
        <w:ind w:firstLine="480"/>
        <w:rPr>
          <w:rFonts w:hint="default"/>
        </w:rPr>
      </w:pPr>
      <w:r>
        <w:t>供应商代表：</w:t>
      </w:r>
      <w:r>
        <w:rPr>
          <w:u w:val="single"/>
        </w:rPr>
        <w:t>　　　（签字）</w:t>
      </w:r>
    </w:p>
    <w:p w14:paraId="181521DF">
      <w:pPr>
        <w:pStyle w:val="18"/>
        <w:ind w:firstLine="480"/>
        <w:rPr>
          <w:rFonts w:hint="default"/>
        </w:rPr>
      </w:pPr>
      <w:r>
        <w:t>日期：</w:t>
      </w:r>
      <w:r>
        <w:rPr>
          <w:u w:val="single"/>
        </w:rPr>
        <w:t>　　　</w:t>
      </w:r>
      <w:r>
        <w:t>年</w:t>
      </w:r>
      <w:r>
        <w:rPr>
          <w:u w:val="single"/>
        </w:rPr>
        <w:t>　　　</w:t>
      </w:r>
      <w:r>
        <w:t>月</w:t>
      </w:r>
      <w:r>
        <w:rPr>
          <w:u w:val="single"/>
        </w:rPr>
        <w:t>　　　</w:t>
      </w:r>
      <w:r>
        <w:t>日</w:t>
      </w:r>
    </w:p>
    <w:p w14:paraId="3199852E">
      <w:pPr>
        <w:pStyle w:val="18"/>
        <w:rPr>
          <w:rFonts w:hint="eastAsia" w:eastAsia="宋体"/>
          <w:lang w:eastAsia="zh-CN"/>
        </w:rPr>
      </w:pPr>
      <w:r>
        <w:t xml:space="preserve"> </w:t>
      </w:r>
    </w:p>
    <w:p w14:paraId="3F8063AB">
      <w:pPr>
        <w:pStyle w:val="18"/>
        <w:rPr>
          <w:rFonts w:hint="default"/>
        </w:rPr>
      </w:pPr>
      <w:r>
        <w:br w:type="page"/>
      </w:r>
    </w:p>
    <w:p w14:paraId="51623401">
      <w:pPr>
        <w:pStyle w:val="18"/>
        <w:jc w:val="center"/>
        <w:outlineLvl w:val="2"/>
        <w:rPr>
          <w:rFonts w:hint="default"/>
        </w:rPr>
      </w:pPr>
      <w:r>
        <w:rPr>
          <w:b/>
          <w:sz w:val="28"/>
        </w:rPr>
        <w:t>附件8 要求作为响应文件组成部分的其他内容（若有）</w:t>
      </w:r>
    </w:p>
    <w:p w14:paraId="508C866B">
      <w:pPr>
        <w:pStyle w:val="18"/>
        <w:ind w:firstLine="480"/>
        <w:rPr>
          <w:rFonts w:hint="default"/>
        </w:rPr>
      </w:pPr>
      <w:r>
        <w:t>说明：</w:t>
      </w:r>
    </w:p>
    <w:p w14:paraId="4BFBA191">
      <w:pPr>
        <w:pStyle w:val="18"/>
        <w:ind w:firstLine="480"/>
        <w:rPr>
          <w:rFonts w:hint="default"/>
        </w:rPr>
      </w:pPr>
      <w:r>
        <w:t>1、采购人或采购代理机构可以根据项目的特点和需要，在磋商文件中对要求作为响应文件组成部分的其他内容进行具体规定或附表格式，供应商应按照磋商文件要求提供相关承诺及材料，并加盖供应商单位公章。</w:t>
      </w:r>
    </w:p>
    <w:p w14:paraId="3ED398DA">
      <w:pPr>
        <w:pStyle w:val="18"/>
        <w:ind w:firstLine="480"/>
        <w:rPr>
          <w:rFonts w:hint="eastAsia" w:eastAsia="宋体"/>
          <w:lang w:eastAsia="zh-CN"/>
        </w:rPr>
      </w:pPr>
      <w:r>
        <w:t>2、供应商根据自身实际情况编写有关资料包括如供应商单位简介、竞争性磋商文件要求提供或供应商自已认为体现自身优势，需要补充说明的其它资料，格式自拟。</w:t>
      </w:r>
    </w:p>
    <w:p w14:paraId="5625FB84">
      <w:pPr>
        <w:pStyle w:val="18"/>
        <w:ind w:firstLine="480"/>
        <w:rPr>
          <w:rFonts w:hint="eastAsia" w:eastAsia="宋体"/>
          <w:lang w:eastAsia="zh-CN"/>
        </w:rPr>
      </w:pPr>
    </w:p>
    <w:p w14:paraId="63EDF1FC">
      <w:pPr>
        <w:pStyle w:val="18"/>
        <w:ind w:firstLine="480"/>
        <w:rPr>
          <w:rFonts w:hint="eastAsia" w:eastAsia="宋体"/>
          <w:lang w:eastAsia="zh-CN"/>
        </w:rPr>
      </w:pPr>
    </w:p>
    <w:p w14:paraId="651E3C9B">
      <w:pPr>
        <w:pStyle w:val="18"/>
        <w:ind w:firstLine="480"/>
        <w:rPr>
          <w:rFonts w:hint="eastAsia" w:eastAsia="宋体"/>
          <w:lang w:eastAsia="zh-CN"/>
        </w:rPr>
      </w:pPr>
    </w:p>
    <w:p w14:paraId="0A653720">
      <w:pPr>
        <w:pStyle w:val="18"/>
        <w:ind w:firstLine="480"/>
        <w:rPr>
          <w:rFonts w:hint="eastAsia" w:eastAsia="宋体"/>
          <w:lang w:eastAsia="zh-CN"/>
        </w:rPr>
      </w:pPr>
    </w:p>
    <w:p w14:paraId="063E778A">
      <w:pPr>
        <w:pStyle w:val="18"/>
        <w:ind w:firstLine="480"/>
        <w:rPr>
          <w:rFonts w:hint="default"/>
        </w:rPr>
      </w:pPr>
      <w:r>
        <w:t>供应商代表</w:t>
      </w:r>
      <w:r>
        <w:rPr>
          <w:u w:val="single"/>
        </w:rPr>
        <w:t>　　　（签字）</w:t>
      </w:r>
    </w:p>
    <w:p w14:paraId="671977B0">
      <w:pPr>
        <w:pStyle w:val="18"/>
        <w:ind w:firstLine="480"/>
        <w:rPr>
          <w:rFonts w:hint="default"/>
        </w:rPr>
      </w:pPr>
      <w:r>
        <w:t>供应商名称</w:t>
      </w:r>
      <w:r>
        <w:rPr>
          <w:u w:val="single"/>
        </w:rPr>
        <w:t>　　　（全称并加盖公章）　　　</w:t>
      </w:r>
    </w:p>
    <w:p w14:paraId="6D0A5D4D">
      <w:pPr>
        <w:pStyle w:val="18"/>
        <w:ind w:firstLine="480"/>
        <w:rPr>
          <w:rFonts w:hint="default"/>
        </w:rPr>
      </w:pPr>
      <w:r>
        <w:t>日期：</w:t>
      </w:r>
      <w:r>
        <w:rPr>
          <w:u w:val="single"/>
        </w:rPr>
        <w:t>　　　</w:t>
      </w:r>
      <w:r>
        <w:t>年</w:t>
      </w:r>
      <w:r>
        <w:rPr>
          <w:u w:val="single"/>
        </w:rPr>
        <w:t>　　　</w:t>
      </w:r>
      <w:r>
        <w:t>月</w:t>
      </w:r>
      <w:r>
        <w:rPr>
          <w:u w:val="single"/>
        </w:rPr>
        <w:t>　　　</w:t>
      </w:r>
      <w:r>
        <w:t>日</w:t>
      </w:r>
    </w:p>
    <w:p w14:paraId="34A55341">
      <w:pPr>
        <w:jc w:val="left"/>
        <w:rPr>
          <w:rFonts w:hint="eastAsia" w:eastAsia="宋体"/>
          <w:lang w:eastAsia="zh-CN"/>
        </w:rPr>
      </w:pPr>
      <w:r>
        <w:t xml:space="preserve"> </w:t>
      </w:r>
    </w:p>
    <w:p w14:paraId="637ED36A">
      <w:pPr>
        <w:jc w:val="left"/>
        <w:rPr>
          <w:rFonts w:hint="eastAsia" w:eastAsia="宋体"/>
          <w:lang w:eastAsia="zh-CN"/>
        </w:rPr>
      </w:pPr>
    </w:p>
    <w:p w14:paraId="50DB7F0A">
      <w:pPr>
        <w:ind w:left="1677" w:leftChars="665" w:hanging="281" w:hangingChars="100"/>
        <w:jc w:val="left"/>
        <w:rPr>
          <w:rFonts w:hint="eastAsia" w:ascii="Calibri" w:hAnsi="Calibri" w:eastAsia="宋体" w:cs="Times New Roman"/>
          <w:b/>
          <w:kern w:val="0"/>
          <w:sz w:val="28"/>
          <w:szCs w:val="20"/>
          <w:lang w:val="en-US" w:eastAsia="zh-Hans" w:bidi="ar-SA"/>
        </w:rPr>
      </w:pPr>
      <w:r>
        <w:rPr>
          <w:rFonts w:hint="eastAsia" w:ascii="Calibri" w:hAnsi="Calibri" w:eastAsia="宋体" w:cs="Times New Roman"/>
          <w:b/>
          <w:kern w:val="0"/>
          <w:sz w:val="28"/>
          <w:szCs w:val="20"/>
          <w:lang w:val="en-US" w:eastAsia="zh-Hans" w:bidi="ar-SA"/>
        </w:rPr>
        <w:t xml:space="preserve">最后报价一览表（可根据实际需求调整格式）      </w:t>
      </w:r>
      <w:r>
        <w:rPr>
          <w:rFonts w:hint="eastAsia" w:ascii="Calibri" w:hAnsi="Calibri" w:eastAsia="宋体" w:cs="Times New Roman"/>
          <w:b/>
          <w:kern w:val="0"/>
          <w:sz w:val="28"/>
          <w:szCs w:val="20"/>
          <w:lang w:val="en-US" w:eastAsia="zh-CN" w:bidi="ar-SA"/>
        </w:rPr>
        <w:t xml:space="preserve">         </w:t>
      </w:r>
      <w:r>
        <w:rPr>
          <w:rFonts w:hint="eastAsia" w:ascii="Calibri" w:hAnsi="Calibri" w:eastAsia="宋体" w:cs="Times New Roman"/>
          <w:b/>
          <w:kern w:val="0"/>
          <w:sz w:val="28"/>
          <w:szCs w:val="20"/>
          <w:lang w:val="en-US" w:eastAsia="zh-Hans" w:bidi="ar-SA"/>
        </w:rPr>
        <w:t xml:space="preserve">    （磋商现场填写，打印时删掉这段）</w:t>
      </w:r>
    </w:p>
    <w:p w14:paraId="43F77DF8"/>
    <w:p w14:paraId="658B35F8">
      <w:r>
        <w:rPr>
          <w:rFonts w:hint="eastAsia"/>
        </w:rPr>
        <w:t xml:space="preserve">报价人(加盖公章)：                   </w:t>
      </w:r>
    </w:p>
    <w:p w14:paraId="3C57BDC2">
      <w:r>
        <w:rPr>
          <w:rFonts w:hint="eastAsia"/>
        </w:rPr>
        <w:t xml:space="preserve">项目编号：              </w:t>
      </w:r>
    </w:p>
    <w:tbl>
      <w:tblPr>
        <w:tblStyle w:val="13"/>
        <w:tblW w:w="7704" w:type="dxa"/>
        <w:jc w:val="center"/>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Layout w:type="fixed"/>
        <w:tblCellMar>
          <w:top w:w="0" w:type="dxa"/>
          <w:left w:w="108" w:type="dxa"/>
          <w:bottom w:w="0" w:type="dxa"/>
          <w:right w:w="108" w:type="dxa"/>
        </w:tblCellMar>
      </w:tblPr>
      <w:tblGrid>
        <w:gridCol w:w="483"/>
        <w:gridCol w:w="484"/>
        <w:gridCol w:w="1304"/>
        <w:gridCol w:w="1304"/>
        <w:gridCol w:w="1567"/>
        <w:gridCol w:w="773"/>
        <w:gridCol w:w="775"/>
        <w:gridCol w:w="1014"/>
      </w:tblGrid>
      <w:tr w14:paraId="2F470114">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jc w:val="center"/>
        </w:trPr>
        <w:tc>
          <w:tcPr>
            <w:tcW w:w="483" w:type="dxa"/>
            <w:tcBorders>
              <w:top w:val="single" w:color="auto" w:sz="18" w:space="0"/>
              <w:bottom w:val="single" w:color="auto" w:sz="6" w:space="0"/>
              <w:right w:val="single" w:color="auto" w:sz="4" w:space="0"/>
            </w:tcBorders>
            <w:shd w:val="clear" w:color="auto" w:fill="FFFFFF"/>
            <w:vAlign w:val="center"/>
          </w:tcPr>
          <w:p w14:paraId="59CF1997">
            <w:r>
              <w:rPr>
                <w:rFonts w:hint="eastAsia"/>
              </w:rPr>
              <w:t>合同包</w:t>
            </w:r>
          </w:p>
        </w:tc>
        <w:tc>
          <w:tcPr>
            <w:tcW w:w="484" w:type="dxa"/>
            <w:tcBorders>
              <w:top w:val="single" w:color="auto" w:sz="18" w:space="0"/>
              <w:left w:val="single" w:color="auto" w:sz="4" w:space="0"/>
              <w:bottom w:val="single" w:color="auto" w:sz="6" w:space="0"/>
            </w:tcBorders>
            <w:shd w:val="clear" w:color="auto" w:fill="FFFFFF"/>
            <w:vAlign w:val="center"/>
          </w:tcPr>
          <w:p w14:paraId="5CEC9151">
            <w:r>
              <w:rPr>
                <w:rFonts w:hint="eastAsia"/>
              </w:rPr>
              <w:t>品目号</w:t>
            </w:r>
          </w:p>
        </w:tc>
        <w:tc>
          <w:tcPr>
            <w:tcW w:w="1304" w:type="dxa"/>
            <w:tcBorders>
              <w:top w:val="single" w:color="auto" w:sz="18" w:space="0"/>
              <w:bottom w:val="single" w:color="auto" w:sz="6" w:space="0"/>
            </w:tcBorders>
            <w:shd w:val="clear" w:color="auto" w:fill="FFFFFF"/>
            <w:vAlign w:val="center"/>
          </w:tcPr>
          <w:p w14:paraId="5F04CD8F">
            <w:r>
              <w:rPr>
                <w:rFonts w:hint="eastAsia"/>
              </w:rPr>
              <w:t>货物（服务）名称</w:t>
            </w:r>
          </w:p>
        </w:tc>
        <w:tc>
          <w:tcPr>
            <w:tcW w:w="1304" w:type="dxa"/>
            <w:tcBorders>
              <w:top w:val="single" w:color="auto" w:sz="18" w:space="0"/>
              <w:bottom w:val="single" w:color="auto" w:sz="6" w:space="0"/>
            </w:tcBorders>
            <w:shd w:val="clear" w:color="auto" w:fill="FFFFFF"/>
            <w:vAlign w:val="center"/>
          </w:tcPr>
          <w:p w14:paraId="0E996412">
            <w:r>
              <w:rPr>
                <w:rFonts w:hint="eastAsia"/>
              </w:rPr>
              <w:t>品牌型号</w:t>
            </w:r>
          </w:p>
        </w:tc>
        <w:tc>
          <w:tcPr>
            <w:tcW w:w="1567" w:type="dxa"/>
            <w:tcBorders>
              <w:top w:val="single" w:color="auto" w:sz="18" w:space="0"/>
              <w:bottom w:val="single" w:color="auto" w:sz="6" w:space="0"/>
            </w:tcBorders>
            <w:shd w:val="clear" w:color="auto" w:fill="FFFFFF"/>
            <w:vAlign w:val="center"/>
          </w:tcPr>
          <w:p w14:paraId="172D3256">
            <w:r>
              <w:rPr>
                <w:rFonts w:hint="eastAsia"/>
              </w:rPr>
              <w:t>配置和参数</w:t>
            </w:r>
          </w:p>
        </w:tc>
        <w:tc>
          <w:tcPr>
            <w:tcW w:w="773" w:type="dxa"/>
            <w:tcBorders>
              <w:top w:val="single" w:color="auto" w:sz="18" w:space="0"/>
              <w:bottom w:val="single" w:color="auto" w:sz="6" w:space="0"/>
            </w:tcBorders>
            <w:shd w:val="clear" w:color="auto" w:fill="FFFFFF"/>
            <w:vAlign w:val="center"/>
          </w:tcPr>
          <w:p w14:paraId="506ADD23">
            <w:r>
              <w:rPr>
                <w:rFonts w:hint="eastAsia"/>
              </w:rPr>
              <w:t>服务年限</w:t>
            </w:r>
          </w:p>
        </w:tc>
        <w:tc>
          <w:tcPr>
            <w:tcW w:w="775" w:type="dxa"/>
            <w:tcBorders>
              <w:top w:val="single" w:color="auto" w:sz="18" w:space="0"/>
              <w:left w:val="single" w:color="auto" w:sz="4" w:space="0"/>
              <w:bottom w:val="single" w:color="auto" w:sz="6" w:space="0"/>
            </w:tcBorders>
            <w:shd w:val="clear" w:color="auto" w:fill="FFFFFF"/>
            <w:vAlign w:val="center"/>
          </w:tcPr>
          <w:p w14:paraId="30214C9F">
            <w:r>
              <w:rPr>
                <w:rFonts w:hint="eastAsia"/>
              </w:rPr>
              <w:t>单价</w:t>
            </w:r>
          </w:p>
        </w:tc>
        <w:tc>
          <w:tcPr>
            <w:tcW w:w="1014" w:type="dxa"/>
            <w:tcBorders>
              <w:top w:val="single" w:color="auto" w:sz="18" w:space="0"/>
              <w:bottom w:val="single" w:color="auto" w:sz="6" w:space="0"/>
            </w:tcBorders>
            <w:shd w:val="clear" w:color="auto" w:fill="FFFFFF"/>
            <w:vAlign w:val="center"/>
          </w:tcPr>
          <w:p w14:paraId="737EA98C">
            <w:r>
              <w:rPr>
                <w:rFonts w:hint="eastAsia"/>
              </w:rPr>
              <w:t>小计</w:t>
            </w:r>
          </w:p>
        </w:tc>
      </w:tr>
      <w:tr w14:paraId="44B6905C">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900" w:hRule="atLeast"/>
          <w:jc w:val="center"/>
        </w:trPr>
        <w:tc>
          <w:tcPr>
            <w:tcW w:w="483" w:type="dxa"/>
            <w:tcBorders>
              <w:top w:val="single" w:color="auto" w:sz="6" w:space="0"/>
              <w:right w:val="single" w:color="auto" w:sz="4" w:space="0"/>
            </w:tcBorders>
            <w:vAlign w:val="center"/>
          </w:tcPr>
          <w:p w14:paraId="5BC14985"/>
        </w:tc>
        <w:tc>
          <w:tcPr>
            <w:tcW w:w="484" w:type="dxa"/>
            <w:tcBorders>
              <w:top w:val="single" w:color="auto" w:sz="6" w:space="0"/>
              <w:left w:val="single" w:color="auto" w:sz="4" w:space="0"/>
            </w:tcBorders>
            <w:vAlign w:val="center"/>
          </w:tcPr>
          <w:p w14:paraId="3E6FF22C"/>
        </w:tc>
        <w:tc>
          <w:tcPr>
            <w:tcW w:w="1304" w:type="dxa"/>
            <w:tcBorders>
              <w:top w:val="single" w:color="auto" w:sz="6" w:space="0"/>
            </w:tcBorders>
            <w:vAlign w:val="center"/>
          </w:tcPr>
          <w:p w14:paraId="4B54516A"/>
        </w:tc>
        <w:tc>
          <w:tcPr>
            <w:tcW w:w="1304" w:type="dxa"/>
            <w:tcBorders>
              <w:top w:val="single" w:color="auto" w:sz="6" w:space="0"/>
            </w:tcBorders>
            <w:vAlign w:val="center"/>
          </w:tcPr>
          <w:p w14:paraId="2608B5E9"/>
        </w:tc>
        <w:tc>
          <w:tcPr>
            <w:tcW w:w="1567" w:type="dxa"/>
            <w:tcBorders>
              <w:top w:val="single" w:color="auto" w:sz="6" w:space="0"/>
            </w:tcBorders>
            <w:vAlign w:val="center"/>
          </w:tcPr>
          <w:p w14:paraId="13C4B3C4"/>
        </w:tc>
        <w:tc>
          <w:tcPr>
            <w:tcW w:w="773" w:type="dxa"/>
            <w:tcBorders>
              <w:top w:val="single" w:color="auto" w:sz="6" w:space="0"/>
            </w:tcBorders>
            <w:vAlign w:val="center"/>
          </w:tcPr>
          <w:p w14:paraId="663F8D4E"/>
        </w:tc>
        <w:tc>
          <w:tcPr>
            <w:tcW w:w="775" w:type="dxa"/>
            <w:tcBorders>
              <w:top w:val="single" w:color="auto" w:sz="6" w:space="0"/>
              <w:left w:val="single" w:color="auto" w:sz="4" w:space="0"/>
            </w:tcBorders>
            <w:vAlign w:val="center"/>
          </w:tcPr>
          <w:p w14:paraId="1C9D675B"/>
        </w:tc>
        <w:tc>
          <w:tcPr>
            <w:tcW w:w="1014" w:type="dxa"/>
            <w:tcBorders>
              <w:top w:val="single" w:color="auto" w:sz="6" w:space="0"/>
            </w:tcBorders>
            <w:vAlign w:val="center"/>
          </w:tcPr>
          <w:p w14:paraId="4DD039AF"/>
        </w:tc>
      </w:tr>
      <w:tr w14:paraId="0CEE3658">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900" w:hRule="atLeast"/>
          <w:jc w:val="center"/>
        </w:trPr>
        <w:tc>
          <w:tcPr>
            <w:tcW w:w="483" w:type="dxa"/>
            <w:tcBorders>
              <w:right w:val="single" w:color="auto" w:sz="4" w:space="0"/>
            </w:tcBorders>
            <w:vAlign w:val="center"/>
          </w:tcPr>
          <w:p w14:paraId="58856222"/>
        </w:tc>
        <w:tc>
          <w:tcPr>
            <w:tcW w:w="484" w:type="dxa"/>
            <w:tcBorders>
              <w:left w:val="single" w:color="auto" w:sz="4" w:space="0"/>
            </w:tcBorders>
            <w:vAlign w:val="center"/>
          </w:tcPr>
          <w:p w14:paraId="0D357420"/>
        </w:tc>
        <w:tc>
          <w:tcPr>
            <w:tcW w:w="1304" w:type="dxa"/>
            <w:vAlign w:val="center"/>
          </w:tcPr>
          <w:p w14:paraId="2C9EC4D2"/>
        </w:tc>
        <w:tc>
          <w:tcPr>
            <w:tcW w:w="1304" w:type="dxa"/>
            <w:vAlign w:val="center"/>
          </w:tcPr>
          <w:p w14:paraId="1D3559C0"/>
        </w:tc>
        <w:tc>
          <w:tcPr>
            <w:tcW w:w="1567" w:type="dxa"/>
            <w:vAlign w:val="center"/>
          </w:tcPr>
          <w:p w14:paraId="4877A49C"/>
        </w:tc>
        <w:tc>
          <w:tcPr>
            <w:tcW w:w="773" w:type="dxa"/>
            <w:vAlign w:val="center"/>
          </w:tcPr>
          <w:p w14:paraId="5FF14C9C"/>
        </w:tc>
        <w:tc>
          <w:tcPr>
            <w:tcW w:w="775" w:type="dxa"/>
            <w:tcBorders>
              <w:left w:val="single" w:color="auto" w:sz="4" w:space="0"/>
            </w:tcBorders>
            <w:vAlign w:val="center"/>
          </w:tcPr>
          <w:p w14:paraId="600DB1E3"/>
        </w:tc>
        <w:tc>
          <w:tcPr>
            <w:tcW w:w="1014" w:type="dxa"/>
            <w:vAlign w:val="center"/>
          </w:tcPr>
          <w:p w14:paraId="376B1921"/>
        </w:tc>
      </w:tr>
      <w:tr w14:paraId="3D8A197A">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900" w:hRule="atLeast"/>
          <w:jc w:val="center"/>
        </w:trPr>
        <w:tc>
          <w:tcPr>
            <w:tcW w:w="483" w:type="dxa"/>
            <w:tcBorders>
              <w:right w:val="single" w:color="auto" w:sz="4" w:space="0"/>
            </w:tcBorders>
            <w:vAlign w:val="center"/>
          </w:tcPr>
          <w:p w14:paraId="581DEEBB"/>
        </w:tc>
        <w:tc>
          <w:tcPr>
            <w:tcW w:w="484" w:type="dxa"/>
            <w:tcBorders>
              <w:left w:val="single" w:color="auto" w:sz="4" w:space="0"/>
            </w:tcBorders>
            <w:vAlign w:val="center"/>
          </w:tcPr>
          <w:p w14:paraId="0CE9A590"/>
        </w:tc>
        <w:tc>
          <w:tcPr>
            <w:tcW w:w="1304" w:type="dxa"/>
            <w:vAlign w:val="center"/>
          </w:tcPr>
          <w:p w14:paraId="02939C40"/>
        </w:tc>
        <w:tc>
          <w:tcPr>
            <w:tcW w:w="1304" w:type="dxa"/>
            <w:vAlign w:val="center"/>
          </w:tcPr>
          <w:p w14:paraId="45E8ADCF"/>
        </w:tc>
        <w:tc>
          <w:tcPr>
            <w:tcW w:w="1567" w:type="dxa"/>
            <w:vAlign w:val="center"/>
          </w:tcPr>
          <w:p w14:paraId="41EBA2C0"/>
        </w:tc>
        <w:tc>
          <w:tcPr>
            <w:tcW w:w="773" w:type="dxa"/>
            <w:vAlign w:val="center"/>
          </w:tcPr>
          <w:p w14:paraId="44B8B6CD"/>
        </w:tc>
        <w:tc>
          <w:tcPr>
            <w:tcW w:w="775" w:type="dxa"/>
            <w:tcBorders>
              <w:left w:val="single" w:color="auto" w:sz="4" w:space="0"/>
            </w:tcBorders>
            <w:vAlign w:val="center"/>
          </w:tcPr>
          <w:p w14:paraId="3F83E0F9"/>
        </w:tc>
        <w:tc>
          <w:tcPr>
            <w:tcW w:w="1014" w:type="dxa"/>
            <w:vAlign w:val="center"/>
          </w:tcPr>
          <w:p w14:paraId="7D733804"/>
        </w:tc>
      </w:tr>
      <w:tr w14:paraId="12C543D8">
        <w:tblPrEx>
          <w:tblBorders>
            <w:top w:val="single" w:color="auto" w:sz="18" w:space="0"/>
            <w:left w:val="single" w:color="auto" w:sz="18" w:space="0"/>
            <w:bottom w:val="single" w:color="auto" w:sz="18" w:space="0"/>
            <w:right w:val="single" w:color="auto" w:sz="18" w:space="0"/>
            <w:insideH w:val="single" w:color="auto" w:sz="6" w:space="0"/>
            <w:insideV w:val="single" w:color="auto" w:sz="6" w:space="0"/>
          </w:tblBorders>
          <w:tblCellMar>
            <w:top w:w="0" w:type="dxa"/>
            <w:left w:w="108" w:type="dxa"/>
            <w:bottom w:w="0" w:type="dxa"/>
            <w:right w:w="108" w:type="dxa"/>
          </w:tblCellMar>
        </w:tblPrEx>
        <w:trPr>
          <w:cantSplit/>
          <w:trHeight w:val="900" w:hRule="atLeast"/>
          <w:jc w:val="center"/>
        </w:trPr>
        <w:tc>
          <w:tcPr>
            <w:tcW w:w="483" w:type="dxa"/>
            <w:tcBorders>
              <w:right w:val="single" w:color="auto" w:sz="4" w:space="0"/>
            </w:tcBorders>
            <w:vAlign w:val="center"/>
          </w:tcPr>
          <w:p w14:paraId="12231B87"/>
        </w:tc>
        <w:tc>
          <w:tcPr>
            <w:tcW w:w="484" w:type="dxa"/>
            <w:tcBorders>
              <w:left w:val="single" w:color="auto" w:sz="4" w:space="0"/>
            </w:tcBorders>
            <w:vAlign w:val="center"/>
          </w:tcPr>
          <w:p w14:paraId="640904A0"/>
        </w:tc>
        <w:tc>
          <w:tcPr>
            <w:tcW w:w="1304" w:type="dxa"/>
            <w:vAlign w:val="center"/>
          </w:tcPr>
          <w:p w14:paraId="64703E13"/>
        </w:tc>
        <w:tc>
          <w:tcPr>
            <w:tcW w:w="1304" w:type="dxa"/>
            <w:vAlign w:val="center"/>
          </w:tcPr>
          <w:p w14:paraId="77BF43C4"/>
        </w:tc>
        <w:tc>
          <w:tcPr>
            <w:tcW w:w="1567" w:type="dxa"/>
            <w:vAlign w:val="center"/>
          </w:tcPr>
          <w:p w14:paraId="2F09865D"/>
        </w:tc>
        <w:tc>
          <w:tcPr>
            <w:tcW w:w="773" w:type="dxa"/>
            <w:vAlign w:val="center"/>
          </w:tcPr>
          <w:p w14:paraId="428C8713"/>
        </w:tc>
        <w:tc>
          <w:tcPr>
            <w:tcW w:w="775" w:type="dxa"/>
            <w:tcBorders>
              <w:left w:val="single" w:color="auto" w:sz="4" w:space="0"/>
            </w:tcBorders>
            <w:vAlign w:val="center"/>
          </w:tcPr>
          <w:p w14:paraId="009C2F0E"/>
        </w:tc>
        <w:tc>
          <w:tcPr>
            <w:tcW w:w="1014" w:type="dxa"/>
            <w:vAlign w:val="center"/>
          </w:tcPr>
          <w:p w14:paraId="72BB0A01"/>
        </w:tc>
      </w:tr>
    </w:tbl>
    <w:p w14:paraId="1930DE65"/>
    <w:p w14:paraId="5E2E6D37"/>
    <w:p w14:paraId="40624427">
      <w:r>
        <w:rPr>
          <w:rFonts w:hint="eastAsia"/>
        </w:rPr>
        <w:t>注：1.请响应人在磋商现场地两份此空的表格(需有盖公章)的文件两份,以备最后报价使用。（多准备一份是留着因响应人填写错误或其它原因而作备用）</w:t>
      </w:r>
    </w:p>
    <w:p w14:paraId="48EC5DEB">
      <w:r>
        <w:rPr>
          <w:rFonts w:hint="eastAsia"/>
        </w:rPr>
        <w:t xml:space="preserve">    供应商代表签字：                                                               </w:t>
      </w:r>
    </w:p>
    <w:sectPr>
      <w:footerReference r:id="rId3"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swiss"/>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86"/>
    <w:family w:val="auto"/>
    <w:pitch w:val="default"/>
    <w:sig w:usb0="80000287" w:usb1="2ACF3C50" w:usb2="00000016" w:usb3="00000000" w:csb0="0004001F" w:csb1="00000000"/>
  </w:font>
  <w:font w:name="sans-serif">
    <w:altName w:val="微软雅黑"/>
    <w:panose1 w:val="00000000000000000000"/>
    <w:charset w:val="00"/>
    <w:family w:val="auto"/>
    <w:pitch w:val="default"/>
    <w:sig w:usb0="00000000" w:usb1="00000000" w:usb2="00000000"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AF157B">
    <w:pPr>
      <w:pStyle w:val="8"/>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0FD5450">
                          <w:pPr>
                            <w:pStyle w:val="8"/>
                            <w:rPr>
                              <w:rFonts w:hint="eastAsia"/>
                            </w:rPr>
                          </w:pPr>
                          <w:r>
                            <w:rPr>
                              <w:rFonts w:hint="eastAsia"/>
                            </w:rPr>
                            <w:fldChar w:fldCharType="begin"/>
                          </w:r>
                          <w:r>
                            <w:rPr>
                              <w:rFonts w:hint="eastAsia"/>
                            </w:rPr>
                            <w:instrText xml:space="preserve"> PAGE  \* MERGEFORMAT </w:instrText>
                          </w:r>
                          <w:r>
                            <w:rPr>
                              <w:rFonts w:hint="eastAsia"/>
                            </w:rPr>
                            <w:fldChar w:fldCharType="separate"/>
                          </w:r>
                          <w:r>
                            <w:t>19</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40FD5450">
                    <w:pPr>
                      <w:pStyle w:val="8"/>
                      <w:rPr>
                        <w:rFonts w:hint="eastAsia"/>
                      </w:rPr>
                    </w:pPr>
                    <w:r>
                      <w:rPr>
                        <w:rFonts w:hint="eastAsia"/>
                      </w:rPr>
                      <w:fldChar w:fldCharType="begin"/>
                    </w:r>
                    <w:r>
                      <w:rPr>
                        <w:rFonts w:hint="eastAsia"/>
                      </w:rPr>
                      <w:instrText xml:space="preserve"> PAGE  \* MERGEFORMAT </w:instrText>
                    </w:r>
                    <w:r>
                      <w:rPr>
                        <w:rFonts w:hint="eastAsia"/>
                      </w:rPr>
                      <w:fldChar w:fldCharType="separate"/>
                    </w:r>
                    <w:r>
                      <w:t>19</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58AEC0C"/>
    <w:multiLevelType w:val="singleLevel"/>
    <w:tmpl w:val="858AEC0C"/>
    <w:lvl w:ilvl="0" w:tentative="0">
      <w:start w:val="1"/>
      <w:numFmt w:val="chineseCounting"/>
      <w:suff w:val="nothing"/>
      <w:lvlText w:val="（%1）"/>
      <w:lvlJc w:val="left"/>
      <w:rPr>
        <w:rFonts w:hint="eastAsia"/>
      </w:rPr>
    </w:lvl>
  </w:abstractNum>
  <w:abstractNum w:abstractNumId="1">
    <w:nsid w:val="54313AAD"/>
    <w:multiLevelType w:val="singleLevel"/>
    <w:tmpl w:val="54313AAD"/>
    <w:lvl w:ilvl="0" w:tentative="0">
      <w:start w:val="1"/>
      <w:numFmt w:val="chineseCounting"/>
      <w:suff w:val="nothing"/>
      <w:lvlText w:val="（%1）"/>
      <w:lvlJc w:val="left"/>
      <w:rPr>
        <w:rFonts w:hint="eastAsia"/>
      </w:rPr>
    </w:lvl>
  </w:abstractNum>
  <w:abstractNum w:abstractNumId="2">
    <w:nsid w:val="6048AF54"/>
    <w:multiLevelType w:val="singleLevel"/>
    <w:tmpl w:val="6048AF54"/>
    <w:lvl w:ilvl="0" w:tentative="0">
      <w:start w:val="1"/>
      <w:numFmt w:val="decimal"/>
      <w:suff w:val="nothing"/>
      <w:lvlText w:val="（%1）"/>
      <w:lvlJc w:val="left"/>
    </w:lvl>
  </w:abstractNum>
  <w:abstractNum w:abstractNumId="3">
    <w:nsid w:val="6DA8D0E1"/>
    <w:multiLevelType w:val="singleLevel"/>
    <w:tmpl w:val="6DA8D0E1"/>
    <w:lvl w:ilvl="0" w:tentative="0">
      <w:start w:val="1"/>
      <w:numFmt w:val="chineseCounting"/>
      <w:suff w:val="nothing"/>
      <w:lvlText w:val="（%1）"/>
      <w:lvlJc w:val="left"/>
      <w:rPr>
        <w:rFonts w:hint="eastAsia"/>
      </w:rPr>
    </w:lvl>
  </w:abstractNum>
  <w:num w:numId="1">
    <w:abstractNumId w:val="2"/>
  </w:num>
  <w:num w:numId="2">
    <w:abstractNumId w:val="3"/>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DAwOTNiZWI1NTExM2JjMzg0Mjg5YjkyMmM3NWY5MGMifQ=="/>
  </w:docVars>
  <w:rsids>
    <w:rsidRoot w:val="159D1016"/>
    <w:rsid w:val="08BA6A96"/>
    <w:rsid w:val="0B1860A8"/>
    <w:rsid w:val="0D8116E1"/>
    <w:rsid w:val="12461FEE"/>
    <w:rsid w:val="18F678E4"/>
    <w:rsid w:val="19F00931"/>
    <w:rsid w:val="21720C32"/>
    <w:rsid w:val="245A06CF"/>
    <w:rsid w:val="271046BB"/>
    <w:rsid w:val="372C4483"/>
    <w:rsid w:val="49DC2B82"/>
    <w:rsid w:val="4ABB14A7"/>
    <w:rsid w:val="5C956053"/>
    <w:rsid w:val="5E0A100E"/>
    <w:rsid w:val="642B717A"/>
    <w:rsid w:val="642B781E"/>
    <w:rsid w:val="66CB36B5"/>
    <w:rsid w:val="69E52820"/>
    <w:rsid w:val="7DFF4D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qFormat="1" w:uiPriority="99"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3"/>
    <w:basedOn w:val="1"/>
    <w:next w:val="1"/>
    <w:qFormat/>
    <w:uiPriority w:val="0"/>
    <w:pPr>
      <w:spacing w:before="100" w:beforeLines="0" w:beforeAutospacing="1" w:after="100" w:afterLines="0" w:afterAutospacing="1"/>
      <w:jc w:val="left"/>
      <w:outlineLvl w:val="2"/>
    </w:pPr>
    <w:rPr>
      <w:rFonts w:hint="eastAsia" w:ascii="宋体" w:hAnsi="宋体" w:eastAsia="宋体" w:cs="宋体"/>
      <w:b/>
      <w:kern w:val="0"/>
      <w:sz w:val="27"/>
      <w:szCs w:val="27"/>
      <w:lang w:val="en-US" w:eastAsia="zh-CN" w:bidi="ar"/>
    </w:rPr>
  </w:style>
  <w:style w:type="character" w:default="1" w:styleId="15">
    <w:name w:val="Default Paragraph Font"/>
    <w:semiHidden/>
    <w:qFormat/>
    <w:uiPriority w:val="0"/>
  </w:style>
  <w:style w:type="table" w:default="1" w:styleId="13">
    <w:name w:val="Normal Table"/>
    <w:autoRedefine/>
    <w:semiHidden/>
    <w:qFormat/>
    <w:uiPriority w:val="0"/>
    <w:tblPr>
      <w:tblCellMar>
        <w:top w:w="0" w:type="dxa"/>
        <w:left w:w="108" w:type="dxa"/>
        <w:bottom w:w="0" w:type="dxa"/>
        <w:right w:w="108" w:type="dxa"/>
      </w:tblCellMar>
    </w:tblPr>
  </w:style>
  <w:style w:type="paragraph" w:styleId="3">
    <w:name w:val="annotation text"/>
    <w:basedOn w:val="1"/>
    <w:qFormat/>
    <w:uiPriority w:val="0"/>
    <w:pPr>
      <w:jc w:val="left"/>
    </w:pPr>
  </w:style>
  <w:style w:type="paragraph" w:styleId="4">
    <w:name w:val="Body Text"/>
    <w:basedOn w:val="1"/>
    <w:next w:val="5"/>
    <w:qFormat/>
    <w:uiPriority w:val="0"/>
    <w:pPr>
      <w:widowControl/>
      <w:tabs>
        <w:tab w:val="left" w:pos="0"/>
        <w:tab w:val="left" w:pos="993"/>
        <w:tab w:val="left" w:pos="1134"/>
      </w:tabs>
      <w:spacing w:line="500" w:lineRule="exact"/>
    </w:pPr>
    <w:rPr>
      <w:rFonts w:ascii="宋体"/>
      <w:kern w:val="0"/>
      <w:sz w:val="28"/>
    </w:rPr>
  </w:style>
  <w:style w:type="paragraph" w:styleId="5">
    <w:name w:val="Body Text 2"/>
    <w:basedOn w:val="1"/>
    <w:next w:val="4"/>
    <w:autoRedefine/>
    <w:qFormat/>
    <w:uiPriority w:val="0"/>
    <w:pPr>
      <w:spacing w:after="120" w:line="480" w:lineRule="auto"/>
    </w:pPr>
  </w:style>
  <w:style w:type="paragraph" w:styleId="6">
    <w:name w:val="Body Text Indent"/>
    <w:basedOn w:val="1"/>
    <w:next w:val="7"/>
    <w:autoRedefine/>
    <w:qFormat/>
    <w:uiPriority w:val="0"/>
    <w:pPr>
      <w:spacing w:line="200" w:lineRule="atLeast"/>
      <w:ind w:firstLine="301"/>
    </w:pPr>
    <w:rPr>
      <w:rFonts w:hint="eastAsia" w:ascii="宋体" w:hAnsi="Courier New"/>
      <w:spacing w:val="-4"/>
      <w:sz w:val="18"/>
      <w:szCs w:val="20"/>
    </w:rPr>
  </w:style>
  <w:style w:type="paragraph" w:customStyle="1" w:styleId="7">
    <w:name w:val="样式 标题 3 + (中文) 黑体 小四 非加粗 段前: 7.8 磅 段后: 0 磅 行距: 固定值 20 磅"/>
    <w:basedOn w:val="2"/>
    <w:autoRedefine/>
    <w:qFormat/>
    <w:uiPriority w:val="0"/>
    <w:pPr>
      <w:spacing w:before="0" w:after="0" w:line="400" w:lineRule="exact"/>
      <w:textAlignment w:val="auto"/>
    </w:pPr>
    <w:rPr>
      <w:rFonts w:eastAsia="黑体" w:cs="宋体"/>
      <w:b w:val="0"/>
      <w:sz w:val="24"/>
      <w:szCs w:val="20"/>
    </w:rPr>
  </w:style>
  <w:style w:type="paragraph" w:styleId="8">
    <w:name w:val="footer"/>
    <w:basedOn w:val="1"/>
    <w:autoRedefine/>
    <w:qFormat/>
    <w:uiPriority w:val="0"/>
    <w:pPr>
      <w:tabs>
        <w:tab w:val="center" w:pos="4153"/>
        <w:tab w:val="right" w:pos="8306"/>
      </w:tabs>
      <w:snapToGrid w:val="0"/>
      <w:jc w:val="left"/>
    </w:pPr>
    <w:rPr>
      <w:sz w:val="18"/>
    </w:rPr>
  </w:style>
  <w:style w:type="paragraph" w:styleId="9">
    <w:name w:val="header"/>
    <w:basedOn w:val="1"/>
    <w:qFormat/>
    <w:uiPriority w:val="0"/>
    <w:pPr>
      <w:pBdr>
        <w:bottom w:val="single" w:color="auto" w:sz="6" w:space="1"/>
      </w:pBdr>
      <w:tabs>
        <w:tab w:val="center" w:pos="4153"/>
        <w:tab w:val="right" w:pos="8306"/>
      </w:tabs>
      <w:snapToGrid w:val="0"/>
      <w:jc w:val="center"/>
    </w:pPr>
    <w:rPr>
      <w:sz w:val="18"/>
    </w:rPr>
  </w:style>
  <w:style w:type="paragraph" w:styleId="10">
    <w:name w:val="Normal (Web)"/>
    <w:basedOn w:val="1"/>
    <w:qFormat/>
    <w:uiPriority w:val="0"/>
    <w:pPr>
      <w:spacing w:before="100" w:beforeLines="0" w:beforeAutospacing="1" w:after="100" w:afterLines="0" w:afterAutospacing="1"/>
      <w:ind w:left="0" w:right="0"/>
      <w:jc w:val="left"/>
    </w:pPr>
    <w:rPr>
      <w:kern w:val="0"/>
      <w:sz w:val="24"/>
      <w:lang w:val="en-US" w:eastAsia="zh-CN" w:bidi="ar"/>
    </w:rPr>
  </w:style>
  <w:style w:type="paragraph" w:styleId="11">
    <w:name w:val="Body Text First Indent"/>
    <w:basedOn w:val="4"/>
    <w:next w:val="1"/>
    <w:qFormat/>
    <w:uiPriority w:val="0"/>
    <w:pPr>
      <w:ind w:firstLine="420" w:firstLineChars="100"/>
    </w:pPr>
    <w:rPr>
      <w:rFonts w:ascii="宋体" w:hAnsi="宋体" w:cs="Times New Roman"/>
      <w:sz w:val="24"/>
      <w:szCs w:val="24"/>
    </w:rPr>
  </w:style>
  <w:style w:type="paragraph" w:styleId="12">
    <w:name w:val="Body Text First Indent 2"/>
    <w:basedOn w:val="6"/>
    <w:next w:val="7"/>
    <w:autoRedefine/>
    <w:unhideWhenUsed/>
    <w:qFormat/>
    <w:uiPriority w:val="99"/>
    <w:pPr>
      <w:ind w:firstLine="420" w:firstLineChars="200"/>
    </w:p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Strong"/>
    <w:basedOn w:val="15"/>
    <w:autoRedefine/>
    <w:qFormat/>
    <w:uiPriority w:val="0"/>
    <w:rPr>
      <w:b/>
    </w:rPr>
  </w:style>
  <w:style w:type="paragraph" w:customStyle="1" w:styleId="17">
    <w:name w:val="自动更正"/>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8">
    <w:name w:val="null3"/>
    <w:qFormat/>
    <w:uiPriority w:val="0"/>
    <w:rPr>
      <w:rFonts w:hint="eastAsia" w:ascii="Calibri" w:hAnsi="Calibri" w:eastAsia="宋体" w:cs="Times New Roman"/>
      <w:lang w:val="en-US" w:eastAsia="zh-Hans" w:bidi="ar-SA"/>
    </w:rPr>
  </w:style>
  <w:style w:type="paragraph" w:styleId="19">
    <w:name w:val="List Paragraph"/>
    <w:basedOn w:val="1"/>
    <w:autoRedefine/>
    <w:qFormat/>
    <w:uiPriority w:val="34"/>
    <w:pPr>
      <w:ind w:firstLine="420" w:firstLineChars="200"/>
    </w:pPr>
  </w:style>
  <w:style w:type="paragraph" w:customStyle="1" w:styleId="20">
    <w:name w:val="DAS正文"/>
    <w:basedOn w:val="1"/>
    <w:autoRedefine/>
    <w:qFormat/>
    <w:uiPriority w:val="0"/>
    <w:pPr>
      <w:ind w:right="181" w:firstLine="480" w:firstLineChars="200"/>
    </w:pPr>
    <w:rPr>
      <w:rFonts w:ascii="Verdana" w:hAnsi="Verdana" w:eastAsia="宋体" w:cs="Times New Roman"/>
    </w:rPr>
  </w:style>
  <w:style w:type="paragraph" w:customStyle="1" w:styleId="21">
    <w:name w:val="表格文字"/>
    <w:basedOn w:val="1"/>
    <w:next w:val="4"/>
    <w:autoRedefine/>
    <w:unhideWhenUsed/>
    <w:qFormat/>
    <w:uiPriority w:val="0"/>
    <w:pPr>
      <w:spacing w:beforeLines="0" w:afterLines="0" w:line="420" w:lineRule="atLeast"/>
      <w:jc w:val="left"/>
    </w:pPr>
    <w:rPr>
      <w:rFonts w:hint="eastAsia"/>
      <w:sz w:val="21"/>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83</Pages>
  <Words>49524</Words>
  <Characters>51098</Characters>
  <Lines>0</Lines>
  <Paragraphs>0</Paragraphs>
  <TotalTime>9</TotalTime>
  <ScaleCrop>false</ScaleCrop>
  <LinksUpToDate>false</LinksUpToDate>
  <CharactersWithSpaces>53083</CharactersWithSpaces>
  <Application>WPS Office_12.1.0.17133_F1E327BC-269C-435d-A152-05C5408002CA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2024-05-21T03:48:00Z</dcterms:created>
  <dc:creator>幽</dc:creator>
  <cp:lastModifiedBy>幽</cp:lastModifiedBy>
  <dcterms:modified xsi:type="dcterms:W3CDTF">2024-06-14T08:57:42Z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2052-12.1.0.17133</vt:lpwstr>
  </property>
  <property fmtid="{D5CDD505-2E9C-101B-9397-08002B2CF9AE}" pid="3" name="ICV">
    <vt:lpwstr>4ED0C11D2B034D7992F7EC91A27D97EE_13</vt:lpwstr>
  </property>
</Properties>
</file>