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hint="eastAsia" w:ascii="宋体" w:hAnsi="宋体"/>
          <w:b/>
          <w:bCs/>
          <w:sz w:val="30"/>
          <w:szCs w:val="30"/>
        </w:rPr>
      </w:pPr>
      <w:r>
        <w:rPr>
          <w:rFonts w:hint="eastAsia" w:ascii="宋体" w:hAnsi="宋体"/>
          <w:b/>
          <w:sz w:val="30"/>
          <w:szCs w:val="30"/>
          <w:lang w:val="en-US" w:eastAsia="zh-CN"/>
        </w:rPr>
        <w:t>市场营销专业实训系统</w:t>
      </w:r>
      <w:r>
        <w:rPr>
          <w:rFonts w:hint="eastAsia" w:ascii="宋体" w:hAnsi="宋体"/>
          <w:b/>
          <w:sz w:val="30"/>
          <w:szCs w:val="30"/>
        </w:rPr>
        <w:t>采购项目</w:t>
      </w:r>
    </w:p>
    <w:p>
      <w:pPr>
        <w:numPr>
          <w:ilvl w:val="0"/>
          <w:numId w:val="3"/>
        </w:numPr>
        <w:spacing w:line="400" w:lineRule="exact"/>
        <w:rPr>
          <w:rFonts w:hint="eastAsia" w:ascii="宋体" w:hAnsi="宋体"/>
          <w:b/>
          <w:sz w:val="24"/>
        </w:rPr>
      </w:pPr>
      <w:r>
        <w:rPr>
          <w:rFonts w:hint="eastAsia" w:ascii="宋体" w:hAnsi="宋体"/>
          <w:b/>
          <w:sz w:val="24"/>
        </w:rPr>
        <w:t>项目概况</w:t>
      </w:r>
    </w:p>
    <w:p>
      <w:pPr>
        <w:spacing w:line="400" w:lineRule="exact"/>
        <w:ind w:firstLine="480" w:firstLineChars="200"/>
        <w:rPr>
          <w:rFonts w:hint="eastAsia" w:ascii="宋体" w:hAnsi="宋体"/>
          <w:sz w:val="24"/>
        </w:rPr>
      </w:pPr>
      <w:r>
        <w:rPr>
          <w:rFonts w:hint="eastAsia" w:ascii="宋体" w:hAnsi="宋体"/>
          <w:sz w:val="24"/>
        </w:rPr>
        <w:t>目前，学院市场营销专业开设了新媒体营销、推销实务和商务谈判相关课程，但并无针对性实训</w:t>
      </w:r>
      <w:r>
        <w:rPr>
          <w:rFonts w:hint="eastAsia" w:ascii="宋体" w:hAnsi="宋体"/>
          <w:sz w:val="24"/>
          <w:lang w:eastAsia="zh-CN"/>
        </w:rPr>
        <w:t>软件</w:t>
      </w:r>
      <w:r>
        <w:rPr>
          <w:rFonts w:hint="eastAsia" w:ascii="宋体" w:hAnsi="宋体"/>
          <w:sz w:val="24"/>
        </w:rPr>
        <w:t>，人才的知识结构和技术技能也不能完全达到行业企业的职业能力要求。为此，围绕学院“十四五”规划和专业人才培养目标，建议新采购“推销与商务谈判实训项目”和“新媒体营销实训项目”软件，助力市场营销专业发展，帮助学生模拟实训，实现高质量就业。本采购项目具体情况如下：</w:t>
      </w:r>
    </w:p>
    <w:p>
      <w:pPr>
        <w:spacing w:line="400" w:lineRule="exact"/>
        <w:ind w:firstLine="480" w:firstLineChars="200"/>
        <w:rPr>
          <w:rFonts w:hint="eastAsia" w:ascii="宋体" w:hAnsi="宋体"/>
          <w:bCs/>
          <w:sz w:val="24"/>
        </w:rPr>
      </w:pPr>
      <w:bookmarkStart w:id="0" w:name="_Toc4624"/>
      <w:bookmarkEnd w:id="0"/>
      <w:r>
        <w:rPr>
          <w:rFonts w:hint="eastAsia" w:ascii="宋体" w:hAnsi="宋体"/>
          <w:bCs/>
          <w:sz w:val="24"/>
        </w:rPr>
        <w:t>推销与商务谈判实训系统：系统依据现代推销、商务谈判等实际工作内容，把要求系统化，形成了一个完整的知识体系；实训模式分为人机实训、人人实训，通过各功能模块将推销与商务谈判的理论教学内容与实训实践结合起来，并在具体的实训练习中形成明确的训练任务、考核方式以及实施流程，突显理论与实践的有机结合强化自身专业技能。</w:t>
      </w:r>
    </w:p>
    <w:p>
      <w:pPr>
        <w:spacing w:line="400" w:lineRule="exact"/>
        <w:ind w:firstLine="480" w:firstLineChars="200"/>
        <w:rPr>
          <w:rFonts w:hint="eastAsia" w:ascii="宋体" w:hAnsi="宋体"/>
          <w:bCs/>
          <w:sz w:val="24"/>
        </w:rPr>
      </w:pPr>
      <w:r>
        <w:rPr>
          <w:rFonts w:hint="eastAsia" w:ascii="宋体" w:hAnsi="宋体"/>
          <w:bCs/>
          <w:sz w:val="24"/>
        </w:rPr>
        <w:t>新媒体营销实训系统：系统包含7大主流新媒体平台，让学生体验不同新媒体营销方式带来的新型直观受益；通过模拟百度推广平台让学进行实训；包含自媒体、公众号等前沿的网络营销技能。表现形式生动，操作性强。</w:t>
      </w:r>
    </w:p>
    <w:p>
      <w:pPr>
        <w:spacing w:line="400" w:lineRule="exact"/>
        <w:ind w:firstLine="480" w:firstLineChars="200"/>
        <w:rPr>
          <w:rFonts w:hint="eastAsia"/>
        </w:rPr>
      </w:pPr>
      <w:r>
        <w:rPr>
          <w:rFonts w:hint="eastAsia" w:ascii="宋体" w:hAnsi="宋体"/>
          <w:sz w:val="24"/>
        </w:rPr>
        <w:t>经过前期的了解和比较，专家组认为新媒体营销实训软件和推销与商务谈判软件符合</w:t>
      </w:r>
      <w:bookmarkStart w:id="1" w:name="_Toc263431428"/>
      <w:bookmarkStart w:id="2" w:name="_Toc263430478"/>
      <w:bookmarkStart w:id="3" w:name="_Toc263416110"/>
      <w:bookmarkStart w:id="4" w:name="_Toc256242330"/>
      <w:bookmarkStart w:id="5" w:name="_Toc263415917"/>
      <w:bookmarkStart w:id="6" w:name="_Toc263416196"/>
      <w:r>
        <w:rPr>
          <w:rFonts w:hint="eastAsia" w:ascii="宋体" w:hAnsi="宋体"/>
          <w:sz w:val="24"/>
        </w:rPr>
        <w:t>专业性要求，培养学生独立分析和解决市场营销实践中存在的问题的实际能力，掌握在实际经济环境下开展市场营销活动的方法和技术手段。通过利用计算机辅助实训教学过程，营造一个虚拟仿真的市场环境，能够让学生经过各种市场经营决策的制定、运作，得到可能成功或者被竞争者打败的结果，再来反思、调整自己的策略，不断运用体会营销知识，从而为今后学习其他管理课程和从事营销工作奠定基础。</w:t>
      </w:r>
      <w:bookmarkEnd w:id="1"/>
      <w:bookmarkEnd w:id="2"/>
      <w:bookmarkEnd w:id="3"/>
      <w:bookmarkEnd w:id="4"/>
      <w:bookmarkEnd w:id="5"/>
      <w:bookmarkEnd w:id="6"/>
    </w:p>
    <w:p>
      <w:pPr>
        <w:numPr>
          <w:ilvl w:val="0"/>
          <w:numId w:val="3"/>
        </w:numPr>
        <w:spacing w:line="400" w:lineRule="exact"/>
        <w:rPr>
          <w:rFonts w:hint="eastAsia" w:ascii="宋体" w:hAnsi="宋体"/>
          <w:sz w:val="24"/>
        </w:rPr>
      </w:pPr>
      <w:r>
        <w:rPr>
          <w:rFonts w:hint="eastAsia" w:ascii="宋体" w:hAnsi="宋体"/>
          <w:b/>
          <w:sz w:val="24"/>
        </w:rPr>
        <w:t>实训设备采购的必要性和可行性</w:t>
      </w:r>
    </w:p>
    <w:p>
      <w:pPr>
        <w:spacing w:line="400" w:lineRule="exact"/>
        <w:ind w:firstLine="480" w:firstLineChars="200"/>
        <w:rPr>
          <w:rFonts w:hint="eastAsia" w:ascii="宋体" w:hAnsi="宋体"/>
          <w:bCs/>
          <w:sz w:val="24"/>
        </w:rPr>
      </w:pPr>
      <w:r>
        <w:rPr>
          <w:rFonts w:hint="eastAsia" w:ascii="宋体" w:hAnsi="宋体"/>
          <w:bCs/>
          <w:sz w:val="24"/>
        </w:rPr>
        <w:t>必要性：市场营销专业目前有在校生162名，在外顶岗实习学生38名。专业仅有市场营销模拟平台实训软件，和工商管理系其他专业学生共用沙盘、创新创业等相关软件，已有实训软件远远不能满足专业学生实训的需求，这对学生实际操作技能的提升极为不利；同时，市场营销专业学生参加各级各类技能大赛，现有的实训软件未能有效助力学生参赛能力的提升。</w:t>
      </w:r>
    </w:p>
    <w:p>
      <w:pPr>
        <w:spacing w:line="400" w:lineRule="exact"/>
        <w:ind w:firstLine="480" w:firstLineChars="200"/>
        <w:rPr>
          <w:rFonts w:hint="eastAsia"/>
        </w:rPr>
      </w:pPr>
      <w:r>
        <w:rPr>
          <w:rFonts w:hint="eastAsia" w:ascii="宋体" w:hAnsi="宋体"/>
          <w:bCs/>
          <w:sz w:val="24"/>
        </w:rPr>
        <w:t>可行性：工商管理系现有多间公共机房，这为推销和商务谈判、新媒体营销实训软件的采买提供了硬件保证；其次，新采购软件能让学生切实参与到实际经济运行活动中，更好的理解课堂理论知识，提高学生动手能力，增强学生发现问题、分析问题和解决问题的能力，对提高学生积极探索和实验创新的兴趣，培养理论与实践相结合的应用型经济人才有非常重要的意义。</w:t>
      </w:r>
    </w:p>
    <w:p>
      <w:pPr>
        <w:numPr>
          <w:ilvl w:val="0"/>
          <w:numId w:val="4"/>
        </w:numPr>
        <w:spacing w:line="360" w:lineRule="auto"/>
        <w:rPr>
          <w:rFonts w:hint="eastAsia" w:ascii="宋体" w:hAnsi="宋体"/>
          <w:b/>
          <w:sz w:val="24"/>
        </w:rPr>
      </w:pPr>
      <w:r>
        <w:rPr>
          <w:rFonts w:hint="eastAsia" w:ascii="宋体" w:hAnsi="宋体"/>
          <w:b/>
          <w:sz w:val="24"/>
        </w:rPr>
        <w:t>建设目标及建设内容</w:t>
      </w:r>
    </w:p>
    <w:p>
      <w:pPr>
        <w:spacing w:line="400" w:lineRule="exact"/>
        <w:ind w:firstLine="480" w:firstLineChars="200"/>
        <w:rPr>
          <w:rFonts w:hint="eastAsia" w:ascii="宋体" w:hAnsi="宋体"/>
          <w:bCs/>
          <w:sz w:val="24"/>
        </w:rPr>
      </w:pPr>
      <w:r>
        <w:rPr>
          <w:rFonts w:hint="eastAsia" w:ascii="宋体" w:hAnsi="宋体"/>
          <w:bCs/>
          <w:sz w:val="24"/>
        </w:rPr>
        <w:t>建设目标：本项目拟建设推销与商务谈判实训和新媒体营销实训系统，切实强化市场营销专业学生的推销与新媒体营销职业技能、补充新技术新规范、拓展职业领域和职业能力。</w:t>
      </w:r>
    </w:p>
    <w:p>
      <w:pPr>
        <w:spacing w:line="400" w:lineRule="exact"/>
        <w:ind w:firstLine="480" w:firstLineChars="200"/>
        <w:rPr>
          <w:rFonts w:hint="eastAsia" w:ascii="宋体" w:hAnsi="宋体"/>
          <w:bCs/>
          <w:sz w:val="24"/>
        </w:rPr>
      </w:pPr>
      <w:r>
        <w:rPr>
          <w:rFonts w:hint="eastAsia" w:ascii="宋体" w:hAnsi="宋体"/>
          <w:bCs/>
          <w:sz w:val="24"/>
        </w:rPr>
        <w:t>建设内容：</w:t>
      </w:r>
    </w:p>
    <w:p>
      <w:pPr>
        <w:spacing w:line="400" w:lineRule="exact"/>
        <w:ind w:firstLine="480" w:firstLineChars="200"/>
        <w:rPr>
          <w:rFonts w:hint="eastAsia" w:ascii="宋体" w:hAnsi="宋体"/>
          <w:bCs/>
          <w:sz w:val="24"/>
        </w:rPr>
      </w:pPr>
      <w:r>
        <w:rPr>
          <w:rFonts w:hint="eastAsia" w:ascii="宋体" w:hAnsi="宋体"/>
          <w:bCs/>
          <w:sz w:val="24"/>
        </w:rPr>
        <w:t>（一）推销与商务谈判实训系统：（1）系统依据现代推销、商务谈判等实际工作内容，把销售领域的基本理论和商务谈判要求系统化，形成了一个完整的知识体系，基于教学要求，以“学生为主体”、“学生多互动、多实训”为指引，重点突出实际操作与技能，完善学生知识体系。（2）实训模式分为人机实训（学生扮演推销员身份）、人人实训（学生扮演客户或推销员身份），通过对任务情景、典型案例、推销实训（练习模式、实训模式）、flash资源学习、资料文档学习、考试系统等功能模块将推销与商务谈判的理论教学内容与实训实践结合起来，并在具体的实训练习中形成明确的训练任务、考核方式以及实施流程，突显理论与实践的有机结合强化自身专业技能。</w:t>
      </w:r>
    </w:p>
    <w:p>
      <w:pPr>
        <w:spacing w:line="400" w:lineRule="exact"/>
        <w:ind w:firstLine="480" w:firstLineChars="200"/>
        <w:rPr>
          <w:rFonts w:hint="eastAsia" w:ascii="宋体" w:hAnsi="宋体"/>
          <w:bCs/>
          <w:sz w:val="24"/>
        </w:rPr>
      </w:pPr>
      <w:r>
        <w:rPr>
          <w:rFonts w:hint="eastAsia" w:ascii="宋体" w:hAnsi="宋体"/>
          <w:bCs/>
          <w:sz w:val="24"/>
        </w:rPr>
        <w:t>（二）新媒体营销实训系统：系统包含7大主流新媒体平台：微信平台、微博平台、斗鱼平台、抖音平台、百度推广、百度贴吧，今日头条等营销方式，让学生体验不同新媒体营销方式带来的新型直观受益；通过模拟百度推广平台让学进行实训。学生通过实操基木鱼，爱番番，搜索推广，信息流推广等核心模块，熟练掌握新媒体推广技能，通过模拟企业级软件，让学生更真实感受企业级应用，提升学生综合素质；包含自媒体、公众号等前沿的网络营销技能；生动的表现形式，丰富的网络营销技能模型，把理论知识生动化；操作性强，将操作过程量化，系统可对每一步操作进行评分，具有竞争性。</w:t>
      </w:r>
    </w:p>
    <w:p>
      <w:pPr>
        <w:spacing w:line="400" w:lineRule="exact"/>
        <w:rPr>
          <w:rFonts w:hint="eastAsia" w:ascii="宋体" w:hAnsi="宋体"/>
          <w:b/>
          <w:sz w:val="24"/>
        </w:rPr>
      </w:pPr>
      <w:r>
        <w:rPr>
          <w:rFonts w:hint="eastAsia" w:ascii="宋体" w:hAnsi="宋体"/>
          <w:b/>
          <w:sz w:val="24"/>
        </w:rPr>
        <w:t>四、场地和其它配套</w:t>
      </w:r>
    </w:p>
    <w:p>
      <w:pPr>
        <w:pStyle w:val="2"/>
        <w:rPr>
          <w:rFonts w:hint="eastAsia" w:ascii="宋体" w:hAnsi="宋体"/>
          <w:b/>
          <w:sz w:val="24"/>
        </w:rPr>
      </w:pPr>
      <w:r>
        <w:rPr>
          <w:rFonts w:hint="eastAsia" w:ascii="宋体" w:hAnsi="宋体"/>
          <w:b/>
          <w:sz w:val="24"/>
        </w:rPr>
        <w:drawing>
          <wp:inline distT="0" distB="0" distL="114300" distR="114300">
            <wp:extent cx="5538470" cy="4083685"/>
            <wp:effectExtent l="0" t="0" r="5080" b="12065"/>
            <wp:docPr id="1" name="图片 1" descr="1622597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22597202(1)"/>
                    <pic:cNvPicPr>
                      <a:picLocks noChangeAspect="1"/>
                    </pic:cNvPicPr>
                  </pic:nvPicPr>
                  <pic:blipFill>
                    <a:blip r:embed="rId9"/>
                    <a:stretch>
                      <a:fillRect/>
                    </a:stretch>
                  </pic:blipFill>
                  <pic:spPr>
                    <a:xfrm>
                      <a:off x="0" y="0"/>
                      <a:ext cx="5538470" cy="4083685"/>
                    </a:xfrm>
                    <a:prstGeom prst="rect">
                      <a:avLst/>
                    </a:prstGeom>
                    <a:noFill/>
                    <a:ln>
                      <a:noFill/>
                    </a:ln>
                  </pic:spPr>
                </pic:pic>
              </a:graphicData>
            </a:graphic>
          </wp:inline>
        </w:drawing>
      </w:r>
    </w:p>
    <w:p>
      <w:pPr>
        <w:spacing w:line="400" w:lineRule="exact"/>
        <w:ind w:firstLine="480" w:firstLineChars="200"/>
        <w:rPr>
          <w:rFonts w:ascii="宋体" w:hAnsi="宋体"/>
          <w:bCs/>
          <w:sz w:val="24"/>
        </w:rPr>
      </w:pPr>
      <w:r>
        <w:rPr>
          <w:rFonts w:hint="eastAsia" w:ascii="宋体" w:hAnsi="宋体"/>
          <w:bCs/>
          <w:sz w:val="24"/>
        </w:rPr>
        <w:t>初步打算在新媒体营销实训室安排新媒体营销实训软件和多功能商务谈判室安装推销与商务谈判实训软件。</w:t>
      </w:r>
    </w:p>
    <w:p>
      <w:pPr>
        <w:spacing w:line="400" w:lineRule="exact"/>
        <w:rPr>
          <w:rFonts w:ascii="宋体" w:hAnsi="宋体"/>
          <w:b/>
          <w:sz w:val="24"/>
        </w:rPr>
      </w:pPr>
      <w:r>
        <w:rPr>
          <w:rFonts w:hint="eastAsia" w:ascii="宋体" w:hAnsi="宋体"/>
          <w:b/>
          <w:sz w:val="24"/>
        </w:rPr>
        <w:t xml:space="preserve">   </w:t>
      </w:r>
    </w:p>
    <w:p>
      <w:pPr>
        <w:spacing w:line="400" w:lineRule="exact"/>
        <w:rPr>
          <w:rFonts w:hint="eastAsia" w:ascii="宋体" w:hAnsi="宋体"/>
          <w:b/>
          <w:sz w:val="24"/>
        </w:rPr>
      </w:pPr>
      <w:r>
        <w:rPr>
          <w:rFonts w:hint="eastAsia" w:ascii="宋体" w:hAnsi="宋体"/>
          <w:b/>
          <w:sz w:val="24"/>
        </w:rPr>
        <w:t>五、资金预算</w:t>
      </w:r>
    </w:p>
    <w:p>
      <w:pPr>
        <w:pStyle w:val="2"/>
        <w:rPr>
          <w:rFonts w:hint="eastAsia"/>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75"/>
        <w:gridCol w:w="1600"/>
        <w:gridCol w:w="1067"/>
        <w:gridCol w:w="1278"/>
        <w:gridCol w:w="1278"/>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pPr>
              <w:jc w:val="center"/>
              <w:rPr>
                <w:rFonts w:hint="eastAsia" w:ascii="宋体" w:hAnsi="宋体" w:cs="宋体"/>
                <w:bCs/>
                <w:sz w:val="24"/>
                <w:szCs w:val="24"/>
              </w:rPr>
            </w:pPr>
            <w:r>
              <w:rPr>
                <w:rFonts w:hint="eastAsia" w:ascii="宋体" w:hAnsi="宋体" w:cs="宋体"/>
                <w:bCs/>
                <w:sz w:val="24"/>
                <w:szCs w:val="24"/>
              </w:rPr>
              <w:t>序号</w:t>
            </w:r>
          </w:p>
        </w:tc>
        <w:tc>
          <w:tcPr>
            <w:tcW w:w="1675" w:type="dxa"/>
            <w:noWrap w:val="0"/>
            <w:vAlign w:val="center"/>
          </w:tcPr>
          <w:p>
            <w:pPr>
              <w:jc w:val="center"/>
              <w:rPr>
                <w:rFonts w:hint="eastAsia" w:ascii="宋体" w:hAnsi="宋体" w:cs="宋体"/>
                <w:bCs/>
                <w:sz w:val="24"/>
                <w:szCs w:val="24"/>
              </w:rPr>
            </w:pPr>
            <w:r>
              <w:rPr>
                <w:rFonts w:hint="eastAsia" w:ascii="宋体" w:hAnsi="宋体" w:cs="宋体"/>
                <w:bCs/>
                <w:sz w:val="24"/>
                <w:szCs w:val="24"/>
              </w:rPr>
              <w:t>仪器设备名称</w:t>
            </w:r>
          </w:p>
        </w:tc>
        <w:tc>
          <w:tcPr>
            <w:tcW w:w="1600" w:type="dxa"/>
            <w:noWrap w:val="0"/>
            <w:vAlign w:val="center"/>
          </w:tcPr>
          <w:p>
            <w:pPr>
              <w:jc w:val="center"/>
              <w:rPr>
                <w:rFonts w:hint="eastAsia" w:ascii="宋体" w:hAnsi="宋体" w:cs="宋体"/>
                <w:bCs/>
                <w:sz w:val="24"/>
                <w:szCs w:val="24"/>
              </w:rPr>
            </w:pPr>
            <w:r>
              <w:rPr>
                <w:rFonts w:hint="eastAsia" w:ascii="宋体" w:hAnsi="宋体" w:cs="宋体"/>
                <w:bCs/>
                <w:sz w:val="24"/>
                <w:szCs w:val="24"/>
              </w:rPr>
              <w:t>规格型号</w:t>
            </w:r>
          </w:p>
          <w:p>
            <w:pPr>
              <w:jc w:val="center"/>
              <w:rPr>
                <w:rFonts w:hint="eastAsia" w:ascii="宋体" w:hAnsi="宋体" w:cs="宋体"/>
                <w:bCs/>
                <w:sz w:val="24"/>
                <w:szCs w:val="24"/>
              </w:rPr>
            </w:pPr>
            <w:r>
              <w:rPr>
                <w:rFonts w:hint="eastAsia" w:ascii="宋体" w:hAnsi="宋体" w:cs="宋体"/>
                <w:bCs/>
                <w:sz w:val="24"/>
                <w:szCs w:val="24"/>
              </w:rPr>
              <w:t>（技术参数）</w:t>
            </w:r>
          </w:p>
        </w:tc>
        <w:tc>
          <w:tcPr>
            <w:tcW w:w="1067" w:type="dxa"/>
            <w:noWrap w:val="0"/>
            <w:vAlign w:val="center"/>
          </w:tcPr>
          <w:p>
            <w:pPr>
              <w:jc w:val="center"/>
              <w:rPr>
                <w:rFonts w:hint="eastAsia" w:ascii="宋体" w:hAnsi="宋体" w:cs="宋体"/>
                <w:bCs/>
                <w:sz w:val="24"/>
                <w:szCs w:val="24"/>
              </w:rPr>
            </w:pPr>
            <w:r>
              <w:rPr>
                <w:rFonts w:hint="eastAsia" w:ascii="宋体" w:hAnsi="宋体" w:cs="宋体"/>
                <w:bCs/>
                <w:sz w:val="24"/>
                <w:szCs w:val="24"/>
              </w:rPr>
              <w:t>单位</w:t>
            </w:r>
          </w:p>
        </w:tc>
        <w:tc>
          <w:tcPr>
            <w:tcW w:w="1278" w:type="dxa"/>
            <w:noWrap w:val="0"/>
            <w:vAlign w:val="center"/>
          </w:tcPr>
          <w:p>
            <w:pPr>
              <w:jc w:val="center"/>
              <w:rPr>
                <w:rFonts w:hint="eastAsia" w:ascii="宋体" w:hAnsi="宋体" w:cs="宋体"/>
                <w:bCs/>
                <w:sz w:val="24"/>
                <w:szCs w:val="24"/>
              </w:rPr>
            </w:pPr>
            <w:r>
              <w:rPr>
                <w:rFonts w:hint="eastAsia" w:ascii="宋体" w:hAnsi="宋体" w:cs="宋体"/>
                <w:bCs/>
                <w:sz w:val="24"/>
                <w:szCs w:val="24"/>
              </w:rPr>
              <w:t>数量</w:t>
            </w:r>
          </w:p>
        </w:tc>
        <w:tc>
          <w:tcPr>
            <w:tcW w:w="1278" w:type="dxa"/>
            <w:noWrap w:val="0"/>
            <w:vAlign w:val="center"/>
          </w:tcPr>
          <w:p>
            <w:pPr>
              <w:rPr>
                <w:rFonts w:hint="eastAsia" w:ascii="宋体" w:hAnsi="宋体" w:cs="宋体"/>
                <w:bCs/>
                <w:sz w:val="24"/>
                <w:szCs w:val="24"/>
              </w:rPr>
            </w:pPr>
            <w:r>
              <w:rPr>
                <w:rFonts w:hint="eastAsia" w:ascii="宋体" w:hAnsi="宋体" w:cs="宋体"/>
                <w:bCs/>
                <w:sz w:val="24"/>
                <w:szCs w:val="24"/>
              </w:rPr>
              <w:t>单价（元）</w:t>
            </w:r>
          </w:p>
        </w:tc>
        <w:tc>
          <w:tcPr>
            <w:tcW w:w="1121" w:type="dxa"/>
            <w:noWrap w:val="0"/>
            <w:vAlign w:val="center"/>
          </w:tcPr>
          <w:p>
            <w:pPr>
              <w:jc w:val="center"/>
              <w:rPr>
                <w:rFonts w:hint="eastAsia" w:ascii="宋体" w:hAnsi="宋体" w:cs="宋体"/>
                <w:bCs/>
                <w:sz w:val="24"/>
                <w:szCs w:val="24"/>
              </w:rPr>
            </w:pPr>
            <w:r>
              <w:rPr>
                <w:rFonts w:hint="eastAsia" w:ascii="宋体" w:hAnsi="宋体" w:cs="宋体"/>
                <w:bCs/>
                <w:sz w:val="24"/>
                <w:szCs w:val="24"/>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pPr>
              <w:pStyle w:val="2"/>
              <w:jc w:val="center"/>
              <w:rPr>
                <w:rFonts w:hint="eastAsia" w:ascii="宋体" w:hAnsi="宋体" w:cs="宋体"/>
                <w:bCs/>
                <w:sz w:val="24"/>
                <w:szCs w:val="24"/>
              </w:rPr>
            </w:pPr>
            <w:r>
              <w:rPr>
                <w:rFonts w:hint="eastAsia" w:ascii="宋体" w:hAnsi="宋体" w:cs="宋体"/>
                <w:bCs/>
                <w:sz w:val="24"/>
                <w:szCs w:val="24"/>
              </w:rPr>
              <w:t>1</w:t>
            </w:r>
          </w:p>
        </w:tc>
        <w:tc>
          <w:tcPr>
            <w:tcW w:w="1675" w:type="dxa"/>
            <w:noWrap w:val="0"/>
            <w:vAlign w:val="center"/>
          </w:tcPr>
          <w:p>
            <w:pPr>
              <w:jc w:val="center"/>
              <w:rPr>
                <w:rFonts w:hint="eastAsia" w:ascii="宋体" w:hAnsi="宋体" w:cs="宋体"/>
                <w:bCs/>
                <w:sz w:val="24"/>
                <w:szCs w:val="24"/>
              </w:rPr>
            </w:pPr>
            <w:r>
              <w:rPr>
                <w:rFonts w:hint="eastAsia" w:ascii="宋体" w:hAnsi="宋体" w:cs="宋体"/>
                <w:bCs/>
                <w:sz w:val="24"/>
                <w:szCs w:val="24"/>
              </w:rPr>
              <w:t>推销与商务谈判实训系统</w:t>
            </w:r>
          </w:p>
        </w:tc>
        <w:tc>
          <w:tcPr>
            <w:tcW w:w="1600" w:type="dxa"/>
            <w:noWrap w:val="0"/>
            <w:vAlign w:val="center"/>
          </w:tcPr>
          <w:p>
            <w:pPr>
              <w:pStyle w:val="2"/>
              <w:jc w:val="center"/>
              <w:rPr>
                <w:rFonts w:hint="eastAsia" w:ascii="宋体" w:hAnsi="宋体" w:cs="宋体"/>
                <w:bCs/>
                <w:sz w:val="24"/>
                <w:szCs w:val="24"/>
              </w:rPr>
            </w:pPr>
            <w:r>
              <w:rPr>
                <w:rFonts w:hint="eastAsia" w:ascii="宋体" w:hAnsi="宋体" w:cs="宋体"/>
                <w:bCs/>
                <w:sz w:val="24"/>
                <w:szCs w:val="24"/>
              </w:rPr>
              <w:t>详见附件2参数规格</w:t>
            </w:r>
          </w:p>
        </w:tc>
        <w:tc>
          <w:tcPr>
            <w:tcW w:w="1067" w:type="dxa"/>
            <w:noWrap w:val="0"/>
            <w:vAlign w:val="center"/>
          </w:tcPr>
          <w:p>
            <w:pPr>
              <w:pStyle w:val="2"/>
              <w:jc w:val="center"/>
              <w:rPr>
                <w:rFonts w:hint="eastAsia" w:ascii="宋体" w:hAnsi="宋体" w:cs="宋体"/>
                <w:bCs/>
                <w:sz w:val="24"/>
                <w:szCs w:val="24"/>
              </w:rPr>
            </w:pPr>
            <w:r>
              <w:rPr>
                <w:rFonts w:hint="eastAsia" w:ascii="宋体" w:hAnsi="宋体" w:cs="宋体"/>
                <w:bCs/>
                <w:sz w:val="24"/>
                <w:szCs w:val="24"/>
              </w:rPr>
              <w:t>套</w:t>
            </w:r>
          </w:p>
        </w:tc>
        <w:tc>
          <w:tcPr>
            <w:tcW w:w="1278" w:type="dxa"/>
            <w:noWrap w:val="0"/>
            <w:vAlign w:val="center"/>
          </w:tcPr>
          <w:p>
            <w:pPr>
              <w:pStyle w:val="2"/>
              <w:jc w:val="center"/>
              <w:rPr>
                <w:rFonts w:hint="eastAsia" w:ascii="宋体" w:hAnsi="宋体" w:cs="宋体"/>
                <w:bCs/>
                <w:sz w:val="24"/>
                <w:szCs w:val="24"/>
              </w:rPr>
            </w:pPr>
            <w:r>
              <w:rPr>
                <w:rFonts w:hint="eastAsia" w:ascii="宋体" w:hAnsi="宋体" w:cs="宋体"/>
                <w:bCs/>
                <w:sz w:val="24"/>
                <w:szCs w:val="24"/>
              </w:rPr>
              <w:t>1</w:t>
            </w:r>
          </w:p>
        </w:tc>
        <w:tc>
          <w:tcPr>
            <w:tcW w:w="1278" w:type="dxa"/>
            <w:noWrap w:val="0"/>
            <w:vAlign w:val="center"/>
          </w:tcPr>
          <w:p>
            <w:pPr>
              <w:pStyle w:val="2"/>
              <w:jc w:val="center"/>
              <w:rPr>
                <w:rFonts w:hint="eastAsia" w:ascii="宋体" w:hAnsi="宋体" w:cs="宋体"/>
                <w:bCs/>
                <w:sz w:val="24"/>
                <w:szCs w:val="24"/>
              </w:rPr>
            </w:pPr>
            <w:r>
              <w:rPr>
                <w:rFonts w:hint="eastAsia" w:ascii="宋体" w:hAnsi="宋体" w:cs="宋体"/>
                <w:bCs/>
                <w:sz w:val="24"/>
                <w:szCs w:val="24"/>
              </w:rPr>
              <w:t>128000</w:t>
            </w:r>
          </w:p>
        </w:tc>
        <w:tc>
          <w:tcPr>
            <w:tcW w:w="1121" w:type="dxa"/>
            <w:noWrap w:val="0"/>
            <w:vAlign w:val="center"/>
          </w:tcPr>
          <w:p>
            <w:pPr>
              <w:pStyle w:val="2"/>
              <w:jc w:val="center"/>
              <w:rPr>
                <w:rFonts w:hint="eastAsia" w:ascii="宋体" w:hAnsi="宋体" w:cs="宋体"/>
                <w:bCs/>
                <w:sz w:val="24"/>
                <w:szCs w:val="24"/>
              </w:rPr>
            </w:pPr>
            <w:r>
              <w:rPr>
                <w:rFonts w:hint="eastAsia" w:ascii="宋体" w:hAnsi="宋体" w:cs="宋体"/>
                <w:bCs/>
                <w:sz w:val="24"/>
                <w:szCs w:val="24"/>
              </w:rPr>
              <w:t>128000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pPr>
              <w:pStyle w:val="2"/>
              <w:jc w:val="center"/>
              <w:rPr>
                <w:rFonts w:hint="eastAsia" w:ascii="宋体" w:hAnsi="宋体" w:cs="宋体"/>
                <w:bCs/>
                <w:sz w:val="24"/>
                <w:szCs w:val="24"/>
              </w:rPr>
            </w:pPr>
            <w:r>
              <w:rPr>
                <w:rFonts w:hint="eastAsia" w:ascii="宋体" w:hAnsi="宋体" w:cs="宋体"/>
                <w:bCs/>
                <w:sz w:val="24"/>
                <w:szCs w:val="24"/>
              </w:rPr>
              <w:t>2</w:t>
            </w:r>
          </w:p>
        </w:tc>
        <w:tc>
          <w:tcPr>
            <w:tcW w:w="1675" w:type="dxa"/>
            <w:noWrap w:val="0"/>
            <w:vAlign w:val="center"/>
          </w:tcPr>
          <w:p>
            <w:pPr>
              <w:jc w:val="center"/>
              <w:rPr>
                <w:rFonts w:hint="eastAsia" w:ascii="宋体" w:hAnsi="宋体" w:cs="宋体"/>
                <w:bCs/>
                <w:sz w:val="24"/>
                <w:szCs w:val="24"/>
              </w:rPr>
            </w:pPr>
            <w:r>
              <w:rPr>
                <w:rFonts w:hint="eastAsia" w:ascii="宋体" w:hAnsi="宋体" w:cs="宋体"/>
                <w:bCs/>
                <w:sz w:val="24"/>
                <w:szCs w:val="24"/>
              </w:rPr>
              <w:t>新媒体营销实训系统</w:t>
            </w:r>
          </w:p>
        </w:tc>
        <w:tc>
          <w:tcPr>
            <w:tcW w:w="1600" w:type="dxa"/>
            <w:noWrap w:val="0"/>
            <w:vAlign w:val="center"/>
          </w:tcPr>
          <w:p>
            <w:pPr>
              <w:pStyle w:val="2"/>
              <w:jc w:val="center"/>
              <w:rPr>
                <w:rFonts w:hint="eastAsia" w:ascii="宋体" w:hAnsi="宋体" w:cs="宋体"/>
                <w:bCs/>
                <w:sz w:val="24"/>
                <w:szCs w:val="24"/>
              </w:rPr>
            </w:pPr>
            <w:r>
              <w:rPr>
                <w:rFonts w:hint="eastAsia" w:ascii="宋体" w:hAnsi="宋体" w:cs="宋体"/>
                <w:bCs/>
                <w:sz w:val="24"/>
                <w:szCs w:val="24"/>
              </w:rPr>
              <w:t>详见附件2参数规格</w:t>
            </w:r>
          </w:p>
        </w:tc>
        <w:tc>
          <w:tcPr>
            <w:tcW w:w="1067" w:type="dxa"/>
            <w:noWrap w:val="0"/>
            <w:vAlign w:val="center"/>
          </w:tcPr>
          <w:p>
            <w:pPr>
              <w:pStyle w:val="2"/>
              <w:jc w:val="center"/>
              <w:rPr>
                <w:rFonts w:hint="eastAsia" w:ascii="宋体" w:hAnsi="宋体" w:cs="宋体"/>
                <w:bCs/>
                <w:sz w:val="24"/>
                <w:szCs w:val="24"/>
              </w:rPr>
            </w:pPr>
            <w:r>
              <w:rPr>
                <w:rFonts w:hint="eastAsia" w:ascii="宋体" w:hAnsi="宋体" w:cs="宋体"/>
                <w:bCs/>
                <w:sz w:val="24"/>
                <w:szCs w:val="24"/>
              </w:rPr>
              <w:t>套</w:t>
            </w:r>
          </w:p>
        </w:tc>
        <w:tc>
          <w:tcPr>
            <w:tcW w:w="1278" w:type="dxa"/>
            <w:noWrap w:val="0"/>
            <w:vAlign w:val="center"/>
          </w:tcPr>
          <w:p>
            <w:pPr>
              <w:pStyle w:val="2"/>
              <w:jc w:val="center"/>
              <w:rPr>
                <w:rFonts w:hint="eastAsia" w:ascii="宋体" w:hAnsi="宋体" w:cs="宋体"/>
                <w:bCs/>
                <w:sz w:val="24"/>
                <w:szCs w:val="24"/>
              </w:rPr>
            </w:pPr>
            <w:r>
              <w:rPr>
                <w:rFonts w:hint="eastAsia" w:ascii="宋体" w:hAnsi="宋体" w:cs="宋体"/>
                <w:bCs/>
                <w:sz w:val="24"/>
                <w:szCs w:val="24"/>
              </w:rPr>
              <w:t>1</w:t>
            </w:r>
          </w:p>
        </w:tc>
        <w:tc>
          <w:tcPr>
            <w:tcW w:w="1278" w:type="dxa"/>
            <w:noWrap w:val="0"/>
            <w:vAlign w:val="center"/>
          </w:tcPr>
          <w:p>
            <w:pPr>
              <w:pStyle w:val="2"/>
              <w:jc w:val="center"/>
              <w:rPr>
                <w:rFonts w:hint="eastAsia" w:ascii="宋体" w:hAnsi="宋体" w:cs="宋体"/>
                <w:bCs/>
                <w:sz w:val="24"/>
                <w:szCs w:val="24"/>
              </w:rPr>
            </w:pPr>
            <w:r>
              <w:rPr>
                <w:rFonts w:hint="eastAsia" w:ascii="宋体" w:hAnsi="宋体" w:cs="宋体"/>
                <w:bCs/>
                <w:sz w:val="24"/>
                <w:szCs w:val="24"/>
              </w:rPr>
              <w:t>156000</w:t>
            </w:r>
          </w:p>
        </w:tc>
        <w:tc>
          <w:tcPr>
            <w:tcW w:w="1121" w:type="dxa"/>
            <w:noWrap w:val="0"/>
            <w:vAlign w:val="center"/>
          </w:tcPr>
          <w:p>
            <w:pPr>
              <w:pStyle w:val="2"/>
              <w:jc w:val="center"/>
              <w:rPr>
                <w:rFonts w:hint="eastAsia" w:ascii="宋体" w:hAnsi="宋体" w:cs="宋体"/>
                <w:bCs/>
                <w:sz w:val="24"/>
                <w:szCs w:val="24"/>
              </w:rPr>
            </w:pPr>
            <w:r>
              <w:rPr>
                <w:rFonts w:hint="eastAsia" w:ascii="宋体" w:hAnsi="宋体" w:cs="宋体"/>
                <w:bCs/>
                <w:sz w:val="24"/>
                <w:szCs w:val="24"/>
              </w:rPr>
              <w:t>156000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442" w:type="dxa"/>
            <w:gridSpan w:val="2"/>
            <w:noWrap w:val="0"/>
            <w:vAlign w:val="center"/>
          </w:tcPr>
          <w:p>
            <w:pPr>
              <w:jc w:val="center"/>
              <w:rPr>
                <w:rFonts w:hint="eastAsia" w:ascii="宋体" w:hAnsi="宋体" w:cs="宋体"/>
                <w:bCs/>
                <w:sz w:val="24"/>
                <w:szCs w:val="24"/>
              </w:rPr>
            </w:pPr>
            <w:r>
              <w:rPr>
                <w:rFonts w:hint="eastAsia" w:ascii="宋体" w:hAnsi="宋体" w:cs="宋体"/>
                <w:bCs/>
                <w:sz w:val="24"/>
                <w:szCs w:val="24"/>
              </w:rPr>
              <w:t>合计</w:t>
            </w:r>
          </w:p>
        </w:tc>
        <w:tc>
          <w:tcPr>
            <w:tcW w:w="6344" w:type="dxa"/>
            <w:gridSpan w:val="5"/>
            <w:noWrap w:val="0"/>
            <w:vAlign w:val="center"/>
          </w:tcPr>
          <w:p>
            <w:pPr>
              <w:jc w:val="center"/>
              <w:rPr>
                <w:rFonts w:hint="eastAsia" w:ascii="宋体" w:hAnsi="宋体" w:cs="宋体"/>
                <w:bCs/>
                <w:sz w:val="24"/>
                <w:szCs w:val="24"/>
              </w:rPr>
            </w:pPr>
            <w:r>
              <w:rPr>
                <w:rFonts w:hint="eastAsia" w:ascii="宋体" w:hAnsi="宋体" w:cs="宋体"/>
                <w:bCs/>
                <w:sz w:val="24"/>
                <w:szCs w:val="24"/>
              </w:rPr>
              <w:t>284000.00</w:t>
            </w:r>
          </w:p>
        </w:tc>
      </w:tr>
    </w:tbl>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spacing w:line="400" w:lineRule="exact"/>
        <w:rPr>
          <w:rFonts w:hint="eastAsia" w:ascii="宋体" w:hAnsi="宋体"/>
          <w:b/>
          <w:sz w:val="24"/>
        </w:rPr>
      </w:pPr>
      <w:r>
        <w:rPr>
          <w:rFonts w:hint="eastAsia" w:ascii="宋体" w:hAnsi="宋体"/>
          <w:b/>
          <w:sz w:val="24"/>
        </w:rPr>
        <w:t>六、效益分析</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2387"/>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center"/>
          </w:tcPr>
          <w:p>
            <w:pPr>
              <w:spacing w:line="400" w:lineRule="exact"/>
              <w:jc w:val="center"/>
              <w:rPr>
                <w:rFonts w:hint="eastAsia" w:ascii="宋体" w:hAnsi="宋体"/>
                <w:sz w:val="24"/>
              </w:rPr>
            </w:pPr>
            <w:r>
              <w:rPr>
                <w:rFonts w:hint="eastAsia" w:ascii="宋体" w:hAnsi="宋体"/>
                <w:sz w:val="24"/>
              </w:rPr>
              <w:t>设备名称</w:t>
            </w:r>
          </w:p>
        </w:tc>
        <w:tc>
          <w:tcPr>
            <w:tcW w:w="2387" w:type="dxa"/>
            <w:noWrap w:val="0"/>
            <w:vAlign w:val="center"/>
          </w:tcPr>
          <w:p>
            <w:pPr>
              <w:spacing w:line="400" w:lineRule="exact"/>
              <w:jc w:val="center"/>
              <w:rPr>
                <w:rFonts w:hint="eastAsia" w:ascii="宋体" w:hAnsi="宋体"/>
                <w:sz w:val="24"/>
              </w:rPr>
            </w:pPr>
            <w:r>
              <w:rPr>
                <w:rFonts w:hint="eastAsia" w:ascii="宋体" w:hAnsi="宋体"/>
                <w:sz w:val="24"/>
              </w:rPr>
              <w:t>对应课程及实训项目</w:t>
            </w:r>
          </w:p>
        </w:tc>
        <w:tc>
          <w:tcPr>
            <w:tcW w:w="1133" w:type="dxa"/>
            <w:noWrap w:val="0"/>
            <w:vAlign w:val="center"/>
          </w:tcPr>
          <w:p>
            <w:pPr>
              <w:spacing w:line="400" w:lineRule="exact"/>
              <w:jc w:val="center"/>
              <w:rPr>
                <w:rFonts w:hint="eastAsia" w:ascii="宋体" w:hAnsi="宋体"/>
                <w:sz w:val="24"/>
              </w:rPr>
            </w:pPr>
            <w:r>
              <w:rPr>
                <w:rFonts w:hint="eastAsia" w:ascii="宋体" w:hAnsi="宋体"/>
                <w:sz w:val="24"/>
              </w:rPr>
              <w:t>设计学生人数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restart"/>
            <w:noWrap w:val="0"/>
            <w:vAlign w:val="center"/>
          </w:tcPr>
          <w:p>
            <w:pPr>
              <w:jc w:val="center"/>
              <w:rPr>
                <w:rFonts w:hint="eastAsia" w:ascii="宋体" w:hAnsi="宋体" w:cs="宋体"/>
                <w:sz w:val="24"/>
                <w:szCs w:val="24"/>
              </w:rPr>
            </w:pPr>
            <w:r>
              <w:rPr>
                <w:rFonts w:hint="eastAsia" w:ascii="宋体" w:hAnsi="宋体" w:cs="宋体"/>
                <w:sz w:val="24"/>
                <w:szCs w:val="24"/>
              </w:rPr>
              <w:t>推销与商务谈判实训系统</w:t>
            </w:r>
          </w:p>
        </w:tc>
        <w:tc>
          <w:tcPr>
            <w:tcW w:w="2387" w:type="dxa"/>
            <w:noWrap w:val="0"/>
            <w:vAlign w:val="top"/>
          </w:tcPr>
          <w:p>
            <w:pPr>
              <w:jc w:val="left"/>
              <w:rPr>
                <w:rFonts w:hint="eastAsia" w:ascii="宋体" w:hAnsi="宋体" w:cs="宋体"/>
                <w:sz w:val="24"/>
                <w:szCs w:val="24"/>
              </w:rPr>
            </w:pPr>
            <w:r>
              <w:rPr>
                <w:rFonts w:hint="eastAsia" w:ascii="宋体" w:hAnsi="宋体" w:cs="宋体"/>
                <w:sz w:val="24"/>
                <w:szCs w:val="24"/>
              </w:rPr>
              <w:t>课程：推销实务</w:t>
            </w:r>
          </w:p>
          <w:p>
            <w:pPr>
              <w:jc w:val="left"/>
              <w:rPr>
                <w:rFonts w:hint="eastAsia" w:ascii="宋体" w:hAnsi="宋体" w:cs="宋体"/>
                <w:sz w:val="24"/>
                <w:szCs w:val="24"/>
              </w:rPr>
            </w:pPr>
            <w:r>
              <w:rPr>
                <w:rFonts w:hint="eastAsia" w:ascii="宋体" w:hAnsi="宋体" w:cs="宋体"/>
                <w:sz w:val="24"/>
                <w:szCs w:val="24"/>
              </w:rPr>
              <w:t>实训项目：推销准备、接近顾客、推销洽谈、顾客异议的处理、销售成交。</w:t>
            </w:r>
          </w:p>
        </w:tc>
        <w:tc>
          <w:tcPr>
            <w:tcW w:w="1133" w:type="dxa"/>
            <w:noWrap w:val="0"/>
            <w:vAlign w:val="center"/>
          </w:tcPr>
          <w:p>
            <w:pPr>
              <w:jc w:val="center"/>
              <w:rPr>
                <w:rFonts w:hint="eastAsia" w:ascii="宋体" w:hAnsi="宋体" w:cs="宋体"/>
                <w:color w:val="FF0000"/>
                <w:sz w:val="24"/>
                <w:szCs w:val="24"/>
              </w:rPr>
            </w:pPr>
            <w:r>
              <w:rPr>
                <w:rFonts w:hint="eastAsia" w:ascii="宋体" w:hAnsi="宋体" w:cs="宋体"/>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1592" w:type="dxa"/>
            <w:vMerge w:val="continue"/>
            <w:noWrap w:val="0"/>
            <w:vAlign w:val="center"/>
          </w:tcPr>
          <w:p>
            <w:pPr>
              <w:jc w:val="center"/>
              <w:rPr>
                <w:rFonts w:hint="eastAsia" w:ascii="宋体" w:hAnsi="宋体" w:cs="宋体"/>
                <w:sz w:val="24"/>
                <w:szCs w:val="24"/>
              </w:rPr>
            </w:pPr>
          </w:p>
        </w:tc>
        <w:tc>
          <w:tcPr>
            <w:tcW w:w="2387" w:type="dxa"/>
            <w:noWrap w:val="0"/>
            <w:vAlign w:val="top"/>
          </w:tcPr>
          <w:p>
            <w:pPr>
              <w:jc w:val="left"/>
              <w:rPr>
                <w:rFonts w:hint="eastAsia" w:ascii="宋体" w:hAnsi="宋体" w:cs="宋体"/>
                <w:sz w:val="24"/>
                <w:szCs w:val="24"/>
              </w:rPr>
            </w:pPr>
            <w:r>
              <w:rPr>
                <w:rFonts w:hint="eastAsia" w:ascii="宋体" w:hAnsi="宋体" w:cs="宋体"/>
                <w:sz w:val="24"/>
                <w:szCs w:val="24"/>
              </w:rPr>
              <w:t>课程：商务谈判</w:t>
            </w:r>
          </w:p>
          <w:p>
            <w:pPr>
              <w:jc w:val="left"/>
              <w:rPr>
                <w:rFonts w:hint="eastAsia" w:ascii="宋体" w:hAnsi="宋体" w:cs="宋体"/>
                <w:sz w:val="24"/>
                <w:szCs w:val="24"/>
              </w:rPr>
            </w:pPr>
            <w:r>
              <w:rPr>
                <w:rFonts w:hint="eastAsia" w:ascii="宋体" w:hAnsi="宋体" w:cs="宋体"/>
                <w:sz w:val="24"/>
                <w:szCs w:val="24"/>
              </w:rPr>
              <w:t>实训项目：商务谈判概述、谈判前准备、谈判的开局和摸底、谈判磋商；处理异议、促成交易、签订购销合同。</w:t>
            </w:r>
          </w:p>
        </w:tc>
        <w:tc>
          <w:tcPr>
            <w:tcW w:w="1133" w:type="dxa"/>
            <w:noWrap w:val="0"/>
            <w:vAlign w:val="center"/>
          </w:tcPr>
          <w:p>
            <w:pPr>
              <w:jc w:val="center"/>
              <w:rPr>
                <w:rFonts w:hint="eastAsia" w:ascii="宋体" w:hAnsi="宋体" w:cs="宋体"/>
                <w:color w:val="FF0000"/>
                <w:sz w:val="24"/>
                <w:szCs w:val="24"/>
              </w:rPr>
            </w:pPr>
            <w:r>
              <w:rPr>
                <w:rFonts w:hint="eastAsia" w:ascii="宋体" w:hAnsi="宋体" w:cs="宋体"/>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1592" w:type="dxa"/>
            <w:noWrap w:val="0"/>
            <w:vAlign w:val="center"/>
          </w:tcPr>
          <w:p>
            <w:pPr>
              <w:jc w:val="center"/>
              <w:rPr>
                <w:rFonts w:hint="eastAsia" w:ascii="宋体" w:hAnsi="宋体" w:cs="宋体"/>
                <w:sz w:val="24"/>
                <w:szCs w:val="24"/>
              </w:rPr>
            </w:pPr>
            <w:r>
              <w:rPr>
                <w:rFonts w:hint="eastAsia" w:ascii="宋体" w:hAnsi="宋体" w:cs="宋体"/>
                <w:sz w:val="24"/>
                <w:szCs w:val="24"/>
              </w:rPr>
              <w:t>新媒体营销实训系统</w:t>
            </w:r>
          </w:p>
        </w:tc>
        <w:tc>
          <w:tcPr>
            <w:tcW w:w="2387" w:type="dxa"/>
            <w:noWrap w:val="0"/>
            <w:vAlign w:val="center"/>
          </w:tcPr>
          <w:p>
            <w:pPr>
              <w:jc w:val="left"/>
              <w:rPr>
                <w:rFonts w:hint="eastAsia" w:ascii="宋体" w:hAnsi="宋体" w:cs="宋体"/>
                <w:sz w:val="24"/>
                <w:szCs w:val="24"/>
              </w:rPr>
            </w:pPr>
            <w:r>
              <w:rPr>
                <w:rFonts w:hint="eastAsia" w:ascii="宋体" w:hAnsi="宋体" w:cs="宋体"/>
                <w:sz w:val="24"/>
                <w:szCs w:val="24"/>
              </w:rPr>
              <w:t>课程：新媒体营销；</w:t>
            </w:r>
          </w:p>
          <w:p>
            <w:pPr>
              <w:jc w:val="left"/>
              <w:rPr>
                <w:rFonts w:hint="eastAsia" w:ascii="宋体" w:hAnsi="宋体" w:cs="宋体"/>
                <w:sz w:val="24"/>
                <w:szCs w:val="24"/>
              </w:rPr>
            </w:pPr>
            <w:r>
              <w:rPr>
                <w:rFonts w:hint="eastAsia" w:ascii="宋体" w:hAnsi="宋体" w:cs="宋体"/>
                <w:sz w:val="24"/>
                <w:szCs w:val="24"/>
              </w:rPr>
              <w:t>实训项目：微信公众平台使用、微信营销技巧、评估营销效果。</w:t>
            </w:r>
          </w:p>
        </w:tc>
        <w:tc>
          <w:tcPr>
            <w:tcW w:w="1133" w:type="dxa"/>
            <w:noWrap w:val="0"/>
            <w:vAlign w:val="center"/>
          </w:tcPr>
          <w:p>
            <w:pPr>
              <w:jc w:val="center"/>
              <w:rPr>
                <w:rFonts w:hint="eastAsia" w:ascii="宋体" w:hAnsi="宋体" w:cs="宋体"/>
                <w:sz w:val="24"/>
                <w:szCs w:val="24"/>
              </w:rPr>
            </w:pPr>
            <w:r>
              <w:rPr>
                <w:rFonts w:hint="eastAsia" w:ascii="宋体" w:hAnsi="宋体" w:cs="宋体"/>
                <w:sz w:val="24"/>
                <w:szCs w:val="24"/>
              </w:rPr>
              <w:t>200</w:t>
            </w:r>
          </w:p>
        </w:tc>
      </w:tr>
    </w:tbl>
    <w:p>
      <w:pPr>
        <w:spacing w:line="400" w:lineRule="exact"/>
        <w:ind w:firstLine="480" w:firstLineChars="200"/>
        <w:rPr>
          <w:rFonts w:hint="eastAsia" w:ascii="宋体" w:hAnsi="宋体"/>
          <w:bCs/>
          <w:sz w:val="24"/>
        </w:rPr>
      </w:pPr>
      <w:r>
        <w:rPr>
          <w:rFonts w:hint="eastAsia" w:ascii="宋体" w:hAnsi="宋体"/>
          <w:bCs/>
          <w:sz w:val="24"/>
        </w:rPr>
        <w:t>（一）教学效果</w:t>
      </w:r>
    </w:p>
    <w:p>
      <w:pPr>
        <w:spacing w:line="400" w:lineRule="exact"/>
        <w:ind w:firstLine="480" w:firstLineChars="200"/>
        <w:rPr>
          <w:rFonts w:hint="eastAsia" w:ascii="宋体" w:hAnsi="宋体"/>
          <w:bCs/>
          <w:sz w:val="24"/>
        </w:rPr>
      </w:pPr>
      <w:r>
        <w:rPr>
          <w:rFonts w:hint="eastAsia" w:ascii="宋体" w:hAnsi="宋体"/>
          <w:bCs/>
          <w:sz w:val="24"/>
        </w:rPr>
        <w:t>推销与商务谈判和新媒体营销实训系统的采买，可以帮助学生系统地实践、体验和学习维护客户完整方法体系；可以极大地激发学生的学习热情；在模拟的环境中，学生们能够获得实践的经验并且分析自己成功与失败的案例；帮助学生实践和体验真实的竞争环境；在现实中需要几年的决策实践过程可以压缩在几个星期甚至于几天来完成；带给学生逼真的学习体验；快速得到学生对于教学效果的反馈信息可以结合教学计划教授和应用大量的营销分析工具和方法；可开展校内外竞赛对抗演练。</w:t>
      </w:r>
    </w:p>
    <w:p>
      <w:pPr>
        <w:spacing w:line="400" w:lineRule="exact"/>
        <w:ind w:firstLine="480" w:firstLineChars="200"/>
        <w:rPr>
          <w:rFonts w:hint="eastAsia" w:ascii="宋体" w:hAnsi="宋体"/>
          <w:bCs/>
          <w:sz w:val="24"/>
        </w:rPr>
      </w:pPr>
      <w:r>
        <w:rPr>
          <w:rFonts w:hint="eastAsia" w:ascii="宋体" w:hAnsi="宋体"/>
          <w:bCs/>
          <w:sz w:val="24"/>
        </w:rPr>
        <w:t>（二）科研提升</w:t>
      </w:r>
    </w:p>
    <w:p>
      <w:pPr>
        <w:spacing w:line="400" w:lineRule="exact"/>
        <w:ind w:firstLine="480" w:firstLineChars="200"/>
        <w:rPr>
          <w:rFonts w:hint="eastAsia" w:ascii="宋体" w:hAnsi="宋体"/>
          <w:bCs/>
          <w:sz w:val="24"/>
        </w:rPr>
      </w:pPr>
      <w:r>
        <w:rPr>
          <w:rFonts w:hint="eastAsia" w:ascii="宋体" w:hAnsi="宋体"/>
          <w:bCs/>
          <w:sz w:val="24"/>
        </w:rPr>
        <w:t>推销与商务谈判和新媒体营销实训系统的采买，丰富了市场营销专业人才培养方法的内容，也让相关课程建设有了软硬件支撑。市场营销专业师生若要进行相关课题研究，新实训软件也提供了实战平台。</w:t>
      </w:r>
    </w:p>
    <w:p>
      <w:pPr>
        <w:spacing w:line="400" w:lineRule="exact"/>
        <w:ind w:firstLine="480" w:firstLineChars="200"/>
        <w:rPr>
          <w:rFonts w:hint="eastAsia" w:ascii="宋体" w:hAnsi="宋体"/>
          <w:bCs/>
          <w:sz w:val="24"/>
        </w:rPr>
      </w:pPr>
      <w:r>
        <w:rPr>
          <w:rFonts w:hint="eastAsia" w:ascii="宋体" w:hAnsi="宋体"/>
          <w:bCs/>
          <w:sz w:val="24"/>
        </w:rPr>
        <w:t>（三）社会服务</w:t>
      </w:r>
    </w:p>
    <w:p>
      <w:pPr>
        <w:spacing w:line="400" w:lineRule="exact"/>
        <w:ind w:firstLine="480" w:firstLineChars="200"/>
        <w:rPr>
          <w:rFonts w:hint="eastAsia" w:ascii="宋体" w:hAnsi="宋体"/>
          <w:szCs w:val="21"/>
        </w:rPr>
      </w:pPr>
      <w:r>
        <w:rPr>
          <w:rFonts w:hint="eastAsia" w:ascii="宋体" w:hAnsi="宋体"/>
          <w:bCs/>
          <w:sz w:val="24"/>
        </w:rPr>
        <w:t>推销与商务谈判和新媒体营销实训系统的采买，可有效助力学院市场营销专业退役军人高职扩招班和二元制班级学生的专业课教学，同时为三年制市场营销专业学生参加各级各类技能竞赛提供有效的支撑。同时，营销专业学生实践操作技能的提升，也为社会培养输送高素质的营销人才，服务所在区域的经济发展。</w:t>
      </w:r>
    </w:p>
    <w:p>
      <w:pPr>
        <w:jc w:val="center"/>
        <w:sectPr>
          <w:headerReference r:id="rId3" w:type="default"/>
          <w:footerReference r:id="rId5" w:type="default"/>
          <w:headerReference r:id="rId4" w:type="even"/>
          <w:footerReference r:id="rId6" w:type="even"/>
          <w:pgSz w:w="11906" w:h="16838"/>
          <w:pgMar w:top="1440" w:right="1587" w:bottom="1440" w:left="1588" w:header="851" w:footer="1417" w:gutter="0"/>
          <w:cols w:space="720" w:num="1"/>
          <w:docGrid w:type="lines" w:linePitch="312" w:charSpace="0"/>
        </w:sectPr>
      </w:pPr>
    </w:p>
    <w:p>
      <w:pPr>
        <w:spacing w:line="360" w:lineRule="auto"/>
        <w:jc w:val="center"/>
        <w:rPr>
          <w:rFonts w:hint="eastAsia" w:ascii="宋体" w:hAnsi="宋体"/>
          <w:b/>
          <w:sz w:val="24"/>
        </w:rPr>
      </w:pPr>
      <w:r>
        <w:rPr>
          <w:rFonts w:hint="eastAsia" w:ascii="宋体" w:hAnsi="宋体"/>
          <w:b/>
          <w:sz w:val="24"/>
        </w:rPr>
        <w:t>市场营销专业实训系统采购项目购置清单预算</w:t>
      </w:r>
    </w:p>
    <w:tbl>
      <w:tblPr>
        <w:tblStyle w:val="8"/>
        <w:tblW w:w="0" w:type="auto"/>
        <w:tblInd w:w="93" w:type="dxa"/>
        <w:tblLayout w:type="fixed"/>
        <w:tblCellMar>
          <w:top w:w="0" w:type="dxa"/>
          <w:left w:w="108" w:type="dxa"/>
          <w:bottom w:w="0" w:type="dxa"/>
          <w:right w:w="108" w:type="dxa"/>
        </w:tblCellMar>
      </w:tblPr>
      <w:tblGrid>
        <w:gridCol w:w="658"/>
        <w:gridCol w:w="1290"/>
        <w:gridCol w:w="5158"/>
        <w:gridCol w:w="750"/>
        <w:gridCol w:w="810"/>
        <w:gridCol w:w="1185"/>
        <w:gridCol w:w="900"/>
        <w:gridCol w:w="1080"/>
        <w:gridCol w:w="1185"/>
      </w:tblGrid>
      <w:tr>
        <w:tblPrEx>
          <w:tblCellMar>
            <w:top w:w="0" w:type="dxa"/>
            <w:left w:w="108" w:type="dxa"/>
            <w:bottom w:w="0" w:type="dxa"/>
            <w:right w:w="108" w:type="dxa"/>
          </w:tblCellMar>
        </w:tblPrEx>
        <w:trPr>
          <w:trHeight w:val="737" w:hRule="atLeast"/>
        </w:trPr>
        <w:tc>
          <w:tcPr>
            <w:tcW w:w="658" w:type="dxa"/>
            <w:tcBorders>
              <w:top w:val="single" w:color="auto" w:sz="12" w:space="0"/>
              <w:left w:val="single" w:color="auto" w:sz="12" w:space="0"/>
              <w:bottom w:val="single" w:color="auto" w:sz="4" w:space="0"/>
              <w:right w:val="single" w:color="auto" w:sz="4" w:space="0"/>
            </w:tcBorders>
            <w:shd w:val="clear" w:color="auto" w:fill="E0E0E0"/>
            <w:noWrap w:val="0"/>
            <w:vAlign w:val="center"/>
          </w:tcPr>
          <w:p>
            <w:pPr>
              <w:jc w:val="center"/>
              <w:rPr>
                <w:rFonts w:hint="eastAsia"/>
              </w:rPr>
            </w:pPr>
            <w:r>
              <w:rPr>
                <w:rFonts w:hint="eastAsia"/>
              </w:rPr>
              <w:t>序号</w:t>
            </w:r>
          </w:p>
        </w:tc>
        <w:tc>
          <w:tcPr>
            <w:tcW w:w="1290" w:type="dxa"/>
            <w:tcBorders>
              <w:top w:val="single" w:color="auto" w:sz="12" w:space="0"/>
              <w:left w:val="nil"/>
              <w:bottom w:val="single" w:color="auto" w:sz="4" w:space="0"/>
              <w:right w:val="single" w:color="000000" w:sz="4" w:space="0"/>
            </w:tcBorders>
            <w:shd w:val="clear" w:color="auto" w:fill="E0E0E0"/>
            <w:noWrap w:val="0"/>
            <w:vAlign w:val="center"/>
          </w:tcPr>
          <w:p>
            <w:pPr>
              <w:jc w:val="center"/>
              <w:rPr>
                <w:rFonts w:hint="eastAsia"/>
              </w:rPr>
            </w:pPr>
            <w:r>
              <w:rPr>
                <w:rFonts w:hint="eastAsia"/>
              </w:rPr>
              <w:t>设备名称</w:t>
            </w:r>
          </w:p>
        </w:tc>
        <w:tc>
          <w:tcPr>
            <w:tcW w:w="5158" w:type="dxa"/>
            <w:tcBorders>
              <w:top w:val="single" w:color="auto" w:sz="12" w:space="0"/>
              <w:left w:val="nil"/>
              <w:bottom w:val="single" w:color="auto" w:sz="4" w:space="0"/>
              <w:right w:val="single" w:color="auto" w:sz="4" w:space="0"/>
            </w:tcBorders>
            <w:shd w:val="clear" w:color="auto" w:fill="E0E0E0"/>
            <w:noWrap w:val="0"/>
            <w:vAlign w:val="center"/>
          </w:tcPr>
          <w:p>
            <w:pPr>
              <w:jc w:val="center"/>
              <w:rPr>
                <w:rFonts w:hint="eastAsia"/>
              </w:rPr>
            </w:pPr>
            <w:r>
              <w:rPr>
                <w:rFonts w:hint="eastAsia"/>
              </w:rPr>
              <w:t>规格、型号（主要技术参数）</w:t>
            </w:r>
          </w:p>
        </w:tc>
        <w:tc>
          <w:tcPr>
            <w:tcW w:w="750" w:type="dxa"/>
            <w:tcBorders>
              <w:top w:val="single" w:color="auto" w:sz="12" w:space="0"/>
              <w:left w:val="nil"/>
              <w:bottom w:val="single" w:color="auto" w:sz="4" w:space="0"/>
              <w:right w:val="single" w:color="auto" w:sz="4" w:space="0"/>
            </w:tcBorders>
            <w:shd w:val="clear" w:color="auto" w:fill="E0E0E0"/>
            <w:noWrap w:val="0"/>
            <w:vAlign w:val="center"/>
          </w:tcPr>
          <w:p>
            <w:pPr>
              <w:jc w:val="center"/>
            </w:pPr>
            <w:bookmarkStart w:id="7" w:name="_GoBack"/>
            <w:bookmarkEnd w:id="7"/>
            <w:r>
              <w:rPr>
                <w:rFonts w:hint="eastAsia"/>
              </w:rPr>
              <w:t>数量</w:t>
            </w:r>
          </w:p>
        </w:tc>
        <w:tc>
          <w:tcPr>
            <w:tcW w:w="810" w:type="dxa"/>
            <w:tcBorders>
              <w:top w:val="single" w:color="auto" w:sz="12" w:space="0"/>
              <w:left w:val="nil"/>
              <w:bottom w:val="single" w:color="auto" w:sz="4" w:space="0"/>
              <w:right w:val="single" w:color="auto" w:sz="4" w:space="0"/>
            </w:tcBorders>
            <w:shd w:val="clear" w:color="auto" w:fill="E0E0E0"/>
            <w:noWrap w:val="0"/>
            <w:vAlign w:val="center"/>
          </w:tcPr>
          <w:p>
            <w:pPr>
              <w:jc w:val="center"/>
              <w:rPr>
                <w:rFonts w:hint="eastAsia"/>
              </w:rPr>
            </w:pPr>
            <w:r>
              <w:rPr>
                <w:rFonts w:hint="eastAsia"/>
              </w:rPr>
              <w:t>单价</w:t>
            </w:r>
          </w:p>
          <w:p>
            <w:pPr>
              <w:jc w:val="center"/>
              <w:rPr>
                <w:rFonts w:hint="eastAsia"/>
              </w:rPr>
            </w:pPr>
            <w:r>
              <w:rPr>
                <w:rFonts w:hint="eastAsia"/>
              </w:rPr>
              <w:t>（元）</w:t>
            </w:r>
          </w:p>
        </w:tc>
        <w:tc>
          <w:tcPr>
            <w:tcW w:w="1185" w:type="dxa"/>
            <w:tcBorders>
              <w:top w:val="single" w:color="auto" w:sz="12" w:space="0"/>
              <w:left w:val="nil"/>
              <w:bottom w:val="single" w:color="auto" w:sz="4" w:space="0"/>
              <w:right w:val="single" w:color="auto" w:sz="4" w:space="0"/>
            </w:tcBorders>
            <w:shd w:val="clear" w:color="auto" w:fill="E0E0E0"/>
            <w:noWrap w:val="0"/>
            <w:vAlign w:val="center"/>
          </w:tcPr>
          <w:p>
            <w:pPr>
              <w:jc w:val="center"/>
              <w:rPr>
                <w:rFonts w:hint="eastAsia"/>
              </w:rPr>
            </w:pPr>
            <w:r>
              <w:rPr>
                <w:rFonts w:hint="eastAsia"/>
              </w:rPr>
              <w:t>单价来源</w:t>
            </w:r>
          </w:p>
        </w:tc>
        <w:tc>
          <w:tcPr>
            <w:tcW w:w="900" w:type="dxa"/>
            <w:tcBorders>
              <w:top w:val="single" w:color="auto" w:sz="12" w:space="0"/>
              <w:left w:val="nil"/>
              <w:bottom w:val="single" w:color="auto" w:sz="4" w:space="0"/>
              <w:right w:val="single" w:color="auto" w:sz="4" w:space="0"/>
            </w:tcBorders>
            <w:shd w:val="clear" w:color="auto" w:fill="E0E0E0"/>
            <w:noWrap w:val="0"/>
            <w:vAlign w:val="center"/>
          </w:tcPr>
          <w:p>
            <w:pPr>
              <w:jc w:val="center"/>
              <w:rPr>
                <w:rFonts w:hint="eastAsia"/>
              </w:rPr>
            </w:pPr>
            <w:r>
              <w:rPr>
                <w:rFonts w:hint="eastAsia"/>
              </w:rPr>
              <w:t>金额</w:t>
            </w:r>
          </w:p>
          <w:p>
            <w:pPr>
              <w:jc w:val="center"/>
              <w:rPr>
                <w:rFonts w:hint="eastAsia"/>
              </w:rPr>
            </w:pPr>
            <w:r>
              <w:rPr>
                <w:rFonts w:hint="eastAsia"/>
              </w:rPr>
              <w:t>（元）</w:t>
            </w:r>
          </w:p>
        </w:tc>
        <w:tc>
          <w:tcPr>
            <w:tcW w:w="1080" w:type="dxa"/>
            <w:tcBorders>
              <w:top w:val="single" w:color="auto" w:sz="12" w:space="0"/>
              <w:left w:val="nil"/>
              <w:bottom w:val="single" w:color="auto" w:sz="4" w:space="0"/>
              <w:right w:val="single" w:color="auto" w:sz="12" w:space="0"/>
            </w:tcBorders>
            <w:shd w:val="clear" w:color="auto" w:fill="E0E0E0"/>
            <w:noWrap w:val="0"/>
            <w:vAlign w:val="center"/>
          </w:tcPr>
          <w:p>
            <w:pPr>
              <w:jc w:val="center"/>
              <w:rPr>
                <w:rFonts w:hint="eastAsia"/>
              </w:rPr>
            </w:pPr>
            <w:r>
              <w:rPr>
                <w:rFonts w:hint="eastAsia"/>
              </w:rPr>
              <w:t>存放位置</w:t>
            </w:r>
          </w:p>
        </w:tc>
        <w:tc>
          <w:tcPr>
            <w:tcW w:w="1185" w:type="dxa"/>
            <w:tcBorders>
              <w:top w:val="single" w:color="auto" w:sz="12" w:space="0"/>
              <w:left w:val="nil"/>
              <w:bottom w:val="single" w:color="auto" w:sz="4" w:space="0"/>
              <w:right w:val="single" w:color="auto" w:sz="12" w:space="0"/>
            </w:tcBorders>
            <w:shd w:val="clear" w:color="auto" w:fill="E0E0E0"/>
            <w:noWrap w:val="0"/>
            <w:vAlign w:val="center"/>
          </w:tcPr>
          <w:p>
            <w:pPr>
              <w:jc w:val="center"/>
              <w:rPr>
                <w:rFonts w:hint="eastAsia"/>
              </w:rPr>
            </w:pPr>
            <w:r>
              <w:rPr>
                <w:rFonts w:hint="eastAsia"/>
                <w:caps/>
              </w:rPr>
              <w:t>计划采购完成时间</w:t>
            </w: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rPr>
            </w:pPr>
            <w:r>
              <w:rPr>
                <w:rFonts w:hint="eastAsia"/>
              </w:rPr>
              <w:t>1</w:t>
            </w:r>
          </w:p>
        </w:tc>
        <w:tc>
          <w:tcPr>
            <w:tcW w:w="1290" w:type="dxa"/>
            <w:tcBorders>
              <w:top w:val="single" w:color="auto" w:sz="4" w:space="0"/>
              <w:left w:val="nil"/>
              <w:bottom w:val="single" w:color="auto" w:sz="4" w:space="0"/>
              <w:right w:val="single" w:color="000000" w:sz="4" w:space="0"/>
            </w:tcBorders>
            <w:noWrap w:val="0"/>
            <w:vAlign w:val="center"/>
          </w:tcPr>
          <w:p>
            <w:pPr>
              <w:jc w:val="center"/>
              <w:rPr>
                <w:rFonts w:hint="eastAsia"/>
              </w:rPr>
            </w:pPr>
            <w:r>
              <w:rPr>
                <w:rFonts w:hint="eastAsia"/>
              </w:rPr>
              <w:t>推销与商务谈判实训系统</w:t>
            </w:r>
          </w:p>
        </w:tc>
        <w:tc>
          <w:tcPr>
            <w:tcW w:w="5158" w:type="dxa"/>
            <w:tcBorders>
              <w:top w:val="single" w:color="auto" w:sz="4" w:space="0"/>
              <w:left w:val="nil"/>
              <w:bottom w:val="single" w:color="auto" w:sz="4" w:space="0"/>
              <w:right w:val="single" w:color="auto" w:sz="4" w:space="0"/>
            </w:tcBorders>
            <w:noWrap w:val="0"/>
            <w:vAlign w:val="center"/>
          </w:tcPr>
          <w:p>
            <w:pPr>
              <w:rPr>
                <w:rFonts w:hint="eastAsia"/>
              </w:rPr>
            </w:pPr>
            <w:r>
              <w:rPr>
                <w:rFonts w:hint="eastAsia"/>
              </w:rPr>
              <w:t>一、系统要求</w:t>
            </w:r>
          </w:p>
          <w:p>
            <w:r>
              <w:rPr>
                <w:rFonts w:hint="eastAsia"/>
              </w:rPr>
              <w:t>1、系统概述：系统</w:t>
            </w:r>
            <w:r>
              <w:t>依据现代推销、商务谈判等实际工作内容，把销售领域的基本理论和商务谈判要求系统化，形成了一个完整的知识体系，基于教学要求，以“学生为主体”</w:t>
            </w:r>
            <w:r>
              <w:rPr>
                <w:rFonts w:hint="eastAsia"/>
              </w:rPr>
              <w:t>、</w:t>
            </w:r>
            <w:r>
              <w:t>“学生多互动、多实训”为指引</w:t>
            </w:r>
            <w:r>
              <w:rPr>
                <w:rFonts w:hint="eastAsia"/>
              </w:rPr>
              <w:t>，重点突出实际操作与技能，完善学生知识体系。</w:t>
            </w:r>
          </w:p>
          <w:p>
            <w:r>
              <w:rPr>
                <w:rFonts w:hint="eastAsia"/>
              </w:rPr>
              <w:t>2、实训模式分为人机实训（学生扮演推销员身份）、人人实训（学生扮演客户或推销员身份），通过对任务情景、典型案例、推销实训（练习模式、实训模式）、flash资源学习、资料文档学习、考试系统等功能模块将推销与商务谈判的理论教学内容与实训实践结合起来，并在具体的实训练习中形成明确的训练任务、考核方式以及实施流程，突显理论与实践的有机结合强化自身专业技能。</w:t>
            </w:r>
          </w:p>
          <w:p>
            <w:pPr>
              <w:rPr>
                <w:rFonts w:hint="eastAsia"/>
              </w:rPr>
            </w:pPr>
            <w:r>
              <w:rPr>
                <w:rFonts w:hint="eastAsia"/>
              </w:rPr>
              <w:t>二、实训要求</w:t>
            </w:r>
          </w:p>
          <w:p>
            <w:r>
              <w:rPr>
                <w:rFonts w:hint="eastAsia"/>
              </w:rPr>
              <w:t>1、推销实训-练习模式：学生通过对实训任务的每一章节包括推销概述、推销准备、寻找客户、约见客户、接近客户、推销洽谈、处理异议、促成交易、收回贷款、推销服务、商务谈判概述、谈判前准备、谈判的开局和摸底、谈判磋商、签订购销合同等相关知识任务练习，更加了解与掌握相关专业基础知识；系统按照任务流程图的形式直观的展现每一章节的实训内容，实训内容以幻灯片的形式播放学生每看完一章节点击“已观看”按钮，下一章节的任务按钮就会被点亮才能观看。</w:t>
            </w:r>
          </w:p>
          <w:p>
            <w:r>
              <w:rPr>
                <w:rFonts w:hint="eastAsia"/>
              </w:rPr>
              <w:t>2、推销实训-实训模式：实训模式分为人机实训（学生扮演推销员身份）、人人实训（学生扮演客户或推销员身份），学生可以通过这两种模式的学习进一步提升自身专业技能。</w:t>
            </w:r>
          </w:p>
          <w:p>
            <w:r>
              <w:rPr>
                <w:rFonts w:hint="eastAsia"/>
              </w:rPr>
              <w:t>2.1、人机实训：机器人为客户，学生扮演推销员身份，学生按照任务提示流程图的形式对每一章节任务进行操作；任务包括推销准备（根据任务情景内容打开笔记对产品分析、适合人群题目内容进行编辑，熟悉企业情况、分析客户状况等）、寻找客户（进行客户分析</w:t>
            </w:r>
            <w:r>
              <w:t>寻找客户工作的要点及方法</w:t>
            </w:r>
            <w:r>
              <w:rPr>
                <w:rFonts w:hint="eastAsia"/>
              </w:rPr>
              <w:t>、</w:t>
            </w:r>
            <w:r>
              <w:t>客户资格审查</w:t>
            </w:r>
            <w:r>
              <w:rPr>
                <w:rFonts w:hint="eastAsia"/>
              </w:rPr>
              <w:t>）、约见客户（约见学生扮演不同类型客户的角色）、接近客户（</w:t>
            </w:r>
            <w:r>
              <w:t> </w:t>
            </w:r>
            <w:r>
              <w:rPr>
                <w:rFonts w:hint="eastAsia"/>
              </w:rPr>
              <w:t>了解</w:t>
            </w:r>
            <w:r>
              <w:t>接近客户前的准备</w:t>
            </w:r>
            <w:r>
              <w:rPr>
                <w:rFonts w:hint="eastAsia"/>
              </w:rPr>
              <w:t>、</w:t>
            </w:r>
            <w:r>
              <w:t>接近客户的技巧</w:t>
            </w:r>
            <w:r>
              <w:rPr>
                <w:rFonts w:hint="eastAsia"/>
              </w:rPr>
              <w:t>）、推销洽谈（根据教师端设置好的会话内容情景进行洽谈，系统会根据学生回答有关洽谈内容的关键字进行自动检索匹配，当会话结束时检索匹配度达到60分以上洽谈成功，未达到60分重新约见洽谈，直到洽谈成功为止，如果和客户已经约见了三次还未洽谈成功的话，系统会自动拉黑不能再约见此客户）、异议处理（洽谈成功后才能进行异议处理，学生根据之前的洽谈处理洽谈中存在的异议填写分析报告）、促成交易（填写分析报告</w:t>
            </w:r>
            <w:r>
              <w:t>促成交易的策略</w:t>
            </w:r>
            <w:r>
              <w:rPr>
                <w:rFonts w:hint="eastAsia"/>
              </w:rPr>
              <w:t>、</w:t>
            </w:r>
            <w:r>
              <w:t>促成交易的方法</w:t>
            </w:r>
            <w:r>
              <w:rPr>
                <w:rFonts w:hint="eastAsia"/>
              </w:rPr>
              <w:t>）、收回货款（在收回货款的时候系统会随机给出现实中遇到的各种问题告知你不能收回货款，学生可以通过对不同的问题情况进行报告总结，预防下一次遇到同样问题情况的及时处理）。</w:t>
            </w:r>
          </w:p>
          <w:p>
            <w:r>
              <w:rPr>
                <w:rFonts w:hint="eastAsia"/>
              </w:rPr>
              <w:t>A、谈判-制定方案：分析案例制定谈判方案按照收集整理对方信息、评估双方优劣势、剖析谈判性质、确定谈判目标、分析谈判环境、预测对方接受和初始立场区域、对方约束条件、生成方案等方式进行实训练习,模拟谈判项目场景分析过程提升学生自身谈判技巧与能力。</w:t>
            </w:r>
          </w:p>
          <w:p>
            <w:r>
              <w:rPr>
                <w:rFonts w:hint="eastAsia"/>
              </w:rPr>
              <w:t>B、谈判-合同：谈判完成后进行合同策划书的签订，学生可下载合同模板进行填写后提交，模拟现实场景合同的签订。</w:t>
            </w:r>
          </w:p>
          <w:p>
            <w:r>
              <w:rPr>
                <w:rFonts w:hint="eastAsia"/>
              </w:rPr>
              <w:t>2.2、人人实训：学生各自扮演客户或推销员身份，扮演的身份角色在教师端可以进行互换，学生按照任务流程图的形式对每一章节任务进行操作；如果角色身份为客户任务包括推销准备（根据任务情景内容打开笔记对产品分析、适合人群等题目内容进行编辑，熟悉企业情况、分析客户状况等）、完善信息（完善客户角色信息，包括姓名、年龄、收入、职业、学历、个人描述等角色信息）、信息查看（</w:t>
            </w:r>
            <w:r>
              <w:t> 查看收到的</w:t>
            </w:r>
            <w:r>
              <w:rPr>
                <w:rFonts w:hint="eastAsia"/>
              </w:rPr>
              <w:t>推销员来意邀请</w:t>
            </w:r>
            <w:r>
              <w:t>信息</w:t>
            </w:r>
            <w:r>
              <w:rPr>
                <w:rFonts w:hint="eastAsia"/>
              </w:rPr>
              <w:t>，</w:t>
            </w:r>
            <w:r>
              <w:t>根据第一次留言进行判断同意或拒绝</w:t>
            </w:r>
            <w:r>
              <w:rPr>
                <w:rFonts w:hint="eastAsia"/>
              </w:rPr>
              <w:t>是否约见此客户）、同意邀请（</w:t>
            </w:r>
            <w:r>
              <w:t>同意</w:t>
            </w:r>
            <w:r>
              <w:rPr>
                <w:rFonts w:hint="eastAsia"/>
              </w:rPr>
              <w:t>邀请后</w:t>
            </w:r>
            <w:r>
              <w:t>进一步洽谈</w:t>
            </w:r>
            <w:r>
              <w:rPr>
                <w:rFonts w:hint="eastAsia"/>
              </w:rPr>
              <w:t>）、推销洽谈（推销员和客户通过聊天窗口进行交流洽谈）、异议处理（客户对洽谈结果存在有异议或无异议状态进行选择，根据状态进行异议详情记录）、促成交易（推销员与客户意见达成一致后进入谈判室签订合同，推销员具有进入谈判室制定谈判方案的权限）、收回货款（</w:t>
            </w:r>
            <w:r>
              <w:t> 客户信用服务和风险控制</w:t>
            </w:r>
            <w:r>
              <w:rPr>
                <w:rFonts w:hint="eastAsia"/>
              </w:rPr>
              <w:t>，若客户尚未回款请约见客户进行回款）。学生如果身份角色为推销员任务流程同人机实训一致，只不过是多个学生之间分别扮演推销员和客户的角色相互之间进行互动。</w:t>
            </w:r>
          </w:p>
          <w:p>
            <w:r>
              <w:rPr>
                <w:rFonts w:hint="eastAsia"/>
              </w:rPr>
              <w:t>3、flash资源：通过对Flash动画内容的市场背景、市场调研需求能力、消费者的需求结构、市场成果分析等的学习增加学生学习趣味性，提升相关专业知识技能；系统flash资源列表包括海尔冰箱在上海、电商市场调查及报告、毛巾的市场调查报告、2012感冒药市场调查、广告理论与实务、创新人才的素养与技能、公共关系、商品等8个flash资源。</w:t>
            </w:r>
          </w:p>
          <w:p>
            <w:r>
              <w:rPr>
                <w:rFonts w:hint="eastAsia"/>
              </w:rPr>
              <w:t>4、系统支持案例练习和考试：提供案例练习和考试两种实训模式，学生可自主进行案例练习，也可根据教师的实训考试安排参加考试；根据学生试卷的答题情况生成学生分数对比图。</w:t>
            </w:r>
          </w:p>
          <w:p>
            <w:r>
              <w:rPr>
                <w:rFonts w:hint="eastAsia"/>
              </w:rPr>
              <w:t>三、功能模块</w:t>
            </w:r>
          </w:p>
          <w:p>
            <w:r>
              <w:rPr>
                <w:rFonts w:hint="eastAsia"/>
              </w:rPr>
              <w:t>1、管理员端：管理员端是整个软件的入口部分，承担着维护、管理教师基础信息及帐号的任务。</w:t>
            </w:r>
          </w:p>
          <w:p>
            <w:r>
              <w:rPr>
                <w:rFonts w:hint="eastAsia"/>
              </w:rPr>
              <w:t>1.1、基本设置、教师管理、案例管理、资源管理、客户管理，系统初始数据包含6种客户类型包括不定型客户、情感型客户、选价型客户、习惯型客户、冲动型客户、理智型客户，也可自定义添加客户类型。</w:t>
            </w:r>
          </w:p>
          <w:p>
            <w:r>
              <w:rPr>
                <w:rFonts w:hint="eastAsia"/>
              </w:rPr>
              <w:t>1.2、推销管理：可添加、修改、删除推销类型信息，系统初始数据推销类型包括商务型销售、渠道型销售、顾问式销售,也可自定义添加推销类型。</w:t>
            </w:r>
          </w:p>
          <w:p>
            <w:r>
              <w:rPr>
                <w:rFonts w:hint="eastAsia"/>
              </w:rPr>
              <w:t>1.3、内置试题管理:可自定义添加考试试题供学生作答。</w:t>
            </w:r>
          </w:p>
          <w:p>
            <w:r>
              <w:rPr>
                <w:rFonts w:hint="eastAsia"/>
              </w:rPr>
              <w:t>2、教师端：管理班级学生、上传资料文档及视频供学生查看学习、设置考试及实验参数、管理实验、评分等。</w:t>
            </w:r>
          </w:p>
          <w:p>
            <w:pPr>
              <w:rPr>
                <w:rFonts w:hint="eastAsia"/>
              </w:rPr>
            </w:pPr>
            <w:r>
              <w:rPr>
                <w:rFonts w:hint="eastAsia"/>
              </w:rPr>
              <w:t>2.1、个人信息、班级管理、学生管理。</w:t>
            </w:r>
          </w:p>
          <w:p>
            <w:r>
              <w:rPr>
                <w:rFonts w:hint="eastAsia"/>
              </w:rPr>
              <w:t>2.2、案例管理: 在线实验（学生对老师实训下的案列进行案列分析，自由讨论，讨论结束后可查看老师对其的评价，当案列讨论完成时学生对相对章节的案列提交实验报告，供老师对其打分，学生也可以查看老师对该章节开启的实训报告）、在线案例、参考报告（可以上传、下载参考报告）、实验得分（学生通过对案例内容的学习填写实验报告，教师端可以对学生上传的实验报告进行打分）。</w:t>
            </w:r>
          </w:p>
          <w:p>
            <w:r>
              <w:rPr>
                <w:rFonts w:hint="eastAsia"/>
              </w:rPr>
              <w:t>2.3、客户人群、客户管理、推销管理。</w:t>
            </w:r>
          </w:p>
          <w:p>
            <w:r>
              <w:rPr>
                <w:rFonts w:hint="eastAsia"/>
              </w:rPr>
              <w:t>2.4、推销实训：实训类型分为人机实训、人人实训，教师端配置实验根据不同的任务情景与选择客户人群供学生端进行实训，老师在进行实验配置时可一键自动分配方便教师操作。</w:t>
            </w:r>
          </w:p>
          <w:p>
            <w:r>
              <w:rPr>
                <w:rFonts w:hint="eastAsia"/>
              </w:rPr>
              <w:t>2.5、资源管理、试题管理、试卷管理、试卷成绩，可以查看班级成绩对比图、学生总分对比图、试卷总分等。</w:t>
            </w:r>
          </w:p>
          <w:p>
            <w:r>
              <w:rPr>
                <w:rFonts w:hint="eastAsia"/>
              </w:rPr>
              <w:t>2.6、实训成绩：对学生人机实训、人人实训进行考核评分，系统会根据实验成功次数、约见客户成功人数进行智能打分，也可重新打分，最后生成学生实训数据对比图。</w:t>
            </w:r>
          </w:p>
          <w:p>
            <w:r>
              <w:rPr>
                <w:rFonts w:hint="eastAsia"/>
              </w:rPr>
              <w:t>2.7、最终成绩：综合人机实训分数、人人实训分数、试卷总分给学生一个最终评分，可以查看班级、学生之间的总分对比图，学生最终实训成绩以Excle形式导出并打印。</w:t>
            </w:r>
          </w:p>
          <w:p>
            <w:r>
              <w:rPr>
                <w:rFonts w:hint="eastAsia"/>
              </w:rPr>
              <w:t>3、学生端：学生是实验的主体，在教师设置好分析案例，配置好实验信息之后，学生可按照实验安排的具体指导方法来认真完成实验，学生通过理论学习、开展实验和练习、查看实验成绩，来逐步提高自身的专业技能。</w:t>
            </w:r>
          </w:p>
          <w:p>
            <w:r>
              <w:rPr>
                <w:rFonts w:hint="eastAsia"/>
              </w:rPr>
              <w:t>3.1、个人信息：查看、修改学生用户的登录密码及真实姓名等信息，供学生完善个人资料。</w:t>
            </w:r>
          </w:p>
          <w:p>
            <w:r>
              <w:rPr>
                <w:rFonts w:hint="eastAsia"/>
              </w:rPr>
              <w:t>3.2、案例分析：在线实验（学生对老师实训下的案列进行案列分析，自由讨论，讨论结束后可查看老师对其的评价，当案列讨论完成时学生对相对章节的案列提交实验报告，供老师对其打分，学生也可以查看老师对该章节开启的实训报告）、实验报告（学生通过对案例内容的学习填写实验报告，教师端可以对学生上传的实验报告进行打分）。</w:t>
            </w:r>
          </w:p>
          <w:p>
            <w:r>
              <w:rPr>
                <w:rFonts w:hint="eastAsia"/>
              </w:rPr>
              <w:t>3.3、资源管理：学生端可以查看和学习老师上传的视频资料及相关文档。</w:t>
            </w:r>
          </w:p>
          <w:p>
            <w:r>
              <w:rPr>
                <w:rFonts w:hint="eastAsia"/>
              </w:rPr>
              <w:t>3.4、推销实训-练习模式：学生通过对实训任务的每一章节包括推销概述、推销准备、寻找客户、约见客户、接近客户、推销洽谈、处理异议、促成交易、收回贷款、推销服务、商务谈判概述、谈判前准备、谈判的开局和摸底、谈判磋商、签订购销合同等的相关知识任务练习更加了解与掌握相关专业基础知识；系统按照任务流程图的形式直观的展现每一章节的实训内容，实训内容以幻灯片的形式播放学生每看完一章节点击“已观看”按钮，下一章节的任务按钮就会被点亮才能观看。</w:t>
            </w:r>
          </w:p>
          <w:p>
            <w:r>
              <w:rPr>
                <w:rFonts w:hint="eastAsia"/>
              </w:rPr>
              <w:t>3.5、推销实训-实训模式：实训模式分为人机实训（学生扮演推销员身份）、人人实训（学生扮演客户或推销员身份），学生可以通过这两种模式的学习进一步提升自身专业技能。</w:t>
            </w:r>
          </w:p>
          <w:p>
            <w:r>
              <w:rPr>
                <w:rFonts w:hint="eastAsia"/>
              </w:rPr>
              <w:t>3.5.1、人机实训：机器人为客户，学生扮演推销员身份，学生按照任务提示流程图的形式对每一张章节任务进行操作，任务包括：</w:t>
            </w:r>
          </w:p>
          <w:p>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、推销准备：根据任务情景内容打开笔记对产品分析、适合人群题目内容进行编辑，熟悉企业情况、分析客户状况等。</w:t>
            </w:r>
          </w:p>
          <w:p>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、寻找客户：进行客户分析</w:t>
            </w:r>
            <w:r>
              <w:t>寻找客户工作的要点及方法</w:t>
            </w:r>
            <w:r>
              <w:rPr>
                <w:rFonts w:hint="eastAsia"/>
              </w:rPr>
              <w:t>、</w:t>
            </w:r>
            <w:r>
              <w:t>客户资格审查</w:t>
            </w:r>
            <w:r>
              <w:rPr>
                <w:rFonts w:hint="eastAsia"/>
              </w:rPr>
              <w:t>。</w:t>
            </w:r>
          </w:p>
          <w:p>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、约见客户：约见学生扮演不同类型客户的角色。</w:t>
            </w:r>
          </w:p>
          <w:p>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、接近客户：了解</w:t>
            </w:r>
            <w:r>
              <w:t>接近客户前的准备</w:t>
            </w:r>
            <w:r>
              <w:rPr>
                <w:rFonts w:hint="eastAsia"/>
              </w:rPr>
              <w:t>、</w:t>
            </w:r>
            <w:r>
              <w:t>接近客户的技巧</w:t>
            </w:r>
            <w:r>
              <w:rPr>
                <w:rFonts w:hint="eastAsia"/>
              </w:rPr>
              <w:t>。</w:t>
            </w:r>
          </w:p>
          <w:p>
            <w:r>
              <w:fldChar w:fldCharType="begin"/>
            </w:r>
            <w:r>
              <w:instrText xml:space="preserve"> </w:instrText>
            </w:r>
            <w:r>
              <w:rPr>
                <w:rFonts w:hint="eastAsia"/>
              </w:rPr>
              <w:instrText xml:space="preserve">= 5 \* GB3</w:instrText>
            </w:r>
            <w:r>
              <w:instrText xml:space="preserve"> </w:instrText>
            </w:r>
            <w:r>
              <w:fldChar w:fldCharType="separate"/>
            </w:r>
            <w:r>
              <w:rPr>
                <w:rFonts w:hint="eastAsia"/>
              </w:rPr>
              <w:t>⑤</w:t>
            </w:r>
            <w:r>
              <w:fldChar w:fldCharType="end"/>
            </w:r>
            <w:r>
              <w:rPr>
                <w:rFonts w:hint="eastAsia"/>
              </w:rPr>
              <w:t>、推销洽谈：根据教师端设置好的会话内容情景进行洽谈，系统会根据有关洽谈内容的关键字进行自动检索匹配，当会话结束时检索匹配度达到60分以上洽谈成功，未达到60分重新约见洽谈，直到洽谈成功为止，如果和客户已经约见了三次还未洽谈成功的话，系统会自动拉黑不能再约见此客户。</w:t>
            </w:r>
          </w:p>
          <w:p>
            <w:r>
              <w:fldChar w:fldCharType="begin"/>
            </w:r>
            <w:r>
              <w:instrText xml:space="preserve"> </w:instrText>
            </w:r>
            <w:r>
              <w:rPr>
                <w:rFonts w:hint="eastAsia"/>
              </w:rPr>
              <w:instrText xml:space="preserve">= 6 \* GB3</w:instrText>
            </w:r>
            <w:r>
              <w:instrText xml:space="preserve"> </w:instrText>
            </w:r>
            <w:r>
              <w:fldChar w:fldCharType="separate"/>
            </w:r>
            <w:r>
              <w:rPr>
                <w:rFonts w:hint="eastAsia"/>
              </w:rPr>
              <w:t>⑥</w:t>
            </w:r>
            <w:r>
              <w:fldChar w:fldCharType="end"/>
            </w:r>
            <w:r>
              <w:rPr>
                <w:rFonts w:hint="eastAsia"/>
              </w:rPr>
              <w:t>、异议处理:洽谈成功后才能进行异议处理，学生根据之前的洽谈，处理洽谈中存在的异议填写分析报告。</w:t>
            </w:r>
          </w:p>
          <w:p>
            <w:r>
              <w:fldChar w:fldCharType="begin"/>
            </w:r>
            <w:r>
              <w:instrText xml:space="preserve"> </w:instrText>
            </w:r>
            <w:r>
              <w:rPr>
                <w:rFonts w:hint="eastAsia"/>
              </w:rPr>
              <w:instrText xml:space="preserve">= 7 \* GB3</w:instrText>
            </w:r>
            <w:r>
              <w:instrText xml:space="preserve"> </w:instrText>
            </w:r>
            <w:r>
              <w:fldChar w:fldCharType="separate"/>
            </w:r>
            <w:r>
              <w:rPr>
                <w:rFonts w:hint="eastAsia"/>
              </w:rPr>
              <w:t>⑦</w:t>
            </w:r>
            <w:r>
              <w:fldChar w:fldCharType="end"/>
            </w:r>
            <w:r>
              <w:rPr>
                <w:rFonts w:hint="eastAsia"/>
              </w:rPr>
              <w:t>、促成交易：填写分析报告</w:t>
            </w:r>
            <w:r>
              <w:t>促成交易的策略</w:t>
            </w:r>
            <w:r>
              <w:rPr>
                <w:rFonts w:hint="eastAsia"/>
              </w:rPr>
              <w:t>、</w:t>
            </w:r>
            <w:r>
              <w:t>促成交易的方法</w:t>
            </w:r>
            <w:r>
              <w:rPr>
                <w:rFonts w:hint="eastAsia"/>
              </w:rPr>
              <w:t>。</w:t>
            </w:r>
          </w:p>
          <w:p>
            <w:r>
              <w:fldChar w:fldCharType="begin"/>
            </w:r>
            <w:r>
              <w:instrText xml:space="preserve"> </w:instrText>
            </w:r>
            <w:r>
              <w:rPr>
                <w:rFonts w:hint="eastAsia"/>
              </w:rPr>
              <w:instrText xml:space="preserve">= 8 \* GB3</w:instrText>
            </w:r>
            <w:r>
              <w:instrText xml:space="preserve"> </w:instrText>
            </w:r>
            <w:r>
              <w:fldChar w:fldCharType="separate"/>
            </w:r>
            <w:r>
              <w:rPr>
                <w:rFonts w:hint="eastAsia"/>
              </w:rPr>
              <w:t>⑧</w:t>
            </w:r>
            <w:r>
              <w:fldChar w:fldCharType="end"/>
            </w:r>
            <w:r>
              <w:rPr>
                <w:rFonts w:hint="eastAsia"/>
              </w:rPr>
              <w:t>、收回货款：在收回货款的时候系统会随机给出现实中遇到的各种问题告知你不能收回货款，学生可以通过对不同的问题情况进行报告总结，预防下一次遇到同样问题情况时的及时处理。</w:t>
            </w:r>
          </w:p>
          <w:p>
            <w:r>
              <w:fldChar w:fldCharType="begin"/>
            </w:r>
            <w:r>
              <w:instrText xml:space="preserve"> </w:instrText>
            </w:r>
            <w:r>
              <w:rPr>
                <w:rFonts w:hint="eastAsia"/>
              </w:rPr>
              <w:instrText xml:space="preserve">= 9 \* GB3</w:instrText>
            </w:r>
            <w:r>
              <w:instrText xml:space="preserve"> </w:instrText>
            </w:r>
            <w:r>
              <w:fldChar w:fldCharType="separate"/>
            </w:r>
            <w:r>
              <w:rPr>
                <w:rFonts w:hint="eastAsia"/>
              </w:rPr>
              <w:t>⑨</w:t>
            </w:r>
            <w:r>
              <w:fldChar w:fldCharType="end"/>
            </w:r>
            <w:r>
              <w:rPr>
                <w:rFonts w:hint="eastAsia"/>
              </w:rPr>
              <w:t>、谈判-制定方案：分析案例制定谈判方案按照收集整理对方信息、评估双方优劣势、剖析谈判性质、确定谈判目标、分析谈判环境、预测对方接受和初始立场区域、对方约束条件、生成方案等方式进行实训练习,模拟谈判项目场景分析过程，提升学生自身谈判技巧与能力。</w:t>
            </w:r>
          </w:p>
          <w:p>
            <w:r>
              <w:fldChar w:fldCharType="begin"/>
            </w:r>
            <w:r>
              <w:instrText xml:space="preserve"> </w:instrText>
            </w:r>
            <w:r>
              <w:rPr>
                <w:rFonts w:hint="eastAsia"/>
              </w:rPr>
              <w:instrText xml:space="preserve">= 10 \* GB3</w:instrText>
            </w:r>
            <w:r>
              <w:instrText xml:space="preserve"> </w:instrText>
            </w:r>
            <w:r>
              <w:fldChar w:fldCharType="separate"/>
            </w:r>
            <w:r>
              <w:rPr>
                <w:rFonts w:hint="eastAsia"/>
              </w:rPr>
              <w:t>⑩</w:t>
            </w:r>
            <w:r>
              <w:fldChar w:fldCharType="end"/>
            </w:r>
            <w:r>
              <w:rPr>
                <w:rFonts w:hint="eastAsia"/>
              </w:rPr>
              <w:t>、谈判-合同：谈判完成后进行合同策划书的签订，学生可下载合同模板进行填写后提交，模拟现实场景合同的签订。</w:t>
            </w:r>
          </w:p>
          <w:p>
            <w:r>
              <w:rPr>
                <w:rFonts w:hint="eastAsia"/>
              </w:rPr>
              <w:t>3.5.2、人人实训：学生各自扮演客户或推销员身份，扮演的身份角色在教师端可以进行互换，学生按照任务提示流程图的形式对每一章节任务进行操作，以角色身份为客户任务包括：</w:t>
            </w:r>
          </w:p>
          <w:p>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、推销准备：根据任务情景内容打开笔记对产品分析、适合人群等题目内容进行编辑，熟悉企业情况、分析客户状况等。</w:t>
            </w:r>
          </w:p>
          <w:p>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、完善信息：完善客户角色信息，包括姓名、年龄、收入、职业、学历、个人描述等信息。</w:t>
            </w:r>
          </w:p>
          <w:p>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、信息查看：</w:t>
            </w:r>
            <w:r>
              <w:t> 查看收到的</w:t>
            </w:r>
            <w:r>
              <w:rPr>
                <w:rFonts w:hint="eastAsia"/>
              </w:rPr>
              <w:t>推销员来意邀请</w:t>
            </w:r>
            <w:r>
              <w:t>信息</w:t>
            </w:r>
            <w:r>
              <w:rPr>
                <w:rFonts w:hint="eastAsia"/>
              </w:rPr>
              <w:t>，</w:t>
            </w:r>
            <w:r>
              <w:t>根据第一次留言进行判断同意或拒绝</w:t>
            </w:r>
            <w:r>
              <w:rPr>
                <w:rFonts w:hint="eastAsia"/>
              </w:rPr>
              <w:t>是否约见此客户。</w:t>
            </w:r>
          </w:p>
          <w:p>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、同意邀请：</w:t>
            </w:r>
            <w:r>
              <w:t>同意</w:t>
            </w:r>
            <w:r>
              <w:rPr>
                <w:rFonts w:hint="eastAsia"/>
              </w:rPr>
              <w:t>邀请后</w:t>
            </w:r>
            <w:r>
              <w:t>进一步洽谈</w:t>
            </w:r>
            <w:r>
              <w:rPr>
                <w:rFonts w:hint="eastAsia"/>
              </w:rPr>
              <w:t>。</w:t>
            </w:r>
          </w:p>
          <w:p>
            <w:r>
              <w:fldChar w:fldCharType="begin"/>
            </w:r>
            <w:r>
              <w:instrText xml:space="preserve"> </w:instrText>
            </w:r>
            <w:r>
              <w:rPr>
                <w:rFonts w:hint="eastAsia"/>
              </w:rPr>
              <w:instrText xml:space="preserve">= 5 \* GB3</w:instrText>
            </w:r>
            <w:r>
              <w:instrText xml:space="preserve"> </w:instrText>
            </w:r>
            <w:r>
              <w:fldChar w:fldCharType="separate"/>
            </w:r>
            <w:r>
              <w:rPr>
                <w:rFonts w:hint="eastAsia"/>
              </w:rPr>
              <w:t>⑤</w:t>
            </w:r>
            <w:r>
              <w:fldChar w:fldCharType="end"/>
            </w:r>
            <w:r>
              <w:rPr>
                <w:rFonts w:hint="eastAsia"/>
              </w:rPr>
              <w:t>、推销洽谈：推销员和客户通过聊天窗口进行交流洽谈。</w:t>
            </w:r>
          </w:p>
          <w:p>
            <w:r>
              <w:fldChar w:fldCharType="begin"/>
            </w:r>
            <w:r>
              <w:instrText xml:space="preserve"> </w:instrText>
            </w:r>
            <w:r>
              <w:rPr>
                <w:rFonts w:hint="eastAsia"/>
              </w:rPr>
              <w:instrText xml:space="preserve">= 6 \* GB3</w:instrText>
            </w:r>
            <w:r>
              <w:instrText xml:space="preserve"> </w:instrText>
            </w:r>
            <w:r>
              <w:fldChar w:fldCharType="separate"/>
            </w:r>
            <w:r>
              <w:rPr>
                <w:rFonts w:hint="eastAsia"/>
              </w:rPr>
              <w:t>⑥</w:t>
            </w:r>
            <w:r>
              <w:fldChar w:fldCharType="end"/>
            </w:r>
            <w:r>
              <w:rPr>
                <w:rFonts w:hint="eastAsia"/>
              </w:rPr>
              <w:t>、异议处理：客户对洽谈结果进行处理，对存在有异议或无异议的状态进行选择，根据状态进行异议详情记录。</w:t>
            </w:r>
          </w:p>
          <w:p>
            <w:r>
              <w:fldChar w:fldCharType="begin"/>
            </w:r>
            <w:r>
              <w:instrText xml:space="preserve"> </w:instrText>
            </w:r>
            <w:r>
              <w:rPr>
                <w:rFonts w:hint="eastAsia"/>
              </w:rPr>
              <w:instrText xml:space="preserve">= 7 \* GB3</w:instrText>
            </w:r>
            <w:r>
              <w:instrText xml:space="preserve"> </w:instrText>
            </w:r>
            <w:r>
              <w:fldChar w:fldCharType="separate"/>
            </w:r>
            <w:r>
              <w:rPr>
                <w:rFonts w:hint="eastAsia"/>
              </w:rPr>
              <w:t>⑦</w:t>
            </w:r>
            <w:r>
              <w:fldChar w:fldCharType="end"/>
            </w:r>
            <w:r>
              <w:rPr>
                <w:rFonts w:hint="eastAsia"/>
              </w:rPr>
              <w:t>、促成交易：推销员与客户意见达成一致后进入谈判室签订合同，推销员具有进入谈判室制定谈判方案的权限。</w:t>
            </w:r>
          </w:p>
          <w:p>
            <w:r>
              <w:fldChar w:fldCharType="begin"/>
            </w:r>
            <w:r>
              <w:instrText xml:space="preserve"> </w:instrText>
            </w:r>
            <w:r>
              <w:rPr>
                <w:rFonts w:hint="eastAsia"/>
              </w:rPr>
              <w:instrText xml:space="preserve">= 8 \* GB3</w:instrText>
            </w:r>
            <w:r>
              <w:instrText xml:space="preserve"> </w:instrText>
            </w:r>
            <w:r>
              <w:fldChar w:fldCharType="separate"/>
            </w:r>
            <w:r>
              <w:rPr>
                <w:rFonts w:hint="eastAsia"/>
              </w:rPr>
              <w:t>⑧</w:t>
            </w:r>
            <w:r>
              <w:fldChar w:fldCharType="end"/>
            </w:r>
            <w:r>
              <w:rPr>
                <w:rFonts w:hint="eastAsia"/>
              </w:rPr>
              <w:t>、收回货款：</w:t>
            </w:r>
            <w:r>
              <w:t>客户信用服务和风险控制</w:t>
            </w:r>
            <w:r>
              <w:rPr>
                <w:rFonts w:hint="eastAsia"/>
              </w:rPr>
              <w:t>，若客户尚未回款请约见客户进行回款。</w:t>
            </w:r>
          </w:p>
          <w:p>
            <w:pPr>
              <w:rPr>
                <w:rFonts w:hint="eastAsia"/>
              </w:rPr>
            </w:pPr>
            <w:r>
              <w:rPr>
                <w:rFonts w:hint="eastAsia"/>
              </w:rPr>
              <w:t>如果学生身份角色为推销员，任务流程同人机实训一致，只不过是多个学生之间分别扮演推销员和客户的角色相互之间进行互动。</w:t>
            </w:r>
          </w:p>
          <w:p>
            <w:pPr>
              <w:rPr>
                <w:rFonts w:hint="eastAsia"/>
              </w:rPr>
            </w:pPr>
            <w:r>
              <w:rPr>
                <w:rFonts w:hint="eastAsia"/>
              </w:rPr>
              <w:t>3.5.3、flash资源：通过对Flash动画内容的市场背景、市场调研需求能力、消费者的需求结构、市场成果分析等的学习增加学生学习趣味性，提升专业知识技能；系统flash资源列表包括海尔冰箱在上海、电商市场的调查及报告、毛巾的市场调查报告、2012感冒药市场调查、广告理论与实务、创新人才素养与技能、公共关系、商品等8个flash资源。</w:t>
            </w:r>
          </w:p>
          <w:p>
            <w:r>
              <w:rPr>
                <w:rFonts w:hint="eastAsia"/>
              </w:rPr>
              <w:t>3.5.4、考试系统：学生端以试卷的形式参加考试，答完题后对试卷进行提交，客观题系统自动评分，主观题教师评分；评分完毕后学生可以看到自己的考试成绩。</w:t>
            </w:r>
          </w:p>
          <w:p>
            <w:pPr>
              <w:rPr>
                <w:lang w:val="zh-CN"/>
              </w:rPr>
            </w:pPr>
            <w:r>
              <w:rPr>
                <w:rFonts w:hint="eastAsia"/>
              </w:rPr>
              <w:t>四、</w:t>
            </w:r>
            <w:r>
              <w:rPr>
                <w:rFonts w:hint="eastAsia"/>
                <w:lang w:val="zh-CN"/>
              </w:rPr>
              <w:t>其他要求</w:t>
            </w:r>
          </w:p>
          <w:p>
            <w:pPr>
              <w:rPr>
                <w:rFonts w:hint="eastAsia"/>
              </w:rPr>
            </w:pPr>
            <w:r>
              <w:rPr>
                <w:rFonts w:hint="eastAsia"/>
              </w:rPr>
              <w:t>1、</w:t>
            </w:r>
            <w:r>
              <w:rPr>
                <w:rFonts w:hint="eastAsia"/>
                <w:lang w:val="zh-CN"/>
              </w:rPr>
              <w:t>系统平台教学方式：软件采用IE浏览器版，网络教学模式。</w:t>
            </w:r>
          </w:p>
          <w:p>
            <w:pPr>
              <w:rPr>
                <w:rFonts w:hint="eastAsia"/>
              </w:rPr>
            </w:pPr>
            <w:r>
              <w:rPr>
                <w:rFonts w:hint="eastAsia"/>
              </w:rPr>
              <w:t>2、系统</w:t>
            </w:r>
            <w:r>
              <w:rPr>
                <w:rFonts w:hint="eastAsia"/>
                <w:lang w:val="zh-CN"/>
              </w:rPr>
              <w:t>采用</w:t>
            </w:r>
            <w:r>
              <w:rPr>
                <w:rFonts w:hint="eastAsia"/>
              </w:rPr>
              <w:t>MY</w:t>
            </w:r>
            <w:r>
              <w:rPr>
                <w:rFonts w:hint="eastAsia"/>
                <w:lang w:val="zh-CN"/>
              </w:rPr>
              <w:t>SQL</w:t>
            </w:r>
            <w:r>
              <w:rPr>
                <w:rFonts w:hint="eastAsia"/>
              </w:rPr>
              <w:t>数据库</w:t>
            </w:r>
            <w:r>
              <w:rPr>
                <w:rFonts w:hint="eastAsia"/>
                <w:lang w:val="zh-CN"/>
              </w:rPr>
              <w:t>，JAVA语言基于J2EE技术的B/S结构产品。</w:t>
            </w:r>
          </w:p>
        </w:tc>
        <w:tc>
          <w:tcPr>
            <w:tcW w:w="750" w:type="dxa"/>
            <w:tcBorders>
              <w:top w:val="single" w:color="auto" w:sz="4" w:space="0"/>
              <w:left w:val="nil"/>
              <w:bottom w:val="single" w:color="auto" w:sz="4" w:space="0"/>
              <w:right w:val="single" w:color="auto" w:sz="4" w:space="0"/>
            </w:tcBorders>
            <w:noWrap w:val="0"/>
            <w:vAlign w:val="center"/>
          </w:tcPr>
          <w:p>
            <w:pPr>
              <w:jc w:val="center"/>
              <w:rPr>
                <w:rFonts w:hint="eastAsia"/>
              </w:rPr>
            </w:pPr>
            <w:r>
              <w:rPr>
                <w:rFonts w:hint="eastAsia"/>
              </w:rPr>
              <w:t>1套</w:t>
            </w:r>
          </w:p>
        </w:tc>
        <w:tc>
          <w:tcPr>
            <w:tcW w:w="810" w:type="dxa"/>
            <w:tcBorders>
              <w:top w:val="single" w:color="auto" w:sz="4" w:space="0"/>
              <w:left w:val="nil"/>
              <w:bottom w:val="single" w:color="auto" w:sz="4" w:space="0"/>
              <w:right w:val="single" w:color="auto" w:sz="4" w:space="0"/>
            </w:tcBorders>
            <w:noWrap w:val="0"/>
            <w:vAlign w:val="center"/>
          </w:tcPr>
          <w:p>
            <w:pPr>
              <w:jc w:val="center"/>
              <w:rPr>
                <w:rFonts w:hint="eastAsia"/>
              </w:rPr>
            </w:pPr>
            <w:r>
              <w:rPr>
                <w:rFonts w:hint="eastAsia"/>
              </w:rPr>
              <w:t>12</w:t>
            </w:r>
            <w:r>
              <w:t>8000</w:t>
            </w:r>
          </w:p>
        </w:tc>
        <w:tc>
          <w:tcPr>
            <w:tcW w:w="1185" w:type="dxa"/>
            <w:tcBorders>
              <w:top w:val="single" w:color="auto" w:sz="4" w:space="0"/>
              <w:left w:val="nil"/>
              <w:bottom w:val="single" w:color="auto" w:sz="4" w:space="0"/>
              <w:right w:val="single" w:color="auto" w:sz="4" w:space="0"/>
            </w:tcBorders>
            <w:noWrap w:val="0"/>
            <w:vAlign w:val="center"/>
          </w:tcPr>
          <w:p>
            <w:pPr>
              <w:jc w:val="center"/>
              <w:rPr>
                <w:rFonts w:hint="eastAsia"/>
              </w:rPr>
            </w:pPr>
            <w:r>
              <w:rPr>
                <w:rFonts w:hint="eastAsia"/>
              </w:rPr>
              <w:t>各厂家价格对比</w:t>
            </w:r>
          </w:p>
        </w:tc>
        <w:tc>
          <w:tcPr>
            <w:tcW w:w="900" w:type="dxa"/>
            <w:tcBorders>
              <w:top w:val="single" w:color="auto" w:sz="4" w:space="0"/>
              <w:left w:val="nil"/>
              <w:bottom w:val="single" w:color="auto" w:sz="4" w:space="0"/>
              <w:right w:val="single" w:color="auto" w:sz="4" w:space="0"/>
            </w:tcBorders>
            <w:noWrap w:val="0"/>
            <w:vAlign w:val="center"/>
          </w:tcPr>
          <w:p>
            <w:pPr>
              <w:jc w:val="center"/>
            </w:pPr>
            <w:r>
              <w:rPr>
                <w:rFonts w:hint="eastAsia"/>
              </w:rPr>
              <w:t>12</w:t>
            </w:r>
            <w:r>
              <w:t>8000</w:t>
            </w:r>
          </w:p>
        </w:tc>
        <w:tc>
          <w:tcPr>
            <w:tcW w:w="1080" w:type="dxa"/>
            <w:tcBorders>
              <w:top w:val="single" w:color="auto" w:sz="4" w:space="0"/>
              <w:left w:val="nil"/>
              <w:bottom w:val="single" w:color="auto" w:sz="4" w:space="0"/>
              <w:right w:val="single" w:color="auto" w:sz="12" w:space="0"/>
            </w:tcBorders>
            <w:noWrap w:val="0"/>
            <w:vAlign w:val="center"/>
          </w:tcPr>
          <w:p>
            <w:pPr>
              <w:rPr>
                <w:rFonts w:hint="eastAsia"/>
              </w:rPr>
            </w:pPr>
          </w:p>
        </w:tc>
        <w:tc>
          <w:tcPr>
            <w:tcW w:w="1185" w:type="dxa"/>
            <w:tcBorders>
              <w:top w:val="single" w:color="auto" w:sz="4" w:space="0"/>
              <w:left w:val="nil"/>
              <w:bottom w:val="single" w:color="auto" w:sz="4" w:space="0"/>
              <w:right w:val="single" w:color="auto" w:sz="12" w:space="0"/>
            </w:tcBorders>
            <w:noWrap w:val="0"/>
            <w:vAlign w:val="center"/>
          </w:tcPr>
          <w:p>
            <w:pPr>
              <w:rPr>
                <w:rFonts w:hint="eastAsia"/>
              </w:rPr>
            </w:pP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rPr>
            </w:pPr>
            <w:r>
              <w:rPr>
                <w:rFonts w:hint="eastAsia"/>
              </w:rPr>
              <w:t>2</w:t>
            </w:r>
          </w:p>
        </w:tc>
        <w:tc>
          <w:tcPr>
            <w:tcW w:w="1290" w:type="dxa"/>
            <w:tcBorders>
              <w:top w:val="single" w:color="auto" w:sz="4" w:space="0"/>
              <w:left w:val="nil"/>
              <w:bottom w:val="single" w:color="auto" w:sz="4" w:space="0"/>
              <w:right w:val="single" w:color="000000" w:sz="4" w:space="0"/>
            </w:tcBorders>
            <w:noWrap w:val="0"/>
            <w:vAlign w:val="center"/>
          </w:tcPr>
          <w:p>
            <w:pPr>
              <w:jc w:val="center"/>
              <w:rPr>
                <w:rFonts w:hint="eastAsia"/>
              </w:rPr>
            </w:pPr>
            <w:r>
              <w:rPr>
                <w:rFonts w:hint="eastAsia"/>
              </w:rPr>
              <w:t>新媒体营销实训系统</w:t>
            </w:r>
          </w:p>
        </w:tc>
        <w:tc>
          <w:tcPr>
            <w:tcW w:w="5158" w:type="dxa"/>
            <w:tcBorders>
              <w:top w:val="single" w:color="auto" w:sz="4" w:space="0"/>
              <w:left w:val="nil"/>
              <w:bottom w:val="single" w:color="auto" w:sz="4" w:space="0"/>
              <w:right w:val="single" w:color="auto" w:sz="4" w:space="0"/>
            </w:tcBorders>
            <w:noWrap w:val="0"/>
            <w:vAlign w:val="center"/>
          </w:tcPr>
          <w:p>
            <w:r>
              <w:rPr>
                <w:rFonts w:hint="eastAsia"/>
              </w:rPr>
              <w:t>一、系统要求</w:t>
            </w:r>
          </w:p>
          <w:p>
            <w:pPr>
              <w:rPr>
                <w:rFonts w:hint="eastAsia"/>
              </w:rPr>
            </w:pPr>
            <w:r>
              <w:rPr>
                <w:rFonts w:hint="eastAsia"/>
              </w:rPr>
              <w:t>1、系统包含6大类主流新媒体营销：微信平台、微博平台、斗鱼平台、抖音平台、百度推广，今日头条等营销方式，让学生体验不同新媒体营销方式带来的新型直观受益。</w:t>
            </w:r>
          </w:p>
          <w:p>
            <w:pPr>
              <w:rPr>
                <w:rFonts w:hint="eastAsia"/>
              </w:rPr>
            </w:pPr>
            <w:r>
              <w:rPr>
                <w:rFonts w:hint="eastAsia"/>
              </w:rPr>
              <w:t>2、通过模拟百度推广平台让学进行实训。学生通过实操基木鱼，爱番番，搜索推广，信息流推广等核心模块，熟练掌握新媒体推广技能，通过模拟企业级软件，让学生更真实感受企业级应用，提升学生综合素质。</w:t>
            </w:r>
          </w:p>
          <w:p>
            <w:pPr>
              <w:rPr>
                <w:rFonts w:hint="eastAsia"/>
              </w:rPr>
            </w:pPr>
            <w:r>
              <w:rPr>
                <w:rFonts w:hint="eastAsia"/>
              </w:rPr>
              <w:t>3、包含自媒体、公众号等前沿的网络营销技能。</w:t>
            </w:r>
          </w:p>
          <w:p>
            <w:pPr>
              <w:rPr>
                <w:rFonts w:hint="eastAsia"/>
              </w:rPr>
            </w:pPr>
            <w:r>
              <w:rPr>
                <w:rFonts w:hint="eastAsia"/>
              </w:rPr>
              <w:t>4、生动的表现形式，丰富的网络营销技能模型，把理论知识生动化。</w:t>
            </w:r>
          </w:p>
          <w:p>
            <w:pPr>
              <w:rPr>
                <w:rFonts w:hint="eastAsia"/>
              </w:rPr>
            </w:pPr>
            <w:r>
              <w:rPr>
                <w:rFonts w:hint="eastAsia"/>
              </w:rPr>
              <w:t>5、操作性强，将操作过程量化，系统可对每一步操作进行评分，具有竞争性。</w:t>
            </w:r>
          </w:p>
          <w:p>
            <w:pPr>
              <w:rPr>
                <w:rFonts w:hint="eastAsia"/>
              </w:rPr>
            </w:pPr>
            <w:r>
              <w:rPr>
                <w:rFonts w:hint="eastAsia"/>
              </w:rPr>
              <w:t>二、功能模块</w:t>
            </w:r>
          </w:p>
          <w:p>
            <w:pPr>
              <w:rPr>
                <w:rFonts w:hint="eastAsia"/>
              </w:rPr>
            </w:pPr>
            <w:r>
              <w:rPr>
                <w:rFonts w:hint="eastAsia"/>
              </w:rPr>
              <w:t>1、管理员端：包含基本设置、教师管理、案例管理、资源管理、试题管理、参数详情等模块。</w:t>
            </w:r>
          </w:p>
          <w:p>
            <w:pPr>
              <w:rPr>
                <w:rFonts w:hint="eastAsia"/>
              </w:rPr>
            </w:pPr>
            <w:r>
              <w:rPr>
                <w:rFonts w:hint="eastAsia"/>
              </w:rPr>
              <w:t>2、教师端：教师端包含个人信息、班级管理、学生管理、案例管理、资源管理、试题管理、试卷管理、实训设置、实训成绩、最终成绩等模块。</w:t>
            </w:r>
          </w:p>
          <w:p>
            <w:pPr>
              <w:rPr>
                <w:rFonts w:hint="eastAsia"/>
              </w:rPr>
            </w:pPr>
            <w:r>
              <w:rPr>
                <w:rFonts w:hint="eastAsia"/>
              </w:rPr>
              <w:t>3、学生端：</w:t>
            </w:r>
          </w:p>
          <w:p>
            <w:pPr>
              <w:rPr>
                <w:rFonts w:hint="eastAsia"/>
              </w:rPr>
            </w:pPr>
            <w:r>
              <w:rPr>
                <w:rFonts w:hint="eastAsia"/>
              </w:rPr>
              <w:t>3.1、个人信息：维护学生个人登录密码及信息。</w:t>
            </w:r>
          </w:p>
          <w:p>
            <w:pPr>
              <w:rPr>
                <w:rFonts w:hint="eastAsia"/>
              </w:rPr>
            </w:pPr>
            <w:r>
              <w:rPr>
                <w:rFonts w:hint="eastAsia"/>
              </w:rPr>
              <w:t>3.2、微信平台：包括平台用户分析（以数据魔方的形式直观体现平台用户群体特征）、我的营销（广告推广、微博推广、微信群推广）、我的关注（发布消息、点击/取消关注）、我的公众号（设置自动回复，关键词回复、收到消息回复；设置自定义菜单进行图文发布；回复管理、素材管理；公众号设置等）、品牌（网红代言：通过竞价方式获得网红代言，从而增强产品推广效果；折扣促销：制定促销策略提升销售值；员工培训：提升员工业务熟练度；社会公益：选择不同种类的公益活动提升社会责任值）、粉丝维护（通过选择线上/线下活动的趣味游戏比赛、粉丝群红包、素质拓展等活动方式增加粉丝忠诚度，进一步提升知名度）、吸引粉丝（通过线上朋友圈吸粉、线下竞价吸粉的方式提升品牌知名度及吸引粉丝数量）、得分要素等功能。</w:t>
            </w:r>
          </w:p>
          <w:p>
            <w:pPr>
              <w:rPr>
                <w:rFonts w:hint="eastAsia"/>
              </w:rPr>
            </w:pPr>
            <w:r>
              <w:rPr>
                <w:rFonts w:hint="eastAsia"/>
              </w:rPr>
              <w:t>3.3、微博平台：包括平台用户数据（以数据魔方的形式直观体现平台用户群体特征）、微博橱窗（创建商品、销售定价、管理我的商品）、营销推广（通过广告中心、抽奖中心、微任务等功能掌握不同的营销方法）、粉丝服务（可设置消息自动回复）、收支明细（统计营销推广红包金额及广告价格）、我的收藏、点赞、转发、评论、我的相册、得分要素等功能。</w:t>
            </w:r>
          </w:p>
          <w:p>
            <w:pPr>
              <w:rPr>
                <w:rFonts w:hint="eastAsia"/>
              </w:rPr>
            </w:pPr>
            <w:r>
              <w:rPr>
                <w:rFonts w:hint="eastAsia"/>
              </w:rPr>
              <w:t>3.4、斗鱼平台：包括我的关注、排行榜（新人榜单、斗鱼巅峰榜单）、直播分类（科技文化、语音互动、正能量等，管理员端可自定义添加新分类）、创建直播间（设计直播间标题、封面后开始直播）、得分要素等功能。</w:t>
            </w:r>
          </w:p>
          <w:p>
            <w:pPr>
              <w:rPr>
                <w:rFonts w:hint="eastAsia"/>
              </w:rPr>
            </w:pPr>
            <w:r>
              <w:rPr>
                <w:rFonts w:hint="eastAsia"/>
              </w:rPr>
              <w:t>3.5、抖音平台：包括网红竞价（通过竞价方式获得网红代言，从而增强产品推广效果）、粉丝分析、我的抖音（模拟真实抖音平台，音乐短视频+直播+社区化运营），得分要素等四大模块。</w:t>
            </w:r>
          </w:p>
          <w:p>
            <w:pPr>
              <w:rPr>
                <w:rFonts w:hint="eastAsia"/>
              </w:rPr>
            </w:pPr>
            <w:r>
              <w:rPr>
                <w:rFonts w:hint="eastAsia"/>
              </w:rPr>
              <w:t>3.6、百度推广：学生通过百度多元化的推广方式进行营销。</w:t>
            </w:r>
          </w:p>
          <w:p>
            <w:pPr>
              <w:rPr>
                <w:rFonts w:hint="eastAsia"/>
              </w:rPr>
            </w:pPr>
            <w:r>
              <w:rPr>
                <w:rFonts w:hint="eastAsia"/>
              </w:rPr>
              <w:t>3.6.1、基木鱼：包括我的站点，选择模板，我的素材，站点分析模块。</w:t>
            </w:r>
          </w:p>
          <w:p>
            <w:pPr>
              <w:rPr>
                <w:rFonts w:hint="eastAsia"/>
              </w:rPr>
            </w:pPr>
            <w:r>
              <w:rPr>
                <w:rFonts w:hint="eastAsia"/>
              </w:rPr>
              <w:t>3.6.2、爱番番：销售跟进(线索池，我的线索，客户，订单)，数据分析(广告转化分析，搜索推广分析，信息流分析，线索状态分析，漏斗分析等)，协调办公(日程管理)，权益中心(订单列表，消费明细等)。</w:t>
            </w:r>
          </w:p>
          <w:p>
            <w:pPr>
              <w:rPr>
                <w:rFonts w:hint="eastAsia"/>
              </w:rPr>
            </w:pPr>
            <w:r>
              <w:rPr>
                <w:rFonts w:hint="eastAsia"/>
              </w:rPr>
              <w:t>3.6.3、营销服务市场：学生可以在此模块购买H5或者PC端模板。</w:t>
            </w:r>
          </w:p>
          <w:p>
            <w:pPr>
              <w:rPr>
                <w:rFonts w:hint="eastAsia"/>
              </w:rPr>
            </w:pPr>
            <w:r>
              <w:rPr>
                <w:rFonts w:hint="eastAsia"/>
              </w:rPr>
              <w:t>3.6.4、创意中心：查看创意模板，下载并进行使用。</w:t>
            </w:r>
          </w:p>
          <w:p>
            <w:pPr>
              <w:rPr>
                <w:rFonts w:hint="eastAsia"/>
              </w:rPr>
            </w:pPr>
            <w:r>
              <w:rPr>
                <w:rFonts w:hint="eastAsia"/>
              </w:rPr>
              <w:t>3.6.5、百度统计：查看系统统计数据(推广概述，推广方式统计，搜索推广统计，信息流推广统计，实时访客统计等所有统计数据)。</w:t>
            </w:r>
          </w:p>
          <w:p>
            <w:pPr>
              <w:rPr>
                <w:rFonts w:hint="eastAsia"/>
              </w:rPr>
            </w:pPr>
            <w:r>
              <w:rPr>
                <w:rFonts w:hint="eastAsia"/>
              </w:rPr>
              <w:t>3.6.6、账户中心：管理并审核百度账号信息。</w:t>
            </w:r>
          </w:p>
          <w:p>
            <w:pPr>
              <w:rPr>
                <w:rFonts w:hint="eastAsia"/>
              </w:rPr>
            </w:pPr>
            <w:r>
              <w:rPr>
                <w:rFonts w:hint="eastAsia"/>
              </w:rPr>
              <w:t>3.6.7、财务中心：管理优惠券，财务信息，充值管理。</w:t>
            </w:r>
          </w:p>
          <w:p>
            <w:pPr>
              <w:rPr>
                <w:rFonts w:hint="eastAsia"/>
              </w:rPr>
            </w:pPr>
            <w:r>
              <w:rPr>
                <w:rFonts w:hint="eastAsia"/>
              </w:rPr>
              <w:t>3.6.8、搜索推广：对企业搜索推广需要掌握的各项功能进行设置和管理；</w:t>
            </w:r>
            <w:r>
              <w:rPr>
                <w:rFonts w:hint="eastAsia"/>
              </w:rPr>
              <w:br w:type="textWrapping"/>
            </w:r>
            <w:r>
              <w:rPr>
                <w:rFonts w:hint="eastAsia"/>
              </w:rPr>
              <w:t>（1）推广计划：掌握推广计划的设置，实现对推广计划的名称、推广地域的添加。</w:t>
            </w:r>
            <w:r>
              <w:rPr>
                <w:rFonts w:hint="eastAsia"/>
              </w:rPr>
              <w:br w:type="textWrapping"/>
            </w:r>
            <w:r>
              <w:rPr>
                <w:rFonts w:hint="eastAsia"/>
              </w:rPr>
              <w:t>（2）推广单元：掌握推广单元的管理，实现对推广单元的名称、单元出价的设置。</w:t>
            </w:r>
            <w:r>
              <w:rPr>
                <w:rFonts w:hint="eastAsia"/>
              </w:rPr>
              <w:br w:type="textWrapping"/>
            </w:r>
            <w:r>
              <w:rPr>
                <w:rFonts w:hint="eastAsia"/>
              </w:rPr>
              <w:t>（3）关键字管理：掌握关键词的设置，实现关键词的添加、分类、匹配方式等管理，并可通过“搜索相关词”功能，分析这些关键词在选定地域的日均搜索量及竞争激烈程度等信息。</w:t>
            </w:r>
            <w:r>
              <w:rPr>
                <w:rFonts w:hint="eastAsia"/>
              </w:rPr>
              <w:br w:type="textWrapping"/>
            </w:r>
            <w:r>
              <w:rPr>
                <w:rFonts w:hint="eastAsia"/>
              </w:rPr>
              <w:t>（4）数据报告：通过指定统计报告的类型和时间范围，可以查看各种维度的报告，方便快速的了解推广情况。</w:t>
            </w:r>
            <w:r>
              <w:rPr>
                <w:rFonts w:hint="eastAsia"/>
              </w:rPr>
              <w:br w:type="textWrapping"/>
            </w:r>
            <w:r>
              <w:rPr>
                <w:rFonts w:hint="eastAsia"/>
              </w:rPr>
              <w:t>（5）推广实况：掌握如何查看在不同的投放地域当前的推广状况。</w:t>
            </w:r>
            <w:r>
              <w:rPr>
                <w:rFonts w:hint="eastAsia"/>
              </w:rPr>
              <w:br w:type="textWrapping"/>
            </w:r>
            <w:r>
              <w:rPr>
                <w:rFonts w:hint="eastAsia"/>
              </w:rPr>
              <w:t>（6）历史操作查询：掌握历史操作记录的查询。可按照推广账户、推广计划、推广单元、关键字、创意、时间等各种维度进行历史操作记录的查询。</w:t>
            </w:r>
            <w:r>
              <w:rPr>
                <w:rFonts w:hint="eastAsia"/>
              </w:rPr>
              <w:br w:type="textWrapping"/>
            </w:r>
            <w:r>
              <w:rPr>
                <w:rFonts w:hint="eastAsia"/>
              </w:rPr>
              <w:t>（7）估算工具：掌握估算工具的使用。根据推广单元或关键词设定的出价来进行估算。以保证关键词的实际点击价格不超过甚至远低于出价，以节省推广预算。</w:t>
            </w:r>
          </w:p>
          <w:p>
            <w:pPr>
              <w:rPr>
                <w:rFonts w:hint="eastAsia"/>
              </w:rPr>
            </w:pPr>
            <w:r>
              <w:rPr>
                <w:rFonts w:hint="eastAsia"/>
              </w:rPr>
              <w:t>3.6.9、信息流推广：信息流广告主要在于信息流，以为广告推送的模式展示在平台首页。</w:t>
            </w:r>
          </w:p>
          <w:p>
            <w:pPr>
              <w:rPr>
                <w:rFonts w:hint="eastAsia"/>
              </w:rPr>
            </w:pPr>
            <w:r>
              <w:rPr>
                <w:rFonts w:hint="eastAsia"/>
              </w:rPr>
              <w:t>3.6.10、推广平台：学生进入前台查看推广信息。</w:t>
            </w:r>
          </w:p>
          <w:p>
            <w:r>
              <w:rPr>
                <w:rFonts w:hint="eastAsia"/>
              </w:rPr>
              <w:t>3.7、今日头条，包含平台用户数据，得分数据，我的头条。</w:t>
            </w:r>
          </w:p>
          <w:p>
            <w:pPr>
              <w:rPr>
                <w:rFonts w:hint="eastAsia"/>
              </w:rPr>
            </w:pPr>
            <w:r>
              <w:rPr>
                <w:rFonts w:hint="eastAsia"/>
              </w:rPr>
              <w:t>3.7.1、平台用户数据：可展示入驻头条平台人数，已发布头条数，参与悟空问答人数等系统数据。（此项需提供现场操作演示，不接受视频或PPT等静态文档演示）</w:t>
            </w:r>
          </w:p>
          <w:p>
            <w:pPr>
              <w:rPr>
                <w:rFonts w:hint="eastAsia"/>
              </w:rPr>
            </w:pPr>
            <w:r>
              <w:rPr>
                <w:rFonts w:hint="eastAsia"/>
              </w:rPr>
              <w:t>3.7.2、得分数据：展示系统得分要素。</w:t>
            </w:r>
          </w:p>
          <w:p>
            <w:r>
              <w:rPr>
                <w:rFonts w:hint="eastAsia"/>
              </w:rPr>
              <w:t>3.7.3、我的头条:（1）我的后台：用户画像，个人中心，图文模块，视频管理，悟空问答，广告主，线下活动，收支明细。（2）前台：个人及系统头条信息。</w:t>
            </w:r>
          </w:p>
          <w:p>
            <w:pPr>
              <w:rPr>
                <w:rFonts w:hint="eastAsia"/>
              </w:rPr>
            </w:pPr>
            <w:r>
              <w:rPr>
                <w:rFonts w:hint="eastAsia"/>
              </w:rPr>
              <w:t>3.8、资源管理：学生端可以查看和学习老师上传的视频资料及相关文档。</w:t>
            </w:r>
          </w:p>
          <w:p>
            <w:pPr>
              <w:rPr>
                <w:rFonts w:hint="eastAsia"/>
              </w:rPr>
            </w:pPr>
            <w:r>
              <w:rPr>
                <w:rFonts w:hint="eastAsia"/>
              </w:rPr>
              <w:t>3.9、案例管理：学生对案列进行分析和自由讨论，讨论结束后可查看老师对其的评价，案例分析完成后学生填写并提交实验报告到教师端进行打分；案例分析的过程增加了师生之间的互动性。</w:t>
            </w:r>
          </w:p>
          <w:p>
            <w:pPr>
              <w:rPr>
                <w:rFonts w:hint="eastAsia"/>
              </w:rPr>
            </w:pPr>
            <w:r>
              <w:rPr>
                <w:rFonts w:hint="eastAsia"/>
              </w:rPr>
              <w:t>3.10、内置考试系统：学生端以试卷的形式参加考试，答完题后对试卷进行提交，客观题系统自动评分，主观题教师评分；评分完毕后学生可以看到自己的考试成绩。</w:t>
            </w:r>
          </w:p>
          <w:p>
            <w:pPr>
              <w:rPr>
                <w:rFonts w:hint="eastAsia"/>
              </w:rPr>
            </w:pPr>
            <w:r>
              <w:rPr>
                <w:rFonts w:hint="eastAsia"/>
              </w:rPr>
              <w:t>3.11、实训成绩：学生端参加系统内置实训，完成微信平台，微博平台，抖音等所有实训内容后，系统会针对学生完成情况结合得分点进行智能打分，教师端也可以在查看学生实训完成情况进行手动修改实训分数，得出最终实训成绩。</w:t>
            </w:r>
          </w:p>
          <w:p>
            <w:pPr>
              <w:rPr>
                <w:rFonts w:hint="eastAsia"/>
              </w:rPr>
            </w:pPr>
            <w:r>
              <w:rPr>
                <w:rFonts w:hint="eastAsia"/>
              </w:rPr>
              <w:t>3.12、最终成绩：学生端实训成绩和考试成绩的总和为最终成绩，同时管理员端可以调整两项成绩占比对学生成绩和考试成绩比重动态调整。</w:t>
            </w:r>
          </w:p>
          <w:p>
            <w:pPr>
              <w:rPr>
                <w:rFonts w:hint="eastAsia"/>
              </w:rPr>
            </w:pPr>
            <w:r>
              <w:rPr>
                <w:rFonts w:hint="eastAsia"/>
              </w:rPr>
              <w:t>三、商务要求</w:t>
            </w:r>
          </w:p>
          <w:p>
            <w:pPr>
              <w:rPr>
                <w:rFonts w:hint="eastAsia"/>
              </w:rPr>
            </w:pPr>
            <w:r>
              <w:rPr>
                <w:rFonts w:hint="eastAsia"/>
              </w:rPr>
              <w:t>1、</w:t>
            </w:r>
            <w:r>
              <w:rPr>
                <w:rFonts w:hint="eastAsia"/>
                <w:lang w:val="zh-CN"/>
              </w:rPr>
              <w:t>系统平台教学方式</w:t>
            </w:r>
            <w:r>
              <w:rPr>
                <w:rFonts w:hint="eastAsia"/>
              </w:rPr>
              <w:t>是</w:t>
            </w:r>
            <w:r>
              <w:rPr>
                <w:rFonts w:hint="eastAsia"/>
                <w:lang w:val="zh-CN"/>
              </w:rPr>
              <w:t>浏览器版，网络教学模式。</w:t>
            </w:r>
          </w:p>
          <w:p>
            <w:pPr>
              <w:rPr>
                <w:rFonts w:hint="eastAsia"/>
              </w:rPr>
            </w:pPr>
            <w:r>
              <w:rPr>
                <w:rFonts w:hint="eastAsia"/>
              </w:rPr>
              <w:t>2、系统</w:t>
            </w:r>
            <w:r>
              <w:rPr>
                <w:rFonts w:hint="eastAsia"/>
                <w:lang w:val="zh-CN"/>
              </w:rPr>
              <w:t>采用</w:t>
            </w:r>
            <w:r>
              <w:rPr>
                <w:rFonts w:hint="eastAsia"/>
              </w:rPr>
              <w:t>MY</w:t>
            </w:r>
            <w:r>
              <w:rPr>
                <w:rFonts w:hint="eastAsia"/>
                <w:lang w:val="zh-CN"/>
              </w:rPr>
              <w:t>SQL</w:t>
            </w:r>
            <w:r>
              <w:rPr>
                <w:rFonts w:hint="eastAsia"/>
              </w:rPr>
              <w:t>数据库</w:t>
            </w:r>
            <w:r>
              <w:rPr>
                <w:rFonts w:hint="eastAsia"/>
                <w:lang w:val="zh-CN"/>
              </w:rPr>
              <w:t>，JAVA语言基于J2EE技术的B/S结构产品。</w:t>
            </w:r>
          </w:p>
        </w:tc>
        <w:tc>
          <w:tcPr>
            <w:tcW w:w="750" w:type="dxa"/>
            <w:tcBorders>
              <w:top w:val="single" w:color="auto" w:sz="4" w:space="0"/>
              <w:left w:val="nil"/>
              <w:bottom w:val="single" w:color="auto" w:sz="4" w:space="0"/>
              <w:right w:val="single" w:color="auto" w:sz="4" w:space="0"/>
            </w:tcBorders>
            <w:noWrap w:val="0"/>
            <w:vAlign w:val="center"/>
          </w:tcPr>
          <w:p>
            <w:pPr>
              <w:jc w:val="center"/>
              <w:rPr>
                <w:rFonts w:hint="eastAsia"/>
              </w:rPr>
            </w:pPr>
            <w:r>
              <w:rPr>
                <w:rFonts w:hint="eastAsia"/>
              </w:rPr>
              <w:t>1套</w:t>
            </w:r>
          </w:p>
        </w:tc>
        <w:tc>
          <w:tcPr>
            <w:tcW w:w="810" w:type="dxa"/>
            <w:tcBorders>
              <w:top w:val="single" w:color="auto" w:sz="4" w:space="0"/>
              <w:left w:val="nil"/>
              <w:bottom w:val="single" w:color="auto" w:sz="4" w:space="0"/>
              <w:right w:val="single" w:color="auto" w:sz="4" w:space="0"/>
            </w:tcBorders>
            <w:noWrap w:val="0"/>
            <w:vAlign w:val="center"/>
          </w:tcPr>
          <w:p>
            <w:pPr>
              <w:jc w:val="center"/>
              <w:rPr>
                <w:rFonts w:hint="eastAsia"/>
              </w:rPr>
            </w:pPr>
            <w:r>
              <w:rPr>
                <w:rFonts w:hint="eastAsia"/>
              </w:rPr>
              <w:t>15</w:t>
            </w:r>
            <w:r>
              <w:t>6000</w:t>
            </w:r>
          </w:p>
        </w:tc>
        <w:tc>
          <w:tcPr>
            <w:tcW w:w="1185" w:type="dxa"/>
            <w:tcBorders>
              <w:top w:val="single" w:color="auto" w:sz="4" w:space="0"/>
              <w:left w:val="nil"/>
              <w:bottom w:val="single" w:color="auto" w:sz="4" w:space="0"/>
              <w:right w:val="single" w:color="auto" w:sz="4" w:space="0"/>
            </w:tcBorders>
            <w:noWrap w:val="0"/>
            <w:vAlign w:val="center"/>
          </w:tcPr>
          <w:p>
            <w:pPr>
              <w:jc w:val="center"/>
              <w:rPr>
                <w:rFonts w:hint="eastAsia"/>
              </w:rPr>
            </w:pPr>
            <w:r>
              <w:rPr>
                <w:rFonts w:hint="eastAsia"/>
              </w:rPr>
              <w:t>各厂家价格对比</w:t>
            </w:r>
          </w:p>
        </w:tc>
        <w:tc>
          <w:tcPr>
            <w:tcW w:w="900" w:type="dxa"/>
            <w:tcBorders>
              <w:top w:val="single" w:color="auto" w:sz="4" w:space="0"/>
              <w:left w:val="nil"/>
              <w:bottom w:val="single" w:color="auto" w:sz="4" w:space="0"/>
              <w:right w:val="single" w:color="auto" w:sz="4" w:space="0"/>
            </w:tcBorders>
            <w:noWrap w:val="0"/>
            <w:vAlign w:val="center"/>
          </w:tcPr>
          <w:p>
            <w:pPr>
              <w:jc w:val="center"/>
              <w:rPr>
                <w:rFonts w:hint="eastAsia"/>
              </w:rPr>
            </w:pPr>
            <w:r>
              <w:rPr>
                <w:rFonts w:hint="eastAsia"/>
              </w:rPr>
              <w:t>15</w:t>
            </w:r>
            <w:r>
              <w:t>6000</w:t>
            </w:r>
          </w:p>
        </w:tc>
        <w:tc>
          <w:tcPr>
            <w:tcW w:w="1080" w:type="dxa"/>
            <w:tcBorders>
              <w:top w:val="single" w:color="auto" w:sz="4" w:space="0"/>
              <w:left w:val="nil"/>
              <w:bottom w:val="single" w:color="auto" w:sz="4" w:space="0"/>
              <w:right w:val="single" w:color="auto" w:sz="12" w:space="0"/>
            </w:tcBorders>
            <w:noWrap w:val="0"/>
            <w:vAlign w:val="center"/>
          </w:tcPr>
          <w:p>
            <w:pPr>
              <w:jc w:val="center"/>
            </w:pPr>
          </w:p>
        </w:tc>
        <w:tc>
          <w:tcPr>
            <w:tcW w:w="1185" w:type="dxa"/>
            <w:tcBorders>
              <w:top w:val="single" w:color="auto" w:sz="4" w:space="0"/>
              <w:left w:val="nil"/>
              <w:bottom w:val="single" w:color="auto" w:sz="4" w:space="0"/>
              <w:right w:val="single" w:color="auto" w:sz="12" w:space="0"/>
            </w:tcBorders>
            <w:noWrap w:val="0"/>
            <w:vAlign w:val="center"/>
          </w:tcPr>
          <w:p>
            <w:pPr>
              <w:jc w:val="center"/>
            </w:pP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4" w:space="0"/>
              <w:right w:val="single" w:color="auto" w:sz="4" w:space="0"/>
            </w:tcBorders>
            <w:noWrap w:val="0"/>
            <w:vAlign w:val="center"/>
          </w:tcPr>
          <w:p>
            <w:pPr>
              <w:rPr>
                <w:rFonts w:hint="eastAsia"/>
              </w:rPr>
            </w:pPr>
            <w:r>
              <w:t>…</w:t>
            </w:r>
          </w:p>
        </w:tc>
        <w:tc>
          <w:tcPr>
            <w:tcW w:w="1290" w:type="dxa"/>
            <w:tcBorders>
              <w:top w:val="single" w:color="auto" w:sz="4" w:space="0"/>
              <w:left w:val="nil"/>
              <w:bottom w:val="single" w:color="auto" w:sz="4" w:space="0"/>
              <w:right w:val="single" w:color="000000" w:sz="4" w:space="0"/>
            </w:tcBorders>
            <w:noWrap w:val="0"/>
            <w:vAlign w:val="center"/>
          </w:tcPr>
          <w:p>
            <w:pPr>
              <w:rPr>
                <w:rFonts w:hint="eastAsia"/>
              </w:rPr>
            </w:pPr>
          </w:p>
        </w:tc>
        <w:tc>
          <w:tcPr>
            <w:tcW w:w="5158" w:type="dxa"/>
            <w:tcBorders>
              <w:top w:val="single" w:color="auto" w:sz="4" w:space="0"/>
              <w:left w:val="nil"/>
              <w:bottom w:val="single" w:color="auto" w:sz="4" w:space="0"/>
              <w:right w:val="single" w:color="auto" w:sz="4" w:space="0"/>
            </w:tcBorders>
            <w:noWrap w:val="0"/>
            <w:vAlign w:val="center"/>
          </w:tcPr>
          <w:p>
            <w:pPr>
              <w:rPr>
                <w:rFonts w:hint="eastAsia"/>
              </w:rPr>
            </w:pPr>
          </w:p>
        </w:tc>
        <w:tc>
          <w:tcPr>
            <w:tcW w:w="750" w:type="dxa"/>
            <w:tcBorders>
              <w:top w:val="single" w:color="auto" w:sz="4" w:space="0"/>
              <w:left w:val="nil"/>
              <w:bottom w:val="single" w:color="auto" w:sz="4" w:space="0"/>
              <w:right w:val="single" w:color="auto" w:sz="4" w:space="0"/>
            </w:tcBorders>
            <w:noWrap w:val="0"/>
            <w:vAlign w:val="center"/>
          </w:tcPr>
          <w:p/>
        </w:tc>
        <w:tc>
          <w:tcPr>
            <w:tcW w:w="810" w:type="dxa"/>
            <w:tcBorders>
              <w:top w:val="single" w:color="auto" w:sz="4" w:space="0"/>
              <w:left w:val="nil"/>
              <w:bottom w:val="single" w:color="auto" w:sz="4" w:space="0"/>
              <w:right w:val="single" w:color="auto" w:sz="4" w:space="0"/>
            </w:tcBorders>
            <w:noWrap w:val="0"/>
            <w:vAlign w:val="center"/>
          </w:tcPr>
          <w:p>
            <w:pPr>
              <w:rPr>
                <w:rFonts w:hint="eastAsia"/>
              </w:rPr>
            </w:pPr>
          </w:p>
        </w:tc>
        <w:tc>
          <w:tcPr>
            <w:tcW w:w="1185" w:type="dxa"/>
            <w:tcBorders>
              <w:top w:val="single" w:color="auto" w:sz="4" w:space="0"/>
              <w:left w:val="nil"/>
              <w:bottom w:val="single" w:color="auto" w:sz="4" w:space="0"/>
              <w:right w:val="single" w:color="auto" w:sz="4" w:space="0"/>
            </w:tcBorders>
            <w:noWrap w:val="0"/>
            <w:vAlign w:val="center"/>
          </w:tcPr>
          <w:p>
            <w:pPr>
              <w:rPr>
                <w:rFonts w:hint="eastAsia"/>
              </w:rPr>
            </w:pPr>
          </w:p>
        </w:tc>
        <w:tc>
          <w:tcPr>
            <w:tcW w:w="900" w:type="dxa"/>
            <w:tcBorders>
              <w:top w:val="single" w:color="auto" w:sz="4" w:space="0"/>
              <w:left w:val="nil"/>
              <w:bottom w:val="single" w:color="auto" w:sz="4" w:space="0"/>
              <w:right w:val="single" w:color="auto" w:sz="4" w:space="0"/>
            </w:tcBorders>
            <w:noWrap w:val="0"/>
            <w:vAlign w:val="center"/>
          </w:tcPr>
          <w:p>
            <w:pPr>
              <w:rPr>
                <w:rFonts w:hint="eastAsia"/>
              </w:rPr>
            </w:pPr>
          </w:p>
        </w:tc>
        <w:tc>
          <w:tcPr>
            <w:tcW w:w="1080" w:type="dxa"/>
            <w:tcBorders>
              <w:top w:val="single" w:color="auto" w:sz="4" w:space="0"/>
              <w:left w:val="nil"/>
              <w:bottom w:val="single" w:color="auto" w:sz="4" w:space="0"/>
              <w:right w:val="single" w:color="auto" w:sz="12" w:space="0"/>
            </w:tcBorders>
            <w:noWrap w:val="0"/>
            <w:vAlign w:val="center"/>
          </w:tcPr>
          <w:p>
            <w:pPr>
              <w:rPr>
                <w:rFonts w:hint="eastAsia"/>
              </w:rPr>
            </w:pPr>
          </w:p>
        </w:tc>
        <w:tc>
          <w:tcPr>
            <w:tcW w:w="1185" w:type="dxa"/>
            <w:tcBorders>
              <w:top w:val="single" w:color="auto" w:sz="4" w:space="0"/>
              <w:left w:val="nil"/>
              <w:bottom w:val="single" w:color="auto" w:sz="4" w:space="0"/>
              <w:right w:val="single" w:color="auto" w:sz="12" w:space="0"/>
            </w:tcBorders>
            <w:noWrap w:val="0"/>
            <w:vAlign w:val="center"/>
          </w:tcPr>
          <w:p>
            <w:pPr>
              <w:rPr>
                <w:rFonts w:hint="eastAsia"/>
              </w:rPr>
            </w:pPr>
          </w:p>
        </w:tc>
      </w:tr>
      <w:tr>
        <w:trPr>
          <w:trHeight w:val="737" w:hRule="atLeast"/>
        </w:trPr>
        <w:tc>
          <w:tcPr>
            <w:tcW w:w="658" w:type="dxa"/>
            <w:tcBorders>
              <w:top w:val="single" w:color="auto" w:sz="4" w:space="0"/>
              <w:left w:val="single" w:color="auto" w:sz="12" w:space="0"/>
              <w:bottom w:val="single" w:color="auto" w:sz="12" w:space="0"/>
              <w:right w:val="single" w:color="auto" w:sz="4" w:space="0"/>
            </w:tcBorders>
            <w:noWrap w:val="0"/>
            <w:vAlign w:val="center"/>
          </w:tcPr>
          <w:p>
            <w:pPr>
              <w:rPr>
                <w:rFonts w:hint="eastAsia"/>
              </w:rPr>
            </w:pPr>
          </w:p>
        </w:tc>
        <w:tc>
          <w:tcPr>
            <w:tcW w:w="1290" w:type="dxa"/>
            <w:tcBorders>
              <w:top w:val="single" w:color="auto" w:sz="4" w:space="0"/>
              <w:left w:val="nil"/>
              <w:bottom w:val="single" w:color="auto" w:sz="12" w:space="0"/>
              <w:right w:val="single" w:color="000000" w:sz="4" w:space="0"/>
            </w:tcBorders>
            <w:noWrap w:val="0"/>
            <w:vAlign w:val="center"/>
          </w:tcPr>
          <w:p>
            <w:pPr>
              <w:rPr>
                <w:rFonts w:hint="eastAsia"/>
              </w:rPr>
            </w:pPr>
          </w:p>
        </w:tc>
        <w:tc>
          <w:tcPr>
            <w:tcW w:w="5158" w:type="dxa"/>
            <w:tcBorders>
              <w:top w:val="single" w:color="auto" w:sz="4" w:space="0"/>
              <w:left w:val="nil"/>
              <w:bottom w:val="single" w:color="auto" w:sz="12" w:space="0"/>
              <w:right w:val="single" w:color="auto" w:sz="4" w:space="0"/>
            </w:tcBorders>
            <w:noWrap w:val="0"/>
            <w:vAlign w:val="center"/>
          </w:tcPr>
          <w:p>
            <w:pPr>
              <w:rPr>
                <w:rFonts w:hint="eastAsia"/>
              </w:rPr>
            </w:pPr>
          </w:p>
        </w:tc>
        <w:tc>
          <w:tcPr>
            <w:tcW w:w="750" w:type="dxa"/>
            <w:tcBorders>
              <w:top w:val="single" w:color="auto" w:sz="4" w:space="0"/>
              <w:left w:val="nil"/>
              <w:bottom w:val="single" w:color="auto" w:sz="12" w:space="0"/>
              <w:right w:val="single" w:color="auto" w:sz="4" w:space="0"/>
            </w:tcBorders>
            <w:noWrap w:val="0"/>
            <w:vAlign w:val="center"/>
          </w:tcPr>
          <w:p/>
        </w:tc>
        <w:tc>
          <w:tcPr>
            <w:tcW w:w="810" w:type="dxa"/>
            <w:tcBorders>
              <w:top w:val="single" w:color="auto" w:sz="4" w:space="0"/>
              <w:left w:val="nil"/>
              <w:bottom w:val="single" w:color="auto" w:sz="12" w:space="0"/>
              <w:right w:val="single" w:color="auto" w:sz="4" w:space="0"/>
            </w:tcBorders>
            <w:noWrap w:val="0"/>
            <w:vAlign w:val="center"/>
          </w:tcPr>
          <w:p>
            <w:pPr>
              <w:rPr>
                <w:rFonts w:hint="eastAsia"/>
              </w:rPr>
            </w:pPr>
          </w:p>
        </w:tc>
        <w:tc>
          <w:tcPr>
            <w:tcW w:w="1185" w:type="dxa"/>
            <w:tcBorders>
              <w:top w:val="single" w:color="auto" w:sz="4" w:space="0"/>
              <w:left w:val="nil"/>
              <w:bottom w:val="single" w:color="auto" w:sz="12" w:space="0"/>
              <w:right w:val="single" w:color="auto" w:sz="4" w:space="0"/>
            </w:tcBorders>
            <w:noWrap w:val="0"/>
            <w:vAlign w:val="center"/>
          </w:tcPr>
          <w:p>
            <w:pPr>
              <w:jc w:val="center"/>
              <w:rPr>
                <w:rFonts w:hint="eastAsia"/>
                <w:b/>
                <w:bCs/>
              </w:rPr>
            </w:pPr>
            <w:r>
              <w:rPr>
                <w:rFonts w:hint="eastAsia"/>
                <w:b/>
                <w:bCs/>
              </w:rPr>
              <w:t>合计</w:t>
            </w:r>
          </w:p>
        </w:tc>
        <w:tc>
          <w:tcPr>
            <w:tcW w:w="900" w:type="dxa"/>
            <w:tcBorders>
              <w:top w:val="single" w:color="auto" w:sz="4" w:space="0"/>
              <w:left w:val="nil"/>
              <w:bottom w:val="single" w:color="auto" w:sz="12" w:space="0"/>
              <w:right w:val="single" w:color="auto" w:sz="4" w:space="0"/>
            </w:tcBorders>
            <w:noWrap w:val="0"/>
            <w:vAlign w:val="center"/>
          </w:tcPr>
          <w:p>
            <w:pPr>
              <w:jc w:val="center"/>
              <w:rPr>
                <w:rFonts w:hint="eastAsia"/>
                <w:b/>
                <w:bCs/>
              </w:rPr>
            </w:pPr>
            <w:r>
              <w:rPr>
                <w:rFonts w:hint="eastAsia"/>
                <w:b/>
                <w:bCs/>
              </w:rPr>
              <w:t>284000</w:t>
            </w:r>
          </w:p>
        </w:tc>
        <w:tc>
          <w:tcPr>
            <w:tcW w:w="1080" w:type="dxa"/>
            <w:tcBorders>
              <w:top w:val="single" w:color="auto" w:sz="4" w:space="0"/>
              <w:left w:val="nil"/>
              <w:bottom w:val="single" w:color="auto" w:sz="12" w:space="0"/>
              <w:right w:val="single" w:color="auto" w:sz="12" w:space="0"/>
            </w:tcBorders>
            <w:noWrap w:val="0"/>
            <w:vAlign w:val="center"/>
          </w:tcPr>
          <w:p>
            <w:pPr>
              <w:rPr>
                <w:rFonts w:hint="eastAsia"/>
              </w:rPr>
            </w:pPr>
          </w:p>
        </w:tc>
        <w:tc>
          <w:tcPr>
            <w:tcW w:w="1185" w:type="dxa"/>
            <w:tcBorders>
              <w:top w:val="single" w:color="auto" w:sz="4" w:space="0"/>
              <w:left w:val="nil"/>
              <w:bottom w:val="single" w:color="auto" w:sz="12" w:space="0"/>
              <w:right w:val="single" w:color="auto" w:sz="12" w:space="0"/>
            </w:tcBorders>
            <w:noWrap w:val="0"/>
            <w:vAlign w:val="center"/>
          </w:tcPr>
          <w:p>
            <w:pPr>
              <w:rPr>
                <w:rFonts w:hint="eastAsia"/>
              </w:rPr>
            </w:pPr>
          </w:p>
        </w:tc>
      </w:tr>
    </w:tbl>
    <w:p>
      <w:pPr>
        <w:tabs>
          <w:tab w:val="left" w:pos="9555"/>
        </w:tabs>
        <w:rPr>
          <w:rFonts w:hint="eastAsia" w:ascii="宋体" w:hAnsi="宋体"/>
          <w:sz w:val="24"/>
        </w:rPr>
      </w:pPr>
    </w:p>
    <w:p>
      <w:pPr>
        <w:tabs>
          <w:tab w:val="left" w:pos="9555"/>
        </w:tabs>
        <w:rPr>
          <w:rFonts w:hint="eastAsia" w:ascii="宋体" w:hAnsi="宋体"/>
          <w:sz w:val="24"/>
        </w:rPr>
      </w:pPr>
    </w:p>
    <w:p>
      <w:pPr>
        <w:spacing w:line="360" w:lineRule="auto"/>
        <w:ind w:firstLine="10360" w:firstLineChars="4300"/>
        <w:rPr>
          <w:rFonts w:hint="eastAsia" w:ascii="宋体" w:hAnsi="宋体"/>
          <w:b/>
          <w:sz w:val="24"/>
        </w:rPr>
      </w:pPr>
    </w:p>
    <w:p>
      <w:pPr>
        <w:rPr>
          <w:rFonts w:hint="eastAsia"/>
          <w:b/>
          <w:sz w:val="24"/>
        </w:rPr>
        <w:sectPr>
          <w:footerReference r:id="rId7" w:type="default"/>
          <w:pgSz w:w="16838" w:h="11906" w:orient="landscape"/>
          <w:pgMar w:top="1797" w:right="1440" w:bottom="1797" w:left="144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60"/>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24</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eOWLK/AQAAjAMAAA4AAABkcnMvZTJvRG9jLnhtbK1TS4rbQBDdB3KH&#10;pvexZA8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l/cmzcPw6RiJROaWJoyw02C6pKxuWqi0BU/z3PX4E23/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Xjliy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24</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572C7"/>
    <w:multiLevelType w:val="singleLevel"/>
    <w:tmpl w:val="C5C572C7"/>
    <w:lvl w:ilvl="0" w:tentative="0">
      <w:start w:val="1"/>
      <w:numFmt w:val="chineseCounting"/>
      <w:suff w:val="nothing"/>
      <w:lvlText w:val="%1、"/>
      <w:lvlJc w:val="left"/>
      <w:rPr>
        <w:rFonts w:hint="eastAsia"/>
      </w:rPr>
    </w:lvl>
  </w:abstractNum>
  <w:abstractNum w:abstractNumId="1">
    <w:nsid w:val="EACC8747"/>
    <w:multiLevelType w:val="singleLevel"/>
    <w:tmpl w:val="EACC8747"/>
    <w:lvl w:ilvl="0" w:tentative="0">
      <w:start w:val="1"/>
      <w:numFmt w:val="chineseCounting"/>
      <w:pStyle w:val="4"/>
      <w:suff w:val="nothing"/>
      <w:lvlText w:val="（%1）"/>
      <w:lvlJc w:val="left"/>
      <w:pPr>
        <w:ind w:left="0" w:firstLine="0"/>
      </w:pPr>
      <w:rPr>
        <w:rFonts w:hint="eastAsia" w:ascii="仿宋" w:hAnsi="仿宋" w:eastAsia="仿宋" w:cs="仿宋"/>
        <w:b/>
        <w:bCs/>
        <w:sz w:val="30"/>
        <w:szCs w:val="30"/>
      </w:rPr>
    </w:lvl>
  </w:abstractNum>
  <w:abstractNum w:abstractNumId="2">
    <w:nsid w:val="F3CF0025"/>
    <w:multiLevelType w:val="singleLevel"/>
    <w:tmpl w:val="F3CF0025"/>
    <w:lvl w:ilvl="0" w:tentative="0">
      <w:start w:val="3"/>
      <w:numFmt w:val="chineseCounting"/>
      <w:suff w:val="nothing"/>
      <w:lvlText w:val="%1、"/>
      <w:lvlJc w:val="left"/>
      <w:rPr>
        <w:rFonts w:hint="eastAsia"/>
      </w:rPr>
    </w:lvl>
  </w:abstractNum>
  <w:abstractNum w:abstractNumId="3">
    <w:nsid w:val="25E4497E"/>
    <w:multiLevelType w:val="singleLevel"/>
    <w:tmpl w:val="25E4497E"/>
    <w:lvl w:ilvl="0" w:tentative="0">
      <w:start w:val="1"/>
      <w:numFmt w:val="chineseCounting"/>
      <w:pStyle w:val="3"/>
      <w:suff w:val="nothing"/>
      <w:lvlText w:val="%1、"/>
      <w:lvlJc w:val="left"/>
      <w:pPr>
        <w:ind w:left="0" w:firstLine="0"/>
      </w:pPr>
      <w:rPr>
        <w:rFonts w:hint="eastAsia" w:ascii="黑体" w:hAnsi="黑体" w:eastAsia="黑体" w:cs="黑体"/>
        <w:b/>
        <w:bCs/>
        <w:sz w:val="32"/>
        <w:szCs w:val="32"/>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00C6F"/>
    <w:rsid w:val="0EA70944"/>
    <w:rsid w:val="19BE3EC3"/>
    <w:rsid w:val="22166B9E"/>
    <w:rsid w:val="32205D93"/>
    <w:rsid w:val="3CBF2473"/>
    <w:rsid w:val="600B673F"/>
    <w:rsid w:val="63D94E7C"/>
    <w:rsid w:val="7FD00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4">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5">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2021-07-09T16:24:00Z</dcterms:created>
  <dc:creator>linqq</dc:creator>
  <cp:lastModifiedBy>linqq</cp:lastModifiedBy>
  <dcterms:modified xsi:type="dcterms:W3CDTF">2021-07-09T16:29:31Z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5F0376F4B12843D78AE955F6D6CFFAD9</vt:lpwstr>
  </property>
</Properties>
</file>