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hint="eastAsia" w:ascii="宋体" w:hAnsi="宋体"/>
          <w:b/>
          <w:bCs/>
          <w:sz w:val="30"/>
          <w:szCs w:val="30"/>
        </w:rPr>
      </w:pPr>
      <w:r>
        <w:rPr>
          <w:rFonts w:hint="eastAsia" w:ascii="宋体" w:hAnsi="宋体"/>
          <w:b/>
          <w:sz w:val="30"/>
          <w:szCs w:val="30"/>
          <w:lang w:val="en-US" w:eastAsia="zh-CN"/>
        </w:rPr>
        <w:t>“互联网+”国际贸易综合实训与竞赛系统</w:t>
      </w:r>
      <w:r>
        <w:rPr>
          <w:rFonts w:hint="eastAsia" w:ascii="宋体" w:hAnsi="宋体"/>
          <w:b/>
          <w:sz w:val="30"/>
          <w:szCs w:val="30"/>
        </w:rPr>
        <w:t>采购项目</w:t>
      </w:r>
    </w:p>
    <w:p>
      <w:pPr>
        <w:spacing w:line="360" w:lineRule="auto"/>
        <w:rPr>
          <w:rFonts w:ascii="宋体" w:hAnsi="宋体"/>
          <w:color w:val="FF0000"/>
          <w:sz w:val="28"/>
          <w:szCs w:val="28"/>
        </w:rPr>
      </w:pPr>
    </w:p>
    <w:p>
      <w:pPr>
        <w:spacing w:line="400" w:lineRule="exact"/>
        <w:rPr>
          <w:rFonts w:ascii="宋体" w:hAnsi="宋体"/>
          <w:b/>
          <w:sz w:val="24"/>
        </w:rPr>
      </w:pPr>
      <w:r>
        <w:rPr>
          <w:rFonts w:hint="eastAsia" w:ascii="宋体" w:hAnsi="宋体"/>
          <w:b/>
          <w:sz w:val="24"/>
        </w:rPr>
        <w:t>一、项目概况</w:t>
      </w:r>
    </w:p>
    <w:p>
      <w:pPr>
        <w:spacing w:line="400" w:lineRule="exact"/>
        <w:ind w:firstLine="240" w:firstLineChars="100"/>
        <w:rPr>
          <w:rFonts w:ascii="宋体" w:hAnsi="宋体"/>
          <w:sz w:val="24"/>
        </w:rPr>
      </w:pPr>
      <w:r>
        <w:rPr>
          <w:rFonts w:hint="eastAsia" w:ascii="宋体" w:hAnsi="宋体"/>
          <w:sz w:val="24"/>
        </w:rPr>
        <w:t>从专项经费划拨</w:t>
      </w:r>
      <w:r>
        <w:rPr>
          <w:rFonts w:ascii="宋体" w:hAnsi="宋体"/>
          <w:sz w:val="24"/>
          <w:u w:val="single"/>
        </w:rPr>
        <w:t xml:space="preserve"> 55.6 </w:t>
      </w:r>
      <w:r>
        <w:rPr>
          <w:rFonts w:hint="eastAsia" w:ascii="宋体" w:hAnsi="宋体"/>
          <w:sz w:val="24"/>
        </w:rPr>
        <w:t>万元用于工商管理系跨境电商专业“互联网+”国际贸易综合实训与竞赛教学软件采购项目经费。</w:t>
      </w:r>
    </w:p>
    <w:p>
      <w:pPr>
        <w:spacing w:line="400" w:lineRule="exact"/>
        <w:rPr>
          <w:rFonts w:ascii="宋体" w:hAnsi="宋体"/>
          <w:b/>
          <w:sz w:val="24"/>
        </w:rPr>
      </w:pPr>
      <w:r>
        <w:rPr>
          <w:rFonts w:hint="eastAsia" w:ascii="宋体" w:hAnsi="宋体"/>
          <w:b/>
          <w:sz w:val="24"/>
        </w:rPr>
        <w:t>二、实训设备采购的必要性和可行性</w:t>
      </w:r>
    </w:p>
    <w:p>
      <w:pPr>
        <w:spacing w:line="400" w:lineRule="exact"/>
        <w:rPr>
          <w:rFonts w:ascii="宋体" w:hAnsi="宋体"/>
          <w:sz w:val="24"/>
        </w:rPr>
      </w:pPr>
      <w:r>
        <w:rPr>
          <w:rFonts w:hint="eastAsia" w:ascii="宋体" w:hAnsi="宋体"/>
          <w:sz w:val="24"/>
        </w:rPr>
        <w:t>1、实用性论证</w:t>
      </w:r>
    </w:p>
    <w:p>
      <w:pPr>
        <w:spacing w:line="400" w:lineRule="exact"/>
        <w:ind w:firstLine="480" w:firstLineChars="200"/>
        <w:rPr>
          <w:rFonts w:ascii="宋体" w:hAnsi="宋体"/>
          <w:sz w:val="24"/>
        </w:rPr>
      </w:pPr>
      <w:r>
        <w:rPr>
          <w:rFonts w:hint="eastAsia" w:ascii="宋体" w:hAnsi="宋体"/>
          <w:sz w:val="24"/>
        </w:rPr>
        <w:t>“互联网+”国际贸易综合实训与竞赛系统能满足《跨境电子商务实务》、《国际贸易理论与实务》、《网店美工实务》、《国际支付与结算》等跨境电商相关课程开展及学生实训、实习任务的完成，本系统共包含B2B（国际贸易模块）B2C（跨境电商模块）。</w:t>
      </w:r>
    </w:p>
    <w:p>
      <w:pPr>
        <w:spacing w:line="400" w:lineRule="exact"/>
        <w:ind w:firstLine="480" w:firstLineChars="200"/>
        <w:rPr>
          <w:rFonts w:ascii="宋体" w:hAnsi="宋体"/>
          <w:sz w:val="24"/>
        </w:rPr>
      </w:pPr>
      <w:r>
        <w:rPr>
          <w:rFonts w:hint="eastAsia" w:ascii="宋体" w:hAnsi="宋体"/>
          <w:sz w:val="24"/>
        </w:rPr>
        <w:t>国际贸易B2B模块对标跨境电商中的报关，支付结算等相关岗位要求。</w:t>
      </w:r>
    </w:p>
    <w:p>
      <w:pPr>
        <w:spacing w:line="400" w:lineRule="exact"/>
        <w:ind w:firstLine="480" w:firstLineChars="200"/>
        <w:rPr>
          <w:rFonts w:ascii="宋体" w:hAnsi="宋体"/>
          <w:sz w:val="24"/>
        </w:rPr>
      </w:pPr>
      <w:r>
        <w:rPr>
          <w:rFonts w:hint="eastAsia" w:ascii="宋体" w:hAnsi="宋体"/>
          <w:sz w:val="24"/>
        </w:rPr>
        <w:t>跨境电商B2C模块通过沙盘博弈对抗，提升学生分析与决策能力，为定岗实习和就业打下坚实的基础。</w:t>
      </w:r>
    </w:p>
    <w:p>
      <w:pPr>
        <w:spacing w:line="400" w:lineRule="exact"/>
        <w:ind w:firstLine="480" w:firstLineChars="200"/>
        <w:rPr>
          <w:rFonts w:ascii="宋体" w:hAnsi="宋体"/>
          <w:sz w:val="24"/>
        </w:rPr>
      </w:pPr>
      <w:r>
        <w:rPr>
          <w:rFonts w:hint="eastAsia" w:ascii="宋体" w:hAnsi="宋体"/>
          <w:sz w:val="24"/>
        </w:rPr>
        <w:t>设备满足学院开展参加全国、全省职业技能大赛的软件条件，适应岗位技能模块教学模式和培训、赛训一体化的校内实训平台，培养跨境电子商务专业高素质的技术技能型人才。</w:t>
      </w:r>
    </w:p>
    <w:p>
      <w:pPr>
        <w:spacing w:line="400" w:lineRule="exact"/>
        <w:rPr>
          <w:rFonts w:ascii="宋体" w:hAnsi="宋体"/>
          <w:sz w:val="24"/>
        </w:rPr>
      </w:pPr>
      <w:r>
        <w:rPr>
          <w:rFonts w:hint="eastAsia" w:ascii="宋体" w:hAnsi="宋体"/>
          <w:sz w:val="24"/>
        </w:rPr>
        <w:t>2、设备先进性论证</w:t>
      </w:r>
    </w:p>
    <w:p>
      <w:pPr>
        <w:spacing w:line="400" w:lineRule="exact"/>
        <w:ind w:firstLine="480" w:firstLineChars="200"/>
        <w:rPr>
          <w:rFonts w:ascii="宋体" w:hAnsi="宋体"/>
          <w:sz w:val="24"/>
        </w:rPr>
      </w:pPr>
      <w:r>
        <w:rPr>
          <w:rFonts w:hint="eastAsia" w:ascii="宋体" w:hAnsi="宋体"/>
          <w:sz w:val="24"/>
        </w:rPr>
        <w:t>“互联网+”国际贸易综合实训与竞赛系统作为教育部全国职业技能大赛和福建省职业院校技能大赛的指定平台，其围绕着国际商务与跨境电商的行业动态发展逐年免费更新升级，实现真正对接行业企业对跨境电子商务专业学生的核心技能需求。</w:t>
      </w:r>
    </w:p>
    <w:p>
      <w:pPr>
        <w:spacing w:line="400" w:lineRule="exact"/>
        <w:rPr>
          <w:rFonts w:ascii="宋体" w:hAnsi="宋体"/>
          <w:b/>
          <w:sz w:val="24"/>
        </w:rPr>
      </w:pPr>
      <w:r>
        <w:rPr>
          <w:rFonts w:hint="eastAsia" w:ascii="宋体" w:hAnsi="宋体"/>
          <w:b/>
          <w:sz w:val="24"/>
          <w:lang w:val="en-US" w:eastAsia="zh-CN"/>
        </w:rPr>
        <w:t>三</w:t>
      </w:r>
      <w:r>
        <w:rPr>
          <w:rFonts w:hint="eastAsia" w:ascii="宋体" w:hAnsi="宋体"/>
          <w:b/>
          <w:sz w:val="24"/>
        </w:rPr>
        <w:t>、场地和其它配套</w:t>
      </w:r>
    </w:p>
    <w:p>
      <w:pPr>
        <w:spacing w:line="400" w:lineRule="exact"/>
        <w:rPr>
          <w:rFonts w:ascii="宋体" w:hAnsi="宋体"/>
          <w:b/>
          <w:sz w:val="24"/>
        </w:rPr>
      </w:pPr>
      <w:r>
        <w:rPr>
          <w:rFonts w:hint="eastAsia" w:ascii="宋体" w:hAnsi="宋体"/>
          <w:b/>
          <w:sz w:val="24"/>
        </w:rPr>
        <w:drawing>
          <wp:anchor distT="0" distB="0" distL="114300" distR="114300" simplePos="0" relativeHeight="251659264" behindDoc="0" locked="0" layoutInCell="1" allowOverlap="1">
            <wp:simplePos x="0" y="0"/>
            <wp:positionH relativeFrom="column">
              <wp:posOffset>-38100</wp:posOffset>
            </wp:positionH>
            <wp:positionV relativeFrom="paragraph">
              <wp:posOffset>501650</wp:posOffset>
            </wp:positionV>
            <wp:extent cx="4730750" cy="2145665"/>
            <wp:effectExtent l="0" t="0" r="12700" b="698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730750" cy="2145665"/>
                    </a:xfrm>
                    <a:prstGeom prst="rect">
                      <a:avLst/>
                    </a:prstGeom>
                  </pic:spPr>
                </pic:pic>
              </a:graphicData>
            </a:graphic>
          </wp:anchor>
        </w:drawing>
      </w:r>
    </w:p>
    <w:p>
      <w:pPr>
        <w:spacing w:line="400" w:lineRule="exact"/>
        <w:rPr>
          <w:rFonts w:ascii="宋体" w:hAnsi="宋体"/>
          <w:b/>
          <w:sz w:val="24"/>
        </w:rPr>
      </w:pPr>
    </w:p>
    <w:p>
      <w:pPr>
        <w:spacing w:line="400" w:lineRule="exact"/>
        <w:rPr>
          <w:rFonts w:ascii="宋体" w:hAnsi="宋体"/>
          <w:b/>
          <w:sz w:val="24"/>
        </w:rPr>
      </w:pPr>
      <w:r>
        <w:rPr>
          <w:rFonts w:hint="eastAsia" w:ascii="宋体" w:hAnsi="宋体"/>
          <w:b/>
          <w:sz w:val="24"/>
          <w:lang w:val="en-US" w:eastAsia="zh-CN"/>
        </w:rPr>
        <w:t>四</w:t>
      </w:r>
      <w:r>
        <w:rPr>
          <w:rFonts w:hint="eastAsia" w:ascii="宋体" w:hAnsi="宋体"/>
          <w:b/>
          <w:sz w:val="24"/>
        </w:rPr>
        <w:t>、效益分析</w:t>
      </w:r>
    </w:p>
    <w:p>
      <w:pPr>
        <w:spacing w:line="360" w:lineRule="auto"/>
        <w:ind w:firstLine="480" w:firstLineChars="200"/>
        <w:rPr>
          <w:rFonts w:ascii="宋体" w:hAnsi="宋体"/>
          <w:sz w:val="24"/>
        </w:rPr>
      </w:pPr>
      <w:r>
        <w:rPr>
          <w:rFonts w:ascii="宋体" w:hAnsi="宋体"/>
          <w:sz w:val="24"/>
        </w:rPr>
        <w:t>1、可承担《跨境电子商务实务》、《国际贸易理论与实务》、《网店美工实务》、《国际支付与结算》等跨境电商相关课程实践教学需要。</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shd w:val="clear" w:color="auto" w:fill="auto"/>
          </w:tcPr>
          <w:p>
            <w:pPr>
              <w:spacing w:line="400" w:lineRule="exact"/>
              <w:rPr>
                <w:rFonts w:ascii="宋体" w:hAnsi="宋体"/>
                <w:b/>
                <w:sz w:val="24"/>
              </w:rPr>
            </w:pPr>
            <w:r>
              <w:rPr>
                <w:rFonts w:hint="eastAsia" w:ascii="宋体" w:hAnsi="宋体"/>
                <w:b/>
                <w:sz w:val="24"/>
              </w:rPr>
              <w:t>设备名称</w:t>
            </w:r>
          </w:p>
        </w:tc>
        <w:tc>
          <w:tcPr>
            <w:tcW w:w="2500" w:type="pct"/>
            <w:shd w:val="clear" w:color="auto" w:fill="auto"/>
          </w:tcPr>
          <w:p>
            <w:pPr>
              <w:spacing w:line="400" w:lineRule="exact"/>
              <w:rPr>
                <w:rFonts w:ascii="宋体" w:hAnsi="宋体"/>
                <w:b/>
                <w:sz w:val="24"/>
              </w:rPr>
            </w:pPr>
            <w:r>
              <w:rPr>
                <w:rFonts w:hint="eastAsia" w:ascii="宋体" w:hAnsi="宋体"/>
                <w:b/>
                <w:sz w:val="24"/>
              </w:rPr>
              <w:t>对应课程及实训项目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shd w:val="clear" w:color="auto" w:fill="auto"/>
          </w:tcPr>
          <w:p>
            <w:pPr>
              <w:spacing w:line="400" w:lineRule="exact"/>
              <w:rPr>
                <w:rFonts w:ascii="宋体" w:hAnsi="宋体"/>
                <w:sz w:val="24"/>
              </w:rPr>
            </w:pPr>
            <w:r>
              <w:rPr>
                <w:rFonts w:hint="eastAsia" w:ascii="宋体" w:hAnsi="宋体"/>
                <w:sz w:val="24"/>
              </w:rPr>
              <w:t>跨境电子商务实务</w:t>
            </w:r>
          </w:p>
        </w:tc>
        <w:tc>
          <w:tcPr>
            <w:tcW w:w="2500" w:type="pct"/>
            <w:shd w:val="clear" w:color="auto" w:fill="auto"/>
          </w:tcPr>
          <w:p>
            <w:pPr>
              <w:spacing w:line="400" w:lineRule="exact"/>
              <w:rPr>
                <w:rFonts w:ascii="宋体" w:hAnsi="宋体"/>
                <w:sz w:val="24"/>
              </w:rPr>
            </w:pPr>
            <w:r>
              <w:rPr>
                <w:rFonts w:hint="eastAsia" w:ascii="宋体" w:hAnsi="宋体"/>
                <w:sz w:val="24"/>
              </w:rPr>
              <w:t>跨境电子商务实务实训项目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shd w:val="clear" w:color="auto" w:fill="auto"/>
          </w:tcPr>
          <w:p>
            <w:pPr>
              <w:spacing w:line="400" w:lineRule="exact"/>
              <w:rPr>
                <w:rFonts w:ascii="宋体" w:hAnsi="宋体"/>
                <w:sz w:val="24"/>
              </w:rPr>
            </w:pPr>
            <w:r>
              <w:rPr>
                <w:rFonts w:hint="eastAsia" w:ascii="宋体" w:hAnsi="宋体"/>
                <w:sz w:val="24"/>
              </w:rPr>
              <w:t>国际贸易理论与实务</w:t>
            </w:r>
          </w:p>
        </w:tc>
        <w:tc>
          <w:tcPr>
            <w:tcW w:w="2500" w:type="pct"/>
            <w:shd w:val="clear" w:color="auto" w:fill="auto"/>
          </w:tcPr>
          <w:p>
            <w:pPr>
              <w:spacing w:line="400" w:lineRule="exact"/>
              <w:rPr>
                <w:rFonts w:ascii="宋体" w:hAnsi="宋体"/>
                <w:sz w:val="24"/>
              </w:rPr>
            </w:pPr>
            <w:r>
              <w:rPr>
                <w:rFonts w:hint="eastAsia" w:ascii="宋体" w:hAnsi="宋体"/>
                <w:sz w:val="24"/>
              </w:rPr>
              <w:t>国际贸易理论与实务实训项目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shd w:val="clear" w:color="auto" w:fill="auto"/>
          </w:tcPr>
          <w:p>
            <w:pPr>
              <w:spacing w:line="400" w:lineRule="exact"/>
              <w:rPr>
                <w:rFonts w:ascii="宋体" w:hAnsi="宋体"/>
                <w:sz w:val="24"/>
              </w:rPr>
            </w:pPr>
            <w:r>
              <w:rPr>
                <w:rFonts w:hint="eastAsia" w:ascii="宋体" w:hAnsi="宋体"/>
                <w:sz w:val="24"/>
              </w:rPr>
              <w:t>网店美工实务</w:t>
            </w:r>
          </w:p>
        </w:tc>
        <w:tc>
          <w:tcPr>
            <w:tcW w:w="2500" w:type="pct"/>
            <w:shd w:val="clear" w:color="auto" w:fill="auto"/>
          </w:tcPr>
          <w:p>
            <w:pPr>
              <w:spacing w:line="400" w:lineRule="exact"/>
              <w:rPr>
                <w:rFonts w:ascii="宋体" w:hAnsi="宋体"/>
                <w:sz w:val="24"/>
              </w:rPr>
            </w:pPr>
            <w:r>
              <w:rPr>
                <w:rFonts w:hint="eastAsia" w:ascii="宋体" w:hAnsi="宋体"/>
                <w:sz w:val="24"/>
              </w:rPr>
              <w:t>网店美工实务实训项目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shd w:val="clear" w:color="auto" w:fill="auto"/>
          </w:tcPr>
          <w:p>
            <w:pPr>
              <w:spacing w:line="400" w:lineRule="exact"/>
              <w:rPr>
                <w:rFonts w:ascii="宋体" w:hAnsi="宋体"/>
                <w:sz w:val="24"/>
              </w:rPr>
            </w:pPr>
            <w:r>
              <w:rPr>
                <w:rFonts w:hint="eastAsia" w:ascii="宋体" w:hAnsi="宋体"/>
                <w:sz w:val="24"/>
              </w:rPr>
              <w:t>国际支付与结算</w:t>
            </w:r>
          </w:p>
        </w:tc>
        <w:tc>
          <w:tcPr>
            <w:tcW w:w="2500" w:type="pct"/>
            <w:shd w:val="clear" w:color="auto" w:fill="auto"/>
          </w:tcPr>
          <w:p>
            <w:pPr>
              <w:spacing w:line="400" w:lineRule="exact"/>
              <w:rPr>
                <w:rFonts w:ascii="宋体" w:hAnsi="宋体"/>
                <w:sz w:val="24"/>
              </w:rPr>
            </w:pPr>
            <w:r>
              <w:rPr>
                <w:rFonts w:hint="eastAsia" w:ascii="宋体" w:hAnsi="宋体"/>
                <w:sz w:val="24"/>
              </w:rPr>
              <w:t>国际支付与结算实训项目</w:t>
            </w:r>
          </w:p>
        </w:tc>
      </w:tr>
    </w:tbl>
    <w:p>
      <w:pPr>
        <w:spacing w:line="360" w:lineRule="auto"/>
        <w:ind w:firstLine="480" w:firstLineChars="200"/>
        <w:rPr>
          <w:rFonts w:ascii="宋体" w:hAnsi="宋体"/>
          <w:sz w:val="24"/>
        </w:rPr>
      </w:pPr>
      <w:r>
        <w:rPr>
          <w:rFonts w:ascii="宋体" w:hAnsi="宋体"/>
          <w:sz w:val="24"/>
        </w:rPr>
        <w:t>2、作为学生参加全国、福建省“互联网+”国际贸易综合技能竞赛训练平台。</w:t>
      </w:r>
    </w:p>
    <w:p>
      <w:pPr>
        <w:spacing w:line="360" w:lineRule="auto"/>
        <w:ind w:firstLine="480" w:firstLineChars="200"/>
        <w:rPr>
          <w:rFonts w:ascii="宋体" w:hAnsi="宋体"/>
          <w:sz w:val="24"/>
        </w:rPr>
      </w:pPr>
      <w:r>
        <w:rPr>
          <w:rFonts w:ascii="宋体" w:hAnsi="宋体"/>
          <w:sz w:val="24"/>
        </w:rPr>
        <w:t>4、为跨境电子商务专业课程体系建设提供支持，引入理实一体化课程、建成强化职业能力培养的课程体系。课程资源、理论、练习、实验/案例和岗位工作一体化推进，内容以实际应用需求为导向，重视实战能力。</w:t>
      </w:r>
    </w:p>
    <w:p>
      <w:pPr>
        <w:spacing w:line="360" w:lineRule="auto"/>
        <w:ind w:firstLine="480" w:firstLineChars="200"/>
        <w:rPr>
          <w:rFonts w:ascii="宋体" w:hAnsi="宋体"/>
          <w:sz w:val="24"/>
        </w:rPr>
      </w:pPr>
      <w:r>
        <w:rPr>
          <w:rFonts w:ascii="宋体" w:hAnsi="宋体"/>
          <w:sz w:val="24"/>
        </w:rPr>
        <w:t>5、支撑跨境电商课题研究，为相关科研课题的研究提供大量、详实的数据和提供数据处理与分析工具。</w:t>
      </w:r>
    </w:p>
    <w:p>
      <w:pPr>
        <w:widowControl/>
        <w:jc w:val="left"/>
        <w:sectPr>
          <w:pgSz w:w="11906" w:h="16838"/>
          <w:pgMar w:top="1440" w:right="1800" w:bottom="1440" w:left="1800" w:header="851" w:footer="992" w:gutter="0"/>
          <w:cols w:space="425" w:num="1"/>
          <w:docGrid w:type="lines" w:linePitch="312" w:charSpace="0"/>
        </w:sectPr>
      </w:pPr>
    </w:p>
    <w:p>
      <w:pPr>
        <w:spacing w:line="360" w:lineRule="auto"/>
        <w:jc w:val="center"/>
        <w:rPr>
          <w:rFonts w:ascii="宋体" w:hAnsi="宋体"/>
          <w:b/>
          <w:sz w:val="24"/>
        </w:rPr>
      </w:pPr>
      <w:r>
        <w:rPr>
          <w:rFonts w:hint="eastAsia" w:ascii="宋体" w:hAnsi="宋体"/>
          <w:b/>
          <w:sz w:val="24"/>
        </w:rPr>
        <w:t>“互联网+”国际贸易综合实训与竞赛系统采购项目购置清单预算</w:t>
      </w:r>
    </w:p>
    <w:tbl>
      <w:tblPr>
        <w:tblStyle w:val="5"/>
        <w:tblW w:w="0" w:type="auto"/>
        <w:tblInd w:w="93" w:type="dxa"/>
        <w:tblLayout w:type="fixed"/>
        <w:tblCellMar>
          <w:top w:w="0" w:type="dxa"/>
          <w:left w:w="108" w:type="dxa"/>
          <w:bottom w:w="0" w:type="dxa"/>
          <w:right w:w="108" w:type="dxa"/>
        </w:tblCellMar>
      </w:tblPr>
      <w:tblGrid>
        <w:gridCol w:w="658"/>
        <w:gridCol w:w="1290"/>
        <w:gridCol w:w="5158"/>
        <w:gridCol w:w="806"/>
        <w:gridCol w:w="1128"/>
        <w:gridCol w:w="1451"/>
        <w:gridCol w:w="1225"/>
        <w:gridCol w:w="1193"/>
      </w:tblGrid>
      <w:tr>
        <w:tblPrEx>
          <w:tblCellMar>
            <w:top w:w="0" w:type="dxa"/>
            <w:left w:w="108" w:type="dxa"/>
            <w:bottom w:w="0" w:type="dxa"/>
            <w:right w:w="108" w:type="dxa"/>
          </w:tblCellMar>
        </w:tblPrEx>
        <w:trPr>
          <w:trHeight w:val="737" w:hRule="atLeast"/>
        </w:trPr>
        <w:tc>
          <w:tcPr>
            <w:tcW w:w="658" w:type="dxa"/>
            <w:tcBorders>
              <w:top w:val="single" w:color="auto" w:sz="12" w:space="0"/>
              <w:left w:val="single" w:color="auto" w:sz="12" w:space="0"/>
              <w:bottom w:val="single" w:color="auto" w:sz="4" w:space="0"/>
              <w:right w:val="single" w:color="auto" w:sz="4" w:space="0"/>
            </w:tcBorders>
            <w:shd w:val="clear" w:color="auto" w:fill="E0E0E0"/>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1290" w:type="dxa"/>
            <w:tcBorders>
              <w:top w:val="single" w:color="auto" w:sz="12" w:space="0"/>
              <w:left w:val="nil"/>
              <w:bottom w:val="single" w:color="auto" w:sz="4" w:space="0"/>
              <w:right w:val="single" w:color="000000" w:sz="4" w:space="0"/>
            </w:tcBorders>
            <w:shd w:val="clear" w:color="auto" w:fill="E0E0E0"/>
            <w:vAlign w:val="center"/>
          </w:tcPr>
          <w:p>
            <w:pPr>
              <w:widowControl/>
              <w:jc w:val="center"/>
              <w:rPr>
                <w:rFonts w:ascii="宋体" w:hAnsi="宋体" w:cs="宋体"/>
                <w:kern w:val="0"/>
                <w:szCs w:val="21"/>
              </w:rPr>
            </w:pPr>
            <w:r>
              <w:rPr>
                <w:rFonts w:hint="eastAsia" w:ascii="宋体" w:hAnsi="宋体" w:cs="宋体"/>
                <w:kern w:val="0"/>
                <w:szCs w:val="21"/>
              </w:rPr>
              <w:t>设备名称</w:t>
            </w:r>
          </w:p>
        </w:tc>
        <w:tc>
          <w:tcPr>
            <w:tcW w:w="5158" w:type="dxa"/>
            <w:tcBorders>
              <w:top w:val="single" w:color="auto" w:sz="12" w:space="0"/>
              <w:left w:val="nil"/>
              <w:bottom w:val="single" w:color="auto" w:sz="4" w:space="0"/>
              <w:right w:val="single" w:color="auto" w:sz="4" w:space="0"/>
            </w:tcBorders>
            <w:shd w:val="clear" w:color="auto" w:fill="E0E0E0"/>
            <w:vAlign w:val="center"/>
          </w:tcPr>
          <w:p>
            <w:pPr>
              <w:widowControl/>
              <w:jc w:val="center"/>
              <w:rPr>
                <w:rFonts w:ascii="宋体" w:hAnsi="宋体" w:cs="宋体"/>
                <w:kern w:val="0"/>
                <w:szCs w:val="21"/>
              </w:rPr>
            </w:pPr>
            <w:r>
              <w:rPr>
                <w:rFonts w:hint="eastAsia" w:ascii="宋体" w:hAnsi="宋体" w:cs="宋体"/>
                <w:kern w:val="0"/>
                <w:szCs w:val="21"/>
              </w:rPr>
              <w:t>规格、型号</w:t>
            </w:r>
            <w:r>
              <w:rPr>
                <w:rFonts w:hint="eastAsia" w:ascii="宋体" w:hAnsi="宋体" w:cs="宋体"/>
                <w:bCs/>
                <w:kern w:val="0"/>
                <w:szCs w:val="21"/>
              </w:rPr>
              <w:t>（主要技术参数）</w:t>
            </w:r>
          </w:p>
        </w:tc>
        <w:tc>
          <w:tcPr>
            <w:tcW w:w="806" w:type="dxa"/>
            <w:tcBorders>
              <w:top w:val="single" w:color="auto" w:sz="12" w:space="0"/>
              <w:left w:val="nil"/>
              <w:bottom w:val="single" w:color="auto" w:sz="4" w:space="0"/>
              <w:right w:val="single" w:color="auto" w:sz="4" w:space="0"/>
            </w:tcBorders>
            <w:shd w:val="clear" w:color="auto" w:fill="E0E0E0"/>
            <w:vAlign w:val="center"/>
          </w:tcPr>
          <w:p>
            <w:pPr>
              <w:jc w:val="center"/>
              <w:rPr>
                <w:rFonts w:ascii="宋体" w:hAnsi="宋体" w:cs="宋体"/>
                <w:bCs/>
                <w:kern w:val="0"/>
                <w:szCs w:val="21"/>
              </w:rPr>
            </w:pPr>
            <w:bookmarkStart w:id="0" w:name="_GoBack"/>
            <w:bookmarkEnd w:id="0"/>
            <w:r>
              <w:rPr>
                <w:rFonts w:hint="eastAsia" w:ascii="宋体" w:hAnsi="宋体" w:cs="宋体"/>
                <w:bCs/>
                <w:kern w:val="0"/>
                <w:szCs w:val="21"/>
              </w:rPr>
              <w:t>数量</w:t>
            </w:r>
          </w:p>
        </w:tc>
        <w:tc>
          <w:tcPr>
            <w:tcW w:w="1128" w:type="dxa"/>
            <w:tcBorders>
              <w:top w:val="single" w:color="auto" w:sz="12" w:space="0"/>
              <w:left w:val="nil"/>
              <w:bottom w:val="single" w:color="auto" w:sz="4" w:space="0"/>
              <w:right w:val="single" w:color="auto" w:sz="4" w:space="0"/>
            </w:tcBorders>
            <w:shd w:val="clear" w:color="auto" w:fill="E0E0E0"/>
            <w:vAlign w:val="center"/>
          </w:tcPr>
          <w:p>
            <w:pPr>
              <w:tabs>
                <w:tab w:val="left" w:pos="6840"/>
              </w:tabs>
              <w:jc w:val="center"/>
              <w:rPr>
                <w:caps/>
              </w:rPr>
            </w:pPr>
            <w:r>
              <w:rPr>
                <w:rFonts w:hint="eastAsia"/>
                <w:caps/>
              </w:rPr>
              <w:t>单价</w:t>
            </w:r>
          </w:p>
          <w:p>
            <w:pPr>
              <w:tabs>
                <w:tab w:val="left" w:pos="6840"/>
              </w:tabs>
              <w:jc w:val="center"/>
              <w:rPr>
                <w:caps/>
              </w:rPr>
            </w:pPr>
            <w:r>
              <w:rPr>
                <w:rFonts w:hint="eastAsia"/>
                <w:caps/>
              </w:rPr>
              <w:t>（元）</w:t>
            </w:r>
          </w:p>
        </w:tc>
        <w:tc>
          <w:tcPr>
            <w:tcW w:w="1451" w:type="dxa"/>
            <w:tcBorders>
              <w:top w:val="single" w:color="auto" w:sz="12" w:space="0"/>
              <w:left w:val="nil"/>
              <w:bottom w:val="single" w:color="auto" w:sz="4" w:space="0"/>
              <w:right w:val="single" w:color="auto" w:sz="4" w:space="0"/>
            </w:tcBorders>
            <w:shd w:val="clear" w:color="auto" w:fill="E0E0E0"/>
            <w:vAlign w:val="center"/>
          </w:tcPr>
          <w:p>
            <w:pPr>
              <w:tabs>
                <w:tab w:val="left" w:pos="6840"/>
              </w:tabs>
              <w:jc w:val="center"/>
              <w:rPr>
                <w:caps/>
              </w:rPr>
            </w:pPr>
            <w:r>
              <w:rPr>
                <w:rFonts w:hint="eastAsia"/>
                <w:caps/>
              </w:rPr>
              <w:t>单价来源</w:t>
            </w:r>
          </w:p>
        </w:tc>
        <w:tc>
          <w:tcPr>
            <w:tcW w:w="1225" w:type="dxa"/>
            <w:tcBorders>
              <w:top w:val="single" w:color="auto" w:sz="12" w:space="0"/>
              <w:left w:val="nil"/>
              <w:bottom w:val="single" w:color="auto" w:sz="4" w:space="0"/>
              <w:right w:val="single" w:color="auto" w:sz="4" w:space="0"/>
            </w:tcBorders>
            <w:shd w:val="clear" w:color="auto" w:fill="E0E0E0"/>
            <w:vAlign w:val="center"/>
          </w:tcPr>
          <w:p>
            <w:pPr>
              <w:tabs>
                <w:tab w:val="left" w:pos="6840"/>
              </w:tabs>
              <w:jc w:val="center"/>
              <w:rPr>
                <w:caps/>
              </w:rPr>
            </w:pPr>
            <w:r>
              <w:rPr>
                <w:rFonts w:hint="eastAsia"/>
                <w:caps/>
              </w:rPr>
              <w:t>金额</w:t>
            </w:r>
          </w:p>
          <w:p>
            <w:pPr>
              <w:tabs>
                <w:tab w:val="left" w:pos="6840"/>
              </w:tabs>
              <w:jc w:val="center"/>
              <w:rPr>
                <w:caps/>
              </w:rPr>
            </w:pPr>
            <w:r>
              <w:rPr>
                <w:rFonts w:hint="eastAsia"/>
                <w:caps/>
              </w:rPr>
              <w:t>（元）</w:t>
            </w:r>
          </w:p>
        </w:tc>
        <w:tc>
          <w:tcPr>
            <w:tcW w:w="1193" w:type="dxa"/>
            <w:tcBorders>
              <w:top w:val="single" w:color="auto" w:sz="12" w:space="0"/>
              <w:left w:val="nil"/>
              <w:bottom w:val="single" w:color="auto" w:sz="4" w:space="0"/>
              <w:right w:val="single" w:color="auto" w:sz="12" w:space="0"/>
            </w:tcBorders>
            <w:shd w:val="clear" w:color="auto" w:fill="E0E0E0"/>
            <w:vAlign w:val="center"/>
          </w:tcPr>
          <w:p>
            <w:pPr>
              <w:tabs>
                <w:tab w:val="left" w:pos="6840"/>
              </w:tabs>
              <w:jc w:val="center"/>
              <w:rPr>
                <w:caps/>
              </w:rPr>
            </w:pPr>
            <w:r>
              <w:rPr>
                <w:rFonts w:hint="eastAsia"/>
                <w:caps/>
              </w:rPr>
              <w:t>存放位置</w:t>
            </w:r>
          </w:p>
        </w:tc>
      </w:tr>
      <w:tr>
        <w:tblPrEx>
          <w:tblCellMar>
            <w:top w:w="0" w:type="dxa"/>
            <w:left w:w="108" w:type="dxa"/>
            <w:bottom w:w="0" w:type="dxa"/>
            <w:right w:w="108" w:type="dxa"/>
          </w:tblCellMar>
        </w:tblPrEx>
        <w:trPr>
          <w:trHeight w:val="737" w:hRule="atLeast"/>
        </w:trPr>
        <w:tc>
          <w:tcPr>
            <w:tcW w:w="658"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290" w:type="dxa"/>
            <w:tcBorders>
              <w:top w:val="single" w:color="auto" w:sz="4" w:space="0"/>
              <w:left w:val="nil"/>
              <w:bottom w:val="single" w:color="auto" w:sz="4" w:space="0"/>
              <w:right w:val="single" w:color="000000" w:sz="4" w:space="0"/>
            </w:tcBorders>
            <w:vAlign w:val="center"/>
          </w:tcPr>
          <w:p>
            <w:pPr>
              <w:autoSpaceDN w:val="0"/>
              <w:jc w:val="center"/>
              <w:textAlignment w:val="center"/>
              <w:rPr>
                <w:rFonts w:ascii="宋体" w:hAnsi="宋体"/>
              </w:rPr>
            </w:pPr>
            <w:r>
              <w:rPr>
                <w:rFonts w:hint="eastAsia" w:ascii="宋体" w:hAnsi="宋体"/>
              </w:rPr>
              <w:t>互联网+国际贸易综合技能实训与竞赛平台软件</w:t>
            </w:r>
          </w:p>
        </w:tc>
        <w:tc>
          <w:tcPr>
            <w:tcW w:w="5158" w:type="dxa"/>
            <w:tcBorders>
              <w:top w:val="single" w:color="auto" w:sz="4" w:space="0"/>
              <w:left w:val="nil"/>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教师端：</w:t>
            </w:r>
          </w:p>
          <w:p>
            <w:pPr>
              <w:spacing w:line="360" w:lineRule="auto"/>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教师可以同时开启多个课程和比赛，每个课程和比赛下可设置多个班级和队伍，可设置课程的起始时间、业务办理有无等待时间、开启的国家、设置交易笔数上限、设置证书课程属性等参数，学生将被平均分配到各个国家中。</w:t>
            </w:r>
          </w:p>
          <w:p>
            <w:pPr>
              <w:spacing w:line="360" w:lineRule="auto"/>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系统可设置常规课程与常规竞赛为证书课程，证书课程结束后，系统可对学员的学习成果进行综合评价，符合要求（总成绩大于等于60分）的学员可以直接付费申请由商务部中国国际贸易学会颁发的POCIB外贸从业能力合格证书。教师后台可以统一管理申请POCIB证书工作，包括单个、批量导出申请POCIB证书文件、预览POCIB证书功能，教师可统一管理申请POCIB证书工作。学生通过证书课程后可以自行在门户网站预览POCIB证书、导出申请POCIB证书文件申请证书。</w:t>
            </w:r>
          </w:p>
          <w:p>
            <w:pPr>
              <w:spacing w:line="360" w:lineRule="auto"/>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教师可添加、修改、启/禁用班级和队伍，可使用单个、批量、模板导入的方式导入学生账号，并可对账号进行修改信息、重置密码、启/禁用等操作。</w:t>
            </w:r>
          </w:p>
          <w:p>
            <w:pPr>
              <w:spacing w:line="360" w:lineRule="auto"/>
              <w:rPr>
                <w:rFonts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系统需提供业务能力竞赛模式，教师管理后台可设置交易笔数上限，合同签完即进入历史业务，无需跟单履约流程，可用于举办各类形式的比赛，可为各省市、国家级外贸类竞赛、各大院校校内赛提供软件支撑。</w:t>
            </w:r>
          </w:p>
          <w:p>
            <w:pPr>
              <w:spacing w:line="360" w:lineRule="auto"/>
              <w:rPr>
                <w:rFonts w:ascii="宋体" w:hAnsi="宋体"/>
                <w:szCs w:val="21"/>
              </w:rPr>
            </w:pPr>
            <w:r>
              <w:rPr>
                <w:rFonts w:hint="eastAsia" w:ascii="宋体" w:hAnsi="宋体"/>
                <w:szCs w:val="21"/>
              </w:rPr>
              <w:t>5.</w:t>
            </w:r>
            <w:r>
              <w:rPr>
                <w:rFonts w:hint="eastAsia" w:ascii="宋体" w:hAnsi="宋体"/>
                <w:szCs w:val="21"/>
              </w:rPr>
              <w:tab/>
            </w:r>
            <w:r>
              <w:rPr>
                <w:rFonts w:hint="eastAsia" w:ascii="宋体" w:hAnsi="宋体"/>
                <w:szCs w:val="21"/>
              </w:rPr>
              <w:t>系统需含有需自动评分系统：系统按照统一的标准对学生的学习成果进行自动评价，并给出一定的改进建议。教师可设置每日的评分时间，并可进行手动评分，教师可按课程、按班级查询学生的得分、各项能力的等级和使用总结。得分和使用总结均可以EXCEL表格的形式导出。评分系统考察点包括：磋商函电、价格核算、单一窗口录入、B2B网站运营能力、盈利、各项业务办理、单据填写等，对学生学习期间的业务能力、跟单能力、学习能力和综合能力进行科学评分。</w:t>
            </w:r>
          </w:p>
          <w:p>
            <w:pPr>
              <w:spacing w:line="360" w:lineRule="auto"/>
              <w:rPr>
                <w:rFonts w:ascii="宋体" w:hAnsi="宋体"/>
                <w:szCs w:val="21"/>
              </w:rPr>
            </w:pPr>
            <w:r>
              <w:rPr>
                <w:rFonts w:hint="eastAsia" w:ascii="宋体" w:hAnsi="宋体"/>
                <w:szCs w:val="21"/>
              </w:rPr>
              <w:t>6.</w:t>
            </w:r>
            <w:r>
              <w:rPr>
                <w:rFonts w:hint="eastAsia" w:ascii="宋体" w:hAnsi="宋体"/>
                <w:szCs w:val="21"/>
              </w:rPr>
              <w:tab/>
            </w:r>
            <w:r>
              <w:rPr>
                <w:rFonts w:hint="eastAsia" w:ascii="宋体" w:hAnsi="宋体"/>
                <w:szCs w:val="21"/>
              </w:rPr>
              <w:t>系统可以对学生的进出口贸易函电进行自动评价，也可对函电进行人工评价。</w:t>
            </w:r>
          </w:p>
          <w:p>
            <w:pPr>
              <w:spacing w:line="360" w:lineRule="auto"/>
              <w:rPr>
                <w:rFonts w:ascii="宋体" w:hAnsi="宋体"/>
                <w:szCs w:val="21"/>
              </w:rPr>
            </w:pPr>
            <w:r>
              <w:rPr>
                <w:rFonts w:hint="eastAsia" w:ascii="宋体" w:hAnsi="宋体"/>
                <w:szCs w:val="21"/>
              </w:rPr>
              <w:t>7.</w:t>
            </w:r>
            <w:r>
              <w:rPr>
                <w:rFonts w:hint="eastAsia" w:ascii="宋体" w:hAnsi="宋体"/>
                <w:szCs w:val="21"/>
              </w:rPr>
              <w:tab/>
            </w:r>
            <w:r>
              <w:rPr>
                <w:rFonts w:hint="eastAsia" w:ascii="宋体" w:hAnsi="宋体"/>
                <w:szCs w:val="21"/>
              </w:rPr>
              <w:t>系统需提供教师自主添加商品的功能。商品信息需包含商品编码、HS编码、商品属类、商品名称（中/英文）、规格型号（中/英文）、销售单位（中/英文）、销售单位（英文）复数、包装单位（中/英文）、包装单位（英文）复数、单位换算、毛/净重、体积、集装箱种类、商品一二级分类、商品属性（成熟度、颜色、栽培类型、保质期、储存条件等）、商品图片、所属国家、价格设置、产量、交易量。</w:t>
            </w:r>
          </w:p>
          <w:p>
            <w:pPr>
              <w:spacing w:line="360" w:lineRule="auto"/>
              <w:rPr>
                <w:rFonts w:ascii="宋体" w:hAnsi="宋体"/>
                <w:szCs w:val="21"/>
              </w:rPr>
            </w:pPr>
            <w:r>
              <w:rPr>
                <w:rFonts w:hint="eastAsia" w:ascii="宋体" w:hAnsi="宋体"/>
                <w:szCs w:val="21"/>
              </w:rPr>
              <w:t>8.</w:t>
            </w:r>
            <w:r>
              <w:rPr>
                <w:rFonts w:hint="eastAsia" w:ascii="宋体" w:hAnsi="宋体"/>
                <w:szCs w:val="21"/>
              </w:rPr>
              <w:tab/>
            </w:r>
            <w:r>
              <w:rPr>
                <w:rFonts w:hint="eastAsia" w:ascii="宋体" w:hAnsi="宋体"/>
                <w:szCs w:val="21"/>
              </w:rPr>
              <w:t>教师可设置系统参数包括货物是否遇险、汇率是否变动、商品价格浮动、增减学生账号资金等内容。</w:t>
            </w:r>
          </w:p>
          <w:p>
            <w:pPr>
              <w:spacing w:line="360" w:lineRule="auto"/>
              <w:rPr>
                <w:rFonts w:ascii="宋体" w:hAnsi="宋体"/>
                <w:szCs w:val="21"/>
              </w:rPr>
            </w:pPr>
            <w:r>
              <w:rPr>
                <w:rFonts w:hint="eastAsia" w:ascii="宋体" w:hAnsi="宋体"/>
                <w:szCs w:val="21"/>
              </w:rPr>
              <w:t>9.</w:t>
            </w:r>
            <w:r>
              <w:rPr>
                <w:rFonts w:hint="eastAsia" w:ascii="宋体" w:hAnsi="宋体"/>
                <w:szCs w:val="21"/>
              </w:rPr>
              <w:tab/>
            </w:r>
            <w:r>
              <w:rPr>
                <w:rFonts w:hint="eastAsia" w:ascii="宋体" w:hAnsi="宋体"/>
                <w:szCs w:val="21"/>
              </w:rPr>
              <w:t>系统可提供中英文双语界面，教师可以后台自主调整。</w:t>
            </w:r>
          </w:p>
          <w:p>
            <w:pPr>
              <w:spacing w:line="360" w:lineRule="auto"/>
              <w:rPr>
                <w:rFonts w:ascii="宋体" w:hAnsi="宋体"/>
                <w:szCs w:val="21"/>
              </w:rPr>
            </w:pPr>
            <w:r>
              <w:rPr>
                <w:rFonts w:hint="eastAsia" w:ascii="宋体" w:hAnsi="宋体"/>
                <w:szCs w:val="21"/>
              </w:rPr>
              <w:t>10.</w:t>
            </w:r>
            <w:r>
              <w:rPr>
                <w:rFonts w:hint="eastAsia" w:ascii="宋体" w:hAnsi="宋体"/>
                <w:szCs w:val="21"/>
              </w:rPr>
              <w:tab/>
            </w:r>
            <w:r>
              <w:rPr>
                <w:rFonts w:hint="eastAsia" w:ascii="宋体" w:hAnsi="宋体"/>
                <w:szCs w:val="21"/>
              </w:rPr>
              <w:t>系统可提供教师、学生两种角色的电子帮助手册，可下载、打印。</w:t>
            </w:r>
          </w:p>
          <w:p>
            <w:pPr>
              <w:spacing w:line="360" w:lineRule="auto"/>
              <w:rPr>
                <w:rFonts w:ascii="宋体" w:hAnsi="宋体"/>
                <w:szCs w:val="21"/>
              </w:rPr>
            </w:pPr>
            <w:r>
              <w:rPr>
                <w:rFonts w:hint="eastAsia" w:ascii="宋体" w:hAnsi="宋体"/>
                <w:szCs w:val="21"/>
              </w:rPr>
              <w:t>学生端：</w:t>
            </w:r>
          </w:p>
          <w:p>
            <w:pPr>
              <w:spacing w:line="360" w:lineRule="auto"/>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系统需含各大洲具有代表性的10个国家：中国、美国、英国、日本、德国、澳大利亚、俄罗斯、古巴、巴西、南非。系统提供了世界地图，通过地图可以查看10个国家的简介，包括各国的资源、经济、贸易方面等方面的信息。采用图形化界面，提供鸟瞰式城市地图。通过城市地图中建筑物可以进入包括银行、海关、外汇管理局、海关“检验检疫”、税务局、国际货运公司海运部、国际货运公司空运部、保险公司、化学材料测试中心、国际贸易促进委员会、邮局、市场、国内工厂、广告公司、仲裁委员会15个外贸相关机构。</w:t>
            </w:r>
          </w:p>
          <w:p>
            <w:pPr>
              <w:spacing w:line="360" w:lineRule="auto"/>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系统每个机构都有自己的专业网站，可供学生查询各个机构的相关信息，包括机构简介、海关商品HS编码查询网站、办事指南、费用查询、相关法律法规知识等等。</w:t>
            </w:r>
          </w:p>
          <w:p>
            <w:pPr>
              <w:spacing w:line="360" w:lineRule="auto"/>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系统动态真实模拟了各国货币、汇率、国际运费、进出口相关税费、产品价格等业务信息。</w:t>
            </w:r>
          </w:p>
          <w:p>
            <w:pPr>
              <w:spacing w:line="360" w:lineRule="auto"/>
              <w:rPr>
                <w:rFonts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系统需包含51大类共200多个商品。商品类别有食品饮料、服装、玩具、化妆品、瓷制品、箱包、化工产品、烟草、贵金属、宝石等。各国都有自己的特色产品。例如：中国的代表商品为瓷器、传统手工工艺品；古巴代表商品为雪茄；南非代表商品为钻石。产品的生产成本价及市场收购价会适时调整，更加符合现实的市场规律。</w:t>
            </w:r>
          </w:p>
          <w:p>
            <w:pPr>
              <w:spacing w:line="360" w:lineRule="auto"/>
              <w:rPr>
                <w:rFonts w:ascii="宋体" w:hAnsi="宋体"/>
                <w:szCs w:val="21"/>
              </w:rPr>
            </w:pPr>
            <w:r>
              <w:rPr>
                <w:rFonts w:hint="eastAsia" w:ascii="宋体" w:hAnsi="宋体"/>
                <w:szCs w:val="21"/>
              </w:rPr>
              <w:t>5.</w:t>
            </w:r>
            <w:r>
              <w:rPr>
                <w:rFonts w:hint="eastAsia" w:ascii="宋体" w:hAnsi="宋体"/>
                <w:szCs w:val="21"/>
              </w:rPr>
              <w:tab/>
            </w:r>
            <w:r>
              <w:rPr>
                <w:rFonts w:hint="eastAsia" w:ascii="宋体" w:hAnsi="宋体"/>
                <w:szCs w:val="21"/>
              </w:rPr>
              <w:t>系统需提供中英文可切换的B2B电子商务平台，教师可以通过后台管理设置语言，高仿真模拟阿里巴巴国际站操作，供学生寻找交易对象。主要包含：建站管理、采购直达、产品管理、我的店铺、我的外贸服务、收藏夹等</w:t>
            </w:r>
          </w:p>
          <w:p>
            <w:pPr>
              <w:spacing w:line="360" w:lineRule="auto"/>
              <w:rPr>
                <w:rFonts w:ascii="宋体" w:hAnsi="宋体"/>
                <w:szCs w:val="21"/>
              </w:rPr>
            </w:pPr>
            <w:r>
              <w:rPr>
                <w:rFonts w:hint="eastAsia" w:ascii="宋体" w:hAnsi="宋体"/>
                <w:szCs w:val="21"/>
              </w:rPr>
              <w:t>6.</w:t>
            </w:r>
            <w:r>
              <w:rPr>
                <w:rFonts w:hint="eastAsia" w:ascii="宋体" w:hAnsi="宋体"/>
                <w:szCs w:val="21"/>
              </w:rPr>
              <w:tab/>
            </w:r>
            <w:r>
              <w:rPr>
                <w:rFonts w:hint="eastAsia" w:ascii="宋体" w:hAnsi="宋体"/>
                <w:szCs w:val="21"/>
              </w:rPr>
              <w:t>采用现实国际贸易公司的预算方法，涉及的费用计算部分30多项。强化学习者成本费用和利润核算的能力。</w:t>
            </w:r>
          </w:p>
          <w:p>
            <w:pPr>
              <w:spacing w:line="360" w:lineRule="auto"/>
              <w:rPr>
                <w:rFonts w:ascii="宋体" w:hAnsi="宋体"/>
                <w:szCs w:val="21"/>
              </w:rPr>
            </w:pPr>
            <w:r>
              <w:rPr>
                <w:rFonts w:hint="eastAsia" w:ascii="宋体" w:hAnsi="宋体"/>
                <w:szCs w:val="21"/>
              </w:rPr>
              <w:t>7.</w:t>
            </w:r>
            <w:r>
              <w:rPr>
                <w:rFonts w:hint="eastAsia" w:ascii="宋体" w:hAnsi="宋体"/>
                <w:szCs w:val="21"/>
              </w:rPr>
              <w:tab/>
            </w:r>
            <w:r>
              <w:rPr>
                <w:rFonts w:hint="eastAsia" w:ascii="宋体" w:hAnsi="宋体"/>
                <w:szCs w:val="21"/>
              </w:rPr>
              <w:t>系统需提供完整的外贸函电流程，学生可在系统中进行进出口外贸函电磋商，磋商流程包括建立新业务、询盘、发盘、还盘、接受，另外提供指定运输公司、装运通知等函电类型。</w:t>
            </w:r>
          </w:p>
          <w:p>
            <w:pPr>
              <w:spacing w:line="360" w:lineRule="auto"/>
              <w:rPr>
                <w:rFonts w:ascii="宋体" w:hAnsi="宋体"/>
                <w:szCs w:val="21"/>
              </w:rPr>
            </w:pPr>
            <w:r>
              <w:rPr>
                <w:rFonts w:hint="eastAsia" w:ascii="宋体" w:hAnsi="宋体"/>
                <w:szCs w:val="21"/>
              </w:rPr>
              <w:t>8.</w:t>
            </w:r>
            <w:r>
              <w:rPr>
                <w:rFonts w:hint="eastAsia" w:ascii="宋体" w:hAnsi="宋体"/>
                <w:szCs w:val="21"/>
              </w:rPr>
              <w:tab/>
            </w:r>
            <w:r>
              <w:rPr>
                <w:rFonts w:hint="eastAsia" w:ascii="宋体" w:hAnsi="宋体"/>
                <w:szCs w:val="21"/>
              </w:rPr>
              <w:t>系统需涵盖45种贸易流程组合，其中5种结算方式（L/C、全款T/T、前T/T定金+后T/T尾款相结合、D/P、D/A）、6种贸易术语（CIF、FOB、CFR、CIP、FCA、CPT）、2种运输方式（海运、空运）。系统在履约过程中，每种贸易方式、支付方式都有自己对应的动态进出口流程图，且根据状态的不同显示不同颜色。系统还提供了多种详细操作示例供学生参考。</w:t>
            </w:r>
          </w:p>
          <w:p>
            <w:pPr>
              <w:spacing w:line="360" w:lineRule="auto"/>
              <w:rPr>
                <w:rFonts w:ascii="宋体" w:hAnsi="宋体"/>
                <w:szCs w:val="21"/>
              </w:rPr>
            </w:pPr>
            <w:r>
              <w:rPr>
                <w:rFonts w:hint="eastAsia" w:ascii="宋体" w:hAnsi="宋体"/>
                <w:szCs w:val="21"/>
              </w:rPr>
              <w:t>9.</w:t>
            </w:r>
            <w:r>
              <w:rPr>
                <w:rFonts w:hint="eastAsia" w:ascii="宋体" w:hAnsi="宋体"/>
                <w:szCs w:val="21"/>
              </w:rPr>
              <w:tab/>
            </w:r>
            <w:r>
              <w:rPr>
                <w:rFonts w:hint="eastAsia" w:ascii="宋体" w:hAnsi="宋体"/>
                <w:szCs w:val="21"/>
              </w:rPr>
              <w:t>系统具有自动流程控制、错误提示功能，并以业务日志形式，提供详细的操作记录。</w:t>
            </w:r>
          </w:p>
          <w:p>
            <w:pPr>
              <w:spacing w:line="360" w:lineRule="auto"/>
              <w:rPr>
                <w:rFonts w:ascii="宋体" w:hAnsi="宋体"/>
                <w:szCs w:val="21"/>
              </w:rPr>
            </w:pPr>
            <w:r>
              <w:rPr>
                <w:rFonts w:hint="eastAsia" w:ascii="宋体" w:hAnsi="宋体"/>
                <w:szCs w:val="21"/>
              </w:rPr>
              <w:t>10.</w:t>
            </w:r>
            <w:r>
              <w:rPr>
                <w:rFonts w:hint="eastAsia" w:ascii="宋体" w:hAnsi="宋体"/>
                <w:szCs w:val="21"/>
              </w:rPr>
              <w:tab/>
            </w:r>
            <w:r>
              <w:rPr>
                <w:rFonts w:hint="eastAsia" w:ascii="宋体" w:hAnsi="宋体"/>
                <w:szCs w:val="21"/>
              </w:rPr>
              <w:t>系统可模拟国家外汇管理局应用服务平台完成国际收支网上申报、外汇监测系统网上申报工作。</w:t>
            </w:r>
          </w:p>
          <w:p>
            <w:pPr>
              <w:spacing w:line="360" w:lineRule="auto"/>
              <w:rPr>
                <w:rFonts w:ascii="宋体" w:hAnsi="宋体"/>
                <w:szCs w:val="21"/>
              </w:rPr>
            </w:pPr>
            <w:r>
              <w:rPr>
                <w:rFonts w:hint="eastAsia" w:ascii="宋体" w:hAnsi="宋体"/>
                <w:szCs w:val="21"/>
              </w:rPr>
              <w:t>11.</w:t>
            </w:r>
            <w:r>
              <w:rPr>
                <w:rFonts w:hint="eastAsia" w:ascii="宋体" w:hAnsi="宋体"/>
                <w:szCs w:val="21"/>
              </w:rPr>
              <w:tab/>
            </w:r>
            <w:r>
              <w:rPr>
                <w:rFonts w:hint="eastAsia" w:ascii="宋体" w:hAnsi="宋体"/>
                <w:szCs w:val="21"/>
              </w:rPr>
              <w:t>系统需包括44种的进出口单据，单据与现实业务中所用单据一致，系统提供每张单据参考样本和详细的填写说明。</w:t>
            </w:r>
          </w:p>
          <w:p>
            <w:pPr>
              <w:spacing w:line="360" w:lineRule="auto"/>
              <w:rPr>
                <w:rFonts w:ascii="宋体" w:hAnsi="宋体"/>
                <w:szCs w:val="21"/>
              </w:rPr>
            </w:pPr>
            <w:r>
              <w:rPr>
                <w:rFonts w:hint="eastAsia" w:ascii="宋体" w:hAnsi="宋体"/>
                <w:szCs w:val="21"/>
              </w:rPr>
              <w:t>12.</w:t>
            </w:r>
            <w:r>
              <w:rPr>
                <w:rFonts w:hint="eastAsia" w:ascii="宋体" w:hAnsi="宋体"/>
                <w:szCs w:val="21"/>
              </w:rPr>
              <w:tab/>
            </w:r>
            <w:r>
              <w:rPr>
                <w:rFonts w:hint="eastAsia" w:ascii="宋体" w:hAnsi="宋体"/>
                <w:szCs w:val="21"/>
              </w:rPr>
              <w:t>系统需满足海关总署2018年8月1日起执行的关检合并新政策，原检验检疫局合并入海关，使用最新进出口货物报关单及填制规范，取消出/入境货物通关单。</w:t>
            </w:r>
          </w:p>
          <w:p>
            <w:pPr>
              <w:spacing w:line="360" w:lineRule="auto"/>
              <w:rPr>
                <w:rFonts w:ascii="宋体" w:hAnsi="宋体"/>
                <w:szCs w:val="21"/>
              </w:rPr>
            </w:pPr>
            <w:r>
              <w:rPr>
                <w:rFonts w:hint="eastAsia" w:ascii="宋体" w:hAnsi="宋体"/>
                <w:szCs w:val="21"/>
              </w:rPr>
              <w:t>13.</w:t>
            </w:r>
            <w:r>
              <w:rPr>
                <w:rFonts w:hint="eastAsia" w:ascii="宋体" w:hAnsi="宋体"/>
                <w:szCs w:val="21"/>
              </w:rPr>
              <w:tab/>
            </w:r>
            <w:r>
              <w:rPr>
                <w:rFonts w:hint="eastAsia" w:ascii="宋体" w:hAnsi="宋体"/>
                <w:szCs w:val="21"/>
              </w:rPr>
              <w:t>系统需提供单据检查功能，能够精准提示每张单据、单一窗口录入界面中的填写错误。</w:t>
            </w:r>
          </w:p>
          <w:p>
            <w:pPr>
              <w:spacing w:line="360" w:lineRule="auto"/>
              <w:rPr>
                <w:rFonts w:ascii="宋体" w:hAnsi="宋体"/>
                <w:szCs w:val="21"/>
              </w:rPr>
            </w:pPr>
            <w:r>
              <w:rPr>
                <w:rFonts w:hint="eastAsia" w:ascii="宋体" w:hAnsi="宋体"/>
                <w:szCs w:val="21"/>
              </w:rPr>
              <w:t>14.</w:t>
            </w:r>
            <w:r>
              <w:rPr>
                <w:rFonts w:hint="eastAsia" w:ascii="宋体" w:hAnsi="宋体"/>
                <w:szCs w:val="21"/>
              </w:rPr>
              <w:tab/>
            </w:r>
            <w:r>
              <w:rPr>
                <w:rFonts w:hint="eastAsia" w:ascii="宋体" w:hAnsi="宋体"/>
                <w:szCs w:val="21"/>
              </w:rPr>
              <w:t>系统银行需含有贷款、押汇功能，学生可以通过贷款、押汇融资手段，满足自己对资金的需求。</w:t>
            </w:r>
          </w:p>
          <w:p>
            <w:pPr>
              <w:spacing w:line="360" w:lineRule="auto"/>
              <w:rPr>
                <w:rFonts w:ascii="宋体" w:hAnsi="宋体"/>
                <w:szCs w:val="21"/>
              </w:rPr>
            </w:pPr>
            <w:r>
              <w:rPr>
                <w:rFonts w:hint="eastAsia" w:ascii="宋体" w:hAnsi="宋体"/>
                <w:szCs w:val="21"/>
              </w:rPr>
              <w:t>15.</w:t>
            </w:r>
            <w:r>
              <w:rPr>
                <w:rFonts w:hint="eastAsia" w:ascii="宋体" w:hAnsi="宋体"/>
                <w:szCs w:val="21"/>
              </w:rPr>
              <w:tab/>
            </w:r>
            <w:r>
              <w:rPr>
                <w:rFonts w:hint="eastAsia" w:ascii="宋体" w:hAnsi="宋体"/>
                <w:szCs w:val="21"/>
              </w:rPr>
              <w:t>系统需提供详细的财务流水记录，记录每笔资金的收支情况。学生可查询每笔银行贷款的金额和贷款总金额、以及还款情况。</w:t>
            </w:r>
          </w:p>
          <w:p>
            <w:pPr>
              <w:spacing w:line="360" w:lineRule="auto"/>
              <w:rPr>
                <w:rFonts w:ascii="宋体" w:hAnsi="宋体"/>
                <w:szCs w:val="21"/>
              </w:rPr>
            </w:pPr>
            <w:r>
              <w:rPr>
                <w:rFonts w:hint="eastAsia" w:ascii="宋体" w:hAnsi="宋体"/>
                <w:szCs w:val="21"/>
              </w:rPr>
              <w:t>16.</w:t>
            </w:r>
            <w:r>
              <w:rPr>
                <w:rFonts w:hint="eastAsia" w:ascii="宋体" w:hAnsi="宋体"/>
                <w:szCs w:val="21"/>
              </w:rPr>
              <w:tab/>
            </w:r>
            <w:r>
              <w:rPr>
                <w:rFonts w:hint="eastAsia" w:ascii="宋体" w:hAnsi="宋体"/>
                <w:szCs w:val="21"/>
              </w:rPr>
              <w:t>系统需引入时间机制，需将现实中的办理业务等待天数转换为小时，让学生练习如何管理多笔同时进行履约的业务，学会如何合理安排时间。教师还可以将课程设置为无时间等待。引入了各种货物遇险情景，模拟了外贸业务中遇到的风险，例如货物失窃、运输工具遇险等，通过各种风险，使学生深刻了解货物运输保险的重要性。</w:t>
            </w:r>
          </w:p>
          <w:p>
            <w:pPr>
              <w:spacing w:line="360" w:lineRule="auto"/>
              <w:rPr>
                <w:rFonts w:ascii="宋体" w:hAnsi="宋体"/>
                <w:szCs w:val="21"/>
              </w:rPr>
            </w:pPr>
            <w:r>
              <w:rPr>
                <w:rFonts w:hint="eastAsia" w:ascii="宋体" w:hAnsi="宋体"/>
                <w:szCs w:val="21"/>
              </w:rPr>
              <w:t>17.</w:t>
            </w:r>
            <w:r>
              <w:rPr>
                <w:rFonts w:hint="eastAsia" w:ascii="宋体" w:hAnsi="宋体"/>
                <w:szCs w:val="21"/>
              </w:rPr>
              <w:tab/>
            </w:r>
            <w:r>
              <w:rPr>
                <w:rFonts w:hint="eastAsia" w:ascii="宋体" w:hAnsi="宋体"/>
                <w:szCs w:val="21"/>
              </w:rPr>
              <w:t>系统需提供海洋运输投保条款包括：PICC CLAUSE 人民保险公司保险条款，ICC CLAUSE 伦敦协会货物险条款;航空运输投保条款包括：AIR TPT ALL RISKS 航空运输一切险；AIR TPT RISKS 航空运输险。两种特殊附加险：WAR RISKS 战争险；STRIKE 罢工险。学生可以根据情况选择合适的险别进行投保。</w:t>
            </w:r>
          </w:p>
          <w:p>
            <w:pPr>
              <w:spacing w:line="360" w:lineRule="auto"/>
              <w:rPr>
                <w:rFonts w:ascii="宋体" w:hAnsi="宋体"/>
                <w:szCs w:val="21"/>
              </w:rPr>
            </w:pPr>
            <w:r>
              <w:rPr>
                <w:rFonts w:hint="eastAsia" w:ascii="宋体" w:hAnsi="宋体"/>
                <w:szCs w:val="21"/>
              </w:rPr>
              <w:t>18.</w:t>
            </w:r>
            <w:r>
              <w:rPr>
                <w:rFonts w:hint="eastAsia" w:ascii="宋体" w:hAnsi="宋体"/>
                <w:szCs w:val="21"/>
              </w:rPr>
              <w:tab/>
            </w:r>
            <w:r>
              <w:rPr>
                <w:rFonts w:hint="eastAsia" w:ascii="宋体" w:hAnsi="宋体"/>
                <w:szCs w:val="21"/>
              </w:rPr>
              <w:t>系统需提供2019年最新进出口商品HS编码查询的网站。</w:t>
            </w:r>
          </w:p>
          <w:p>
            <w:pPr>
              <w:spacing w:line="360" w:lineRule="auto"/>
              <w:rPr>
                <w:rFonts w:ascii="宋体" w:hAnsi="宋体"/>
                <w:szCs w:val="21"/>
              </w:rPr>
            </w:pPr>
            <w:r>
              <w:rPr>
                <w:rFonts w:hint="eastAsia" w:ascii="宋体" w:hAnsi="宋体"/>
                <w:szCs w:val="21"/>
              </w:rPr>
              <w:t>19.</w:t>
            </w:r>
            <w:r>
              <w:rPr>
                <w:rFonts w:hint="eastAsia" w:ascii="宋体" w:hAnsi="宋体"/>
                <w:szCs w:val="21"/>
              </w:rPr>
              <w:tab/>
            </w:r>
            <w:r>
              <w:rPr>
                <w:rFonts w:hint="eastAsia" w:ascii="宋体" w:hAnsi="宋体"/>
                <w:szCs w:val="21"/>
              </w:rPr>
              <w:t>系统商品税率为2019年最新税率（增值税原适用16%税率的，税率调整为13%；原适用10%税率的，税率调整为9%）。</w:t>
            </w:r>
          </w:p>
          <w:p>
            <w:pPr>
              <w:spacing w:line="360" w:lineRule="auto"/>
              <w:rPr>
                <w:rFonts w:ascii="宋体" w:hAnsi="宋体"/>
                <w:szCs w:val="21"/>
              </w:rPr>
            </w:pPr>
            <w:r>
              <w:rPr>
                <w:rFonts w:hint="eastAsia" w:ascii="宋体" w:hAnsi="宋体"/>
                <w:szCs w:val="21"/>
              </w:rPr>
              <w:t>20.</w:t>
            </w:r>
            <w:r>
              <w:rPr>
                <w:rFonts w:hint="eastAsia" w:ascii="宋体" w:hAnsi="宋体"/>
                <w:szCs w:val="21"/>
              </w:rPr>
              <w:tab/>
            </w:r>
            <w:r>
              <w:rPr>
                <w:rFonts w:hint="eastAsia" w:ascii="宋体" w:hAnsi="宋体"/>
                <w:szCs w:val="21"/>
              </w:rPr>
              <w:t>需提供专业的百科，包括操作指南、单一窗口录入指南、B2B跨境电商平台操作指引、进出口报价和成本核算方法和实例、函电书写方法和范例、单据的样本和填写说明、履约流程操作示例等，以及外贸实务的相关知识，可以指导学生完成业务。提供网上仲裁，模拟真实的仲裁程序，为交易提供一定的保障。</w:t>
            </w:r>
          </w:p>
          <w:p>
            <w:pPr>
              <w:spacing w:line="360" w:lineRule="auto"/>
              <w:rPr>
                <w:rFonts w:ascii="宋体" w:hAnsi="宋体"/>
                <w:szCs w:val="21"/>
              </w:rPr>
            </w:pPr>
            <w:r>
              <w:rPr>
                <w:rFonts w:hint="eastAsia" w:ascii="宋体" w:hAnsi="宋体"/>
                <w:szCs w:val="21"/>
              </w:rPr>
              <w:t>21.</w:t>
            </w:r>
            <w:r>
              <w:rPr>
                <w:rFonts w:hint="eastAsia" w:ascii="宋体" w:hAnsi="宋体"/>
                <w:szCs w:val="21"/>
              </w:rPr>
              <w:tab/>
            </w:r>
            <w:r>
              <w:rPr>
                <w:rFonts w:hint="eastAsia" w:ascii="宋体" w:hAnsi="宋体"/>
                <w:szCs w:val="21"/>
              </w:rPr>
              <w:t>系统需提供学生个人使用总结，学生可自行点击客户端首页星星自己查询总成绩、学习能力、业务能力、跟单能力目前的等级。还可以查询学生的各项使用数据，如业务数量、财务盈亏率、进出口预算得分、每张单据的得分以及各贸易术语、结算方式、运输方式的使用次数等详细使用数据。</w:t>
            </w:r>
          </w:p>
        </w:tc>
        <w:tc>
          <w:tcPr>
            <w:tcW w:w="806" w:type="dxa"/>
            <w:tcBorders>
              <w:top w:val="single" w:color="auto" w:sz="4" w:space="0"/>
              <w:left w:val="nil"/>
              <w:bottom w:val="single" w:color="auto" w:sz="4" w:space="0"/>
              <w:right w:val="single" w:color="auto" w:sz="4" w:space="0"/>
            </w:tcBorders>
            <w:vAlign w:val="center"/>
          </w:tcPr>
          <w:p>
            <w:pPr>
              <w:jc w:val="center"/>
              <w:rPr>
                <w:rFonts w:ascii="宋体" w:cs="Arial"/>
                <w:sz w:val="24"/>
              </w:rPr>
            </w:pPr>
            <w:r>
              <w:rPr>
                <w:rFonts w:hint="eastAsia" w:ascii="宋体" w:cs="Arial"/>
                <w:sz w:val="24"/>
              </w:rPr>
              <w:t>1</w:t>
            </w:r>
          </w:p>
        </w:tc>
        <w:tc>
          <w:tcPr>
            <w:tcW w:w="1128" w:type="dxa"/>
            <w:tcBorders>
              <w:top w:val="single" w:color="auto" w:sz="4" w:space="0"/>
              <w:left w:val="nil"/>
              <w:bottom w:val="single" w:color="auto" w:sz="4" w:space="0"/>
              <w:right w:val="single" w:color="auto" w:sz="4" w:space="0"/>
            </w:tcBorders>
            <w:vAlign w:val="center"/>
          </w:tcPr>
          <w:p>
            <w:pPr>
              <w:jc w:val="center"/>
              <w:rPr>
                <w:sz w:val="24"/>
              </w:rPr>
            </w:pPr>
            <w:r>
              <w:rPr>
                <w:rFonts w:hint="eastAsia"/>
                <w:sz w:val="24"/>
              </w:rPr>
              <w:t>18</w:t>
            </w:r>
            <w:r>
              <w:rPr>
                <w:sz w:val="24"/>
              </w:rPr>
              <w:t>8000</w:t>
            </w:r>
          </w:p>
        </w:tc>
        <w:tc>
          <w:tcPr>
            <w:tcW w:w="1451" w:type="dxa"/>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rPr>
            </w:pPr>
            <w:r>
              <w:rPr>
                <w:rFonts w:hint="eastAsia" w:ascii="宋体" w:hAnsi="宋体"/>
              </w:rPr>
              <w:t>各厂家价格对比</w:t>
            </w:r>
          </w:p>
        </w:tc>
        <w:tc>
          <w:tcPr>
            <w:tcW w:w="1225" w:type="dxa"/>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rPr>
            </w:pPr>
            <w:r>
              <w:rPr>
                <w:rFonts w:hint="eastAsia"/>
                <w:sz w:val="24"/>
              </w:rPr>
              <w:t>18</w:t>
            </w:r>
            <w:r>
              <w:rPr>
                <w:sz w:val="24"/>
              </w:rPr>
              <w:t>8000</w:t>
            </w:r>
          </w:p>
        </w:tc>
        <w:tc>
          <w:tcPr>
            <w:tcW w:w="1193" w:type="dxa"/>
            <w:tcBorders>
              <w:top w:val="single" w:color="auto" w:sz="4" w:space="0"/>
              <w:left w:val="nil"/>
              <w:bottom w:val="single" w:color="auto" w:sz="4" w:space="0"/>
              <w:right w:val="single" w:color="auto" w:sz="12" w:space="0"/>
            </w:tcBorders>
            <w:vAlign w:val="center"/>
          </w:tcPr>
          <w:p>
            <w:pPr>
              <w:tabs>
                <w:tab w:val="left" w:pos="6840"/>
              </w:tabs>
              <w:jc w:val="center"/>
            </w:pPr>
          </w:p>
        </w:tc>
      </w:tr>
      <w:tr>
        <w:tblPrEx>
          <w:tblCellMar>
            <w:top w:w="0" w:type="dxa"/>
            <w:left w:w="108" w:type="dxa"/>
            <w:bottom w:w="0" w:type="dxa"/>
            <w:right w:w="108" w:type="dxa"/>
          </w:tblCellMar>
        </w:tblPrEx>
        <w:trPr>
          <w:trHeight w:val="737" w:hRule="atLeast"/>
        </w:trPr>
        <w:tc>
          <w:tcPr>
            <w:tcW w:w="658"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290" w:type="dxa"/>
            <w:tcBorders>
              <w:top w:val="single" w:color="auto" w:sz="4" w:space="0"/>
              <w:left w:val="nil"/>
              <w:bottom w:val="single" w:color="auto" w:sz="4" w:space="0"/>
              <w:right w:val="single" w:color="000000" w:sz="4" w:space="0"/>
            </w:tcBorders>
            <w:vAlign w:val="center"/>
          </w:tcPr>
          <w:p>
            <w:pPr>
              <w:autoSpaceDN w:val="0"/>
              <w:jc w:val="center"/>
              <w:textAlignment w:val="center"/>
              <w:rPr>
                <w:rFonts w:ascii="宋体" w:hAnsi="宋体"/>
              </w:rPr>
            </w:pPr>
            <w:r>
              <w:rPr>
                <w:rFonts w:hint="eastAsia" w:ascii="宋体" w:hAnsi="宋体"/>
              </w:rPr>
              <w:t>跨境电商B2C数据运营沙盘</w:t>
            </w:r>
          </w:p>
        </w:tc>
        <w:tc>
          <w:tcPr>
            <w:tcW w:w="5158" w:type="dxa"/>
            <w:tcBorders>
              <w:top w:val="single" w:color="auto" w:sz="4" w:space="0"/>
              <w:left w:val="nil"/>
              <w:bottom w:val="single" w:color="auto" w:sz="4" w:space="0"/>
              <w:right w:val="single" w:color="auto" w:sz="4" w:space="0"/>
            </w:tcBorders>
            <w:vAlign w:val="center"/>
          </w:tcPr>
          <w:p>
            <w:pPr>
              <w:pStyle w:val="7"/>
              <w:rPr>
                <w:rFonts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系统需模拟多个国家的消费市场（至少包含美国、德国、俄罗斯、巴西）开展跨境电商业务。模拟亚马逊、速卖通、Wish三大在跨境电商市场具有代表性的平台。学生用户以个人或团队的模式创建跨境企业并进行经营。系统模拟的企业运营包含市场调研、产品开发、运营推广、仓储物流、财务分析等完整的业务流程，经营采用博弈的方式，系统对用户在各个运营环节中的决策、预算分配进行联动，实时呈现不同经营决策下的运营结果。</w:t>
            </w:r>
          </w:p>
          <w:p>
            <w:pPr>
              <w:pStyle w:val="7"/>
              <w:rPr>
                <w:rFonts w:ascii="宋体" w:hAnsi="宋体" w:cs="宋体"/>
                <w:szCs w:val="21"/>
              </w:rPr>
            </w:pPr>
            <w:r>
              <w:rPr>
                <w:rFonts w:hint="eastAsia" w:ascii="宋体" w:hAnsi="宋体" w:cs="宋体"/>
                <w:szCs w:val="21"/>
              </w:rPr>
              <w:t>2.</w:t>
            </w:r>
            <w:r>
              <w:rPr>
                <w:rFonts w:hint="eastAsia" w:ascii="宋体" w:hAnsi="宋体" w:cs="宋体"/>
                <w:szCs w:val="21"/>
              </w:rPr>
              <w:tab/>
            </w:r>
            <w:r>
              <w:rPr>
                <w:rFonts w:hint="eastAsia" w:ascii="宋体" w:hAnsi="宋体" w:cs="宋体"/>
                <w:szCs w:val="21"/>
              </w:rPr>
              <w:t>系统共有4个包含不同回合数、不同品类商品以及不同剧情的剧本，涉及到手套、衬衫、毛衣、睡衣、T恤等不少于10个品类、不少于1700个商品。每个剧本包含不同的全仿真的全球跨境电商运营环境的市场快讯剧情。每回合的剧情会根据一年12个月的不同市场行情、季节、节日等信息发生动态变化。</w:t>
            </w:r>
          </w:p>
          <w:p>
            <w:pPr>
              <w:pStyle w:val="7"/>
              <w:rPr>
                <w:rFonts w:ascii="宋体" w:hAnsi="宋体" w:cs="宋体"/>
                <w:szCs w:val="21"/>
              </w:rPr>
            </w:pPr>
            <w:r>
              <w:rPr>
                <w:rFonts w:hint="eastAsia" w:ascii="宋体" w:hAnsi="宋体" w:cs="宋体"/>
                <w:szCs w:val="21"/>
              </w:rPr>
              <w:t>3.</w:t>
            </w:r>
            <w:r>
              <w:rPr>
                <w:rFonts w:hint="eastAsia" w:ascii="宋体" w:hAnsi="宋体" w:cs="宋体"/>
                <w:szCs w:val="21"/>
              </w:rPr>
              <w:tab/>
            </w:r>
            <w:r>
              <w:rPr>
                <w:rFonts w:hint="eastAsia" w:ascii="宋体" w:hAnsi="宋体" w:cs="宋体"/>
                <w:szCs w:val="21"/>
              </w:rPr>
              <w:t>系统需以回合制的方式计算运营周期，且由计算机模拟市场的各种行为，非角色扮演。系统提供企业经营的计算模型，每个回合结束后系统根据学生的各项决策对其经营的产品和店铺进行排名，并模拟消费者自动购买，通过定量指标为用户展示每个回合的各项运营报告，最终给出运营结果及评价。</w:t>
            </w:r>
          </w:p>
          <w:p>
            <w:pPr>
              <w:pStyle w:val="7"/>
              <w:rPr>
                <w:rFonts w:ascii="宋体" w:hAnsi="宋体" w:cs="宋体"/>
                <w:szCs w:val="21"/>
              </w:rPr>
            </w:pPr>
            <w:r>
              <w:rPr>
                <w:rFonts w:hint="eastAsia" w:ascii="宋体" w:hAnsi="宋体" w:cs="宋体"/>
                <w:szCs w:val="21"/>
              </w:rPr>
              <w:t>4.</w:t>
            </w:r>
            <w:r>
              <w:rPr>
                <w:rFonts w:hint="eastAsia" w:ascii="宋体" w:hAnsi="宋体" w:cs="宋体"/>
                <w:szCs w:val="21"/>
              </w:rPr>
              <w:tab/>
            </w:r>
            <w:r>
              <w:rPr>
                <w:rFonts w:hint="eastAsia" w:ascii="宋体" w:hAnsi="宋体" w:cs="宋体"/>
                <w:szCs w:val="21"/>
              </w:rPr>
              <w:t>系统包含管理员、教师和学生三种账户类型，各自拥有不同的权限。管理员账户可以管理沙盘活动、进行账户管理、查看用户数量、用户的活动统计与登录使用情况以及剧本的选择及导入等。教师用户可创建模拟沙盘运营课程并进行管理，可以根据学生的运营进度调整日程表，并在课程中管理学生账户、给学生进行分组、查看学生成绩和运营数据、发布通知信息、上传文档等。</w:t>
            </w:r>
          </w:p>
          <w:p>
            <w:pPr>
              <w:pStyle w:val="7"/>
              <w:rPr>
                <w:rFonts w:ascii="宋体" w:hAnsi="宋体" w:cs="宋体"/>
                <w:szCs w:val="21"/>
              </w:rPr>
            </w:pPr>
            <w:r>
              <w:rPr>
                <w:rFonts w:hint="eastAsia" w:ascii="宋体" w:hAnsi="宋体" w:cs="宋体"/>
                <w:szCs w:val="21"/>
              </w:rPr>
              <w:t>5.</w:t>
            </w:r>
            <w:r>
              <w:rPr>
                <w:rFonts w:hint="eastAsia" w:ascii="宋体" w:hAnsi="宋体" w:cs="宋体"/>
                <w:szCs w:val="21"/>
              </w:rPr>
              <w:tab/>
            </w:r>
            <w:r>
              <w:rPr>
                <w:rFonts w:hint="eastAsia" w:ascii="宋体" w:hAnsi="宋体" w:cs="宋体"/>
                <w:szCs w:val="21"/>
              </w:rPr>
              <w:t>系统包含任务、市场调研、采购管理、仓储管理、店铺运营、财务管理、运营结果、测验、团队管理、成绩、日程表等模块。</w:t>
            </w:r>
          </w:p>
          <w:p>
            <w:pPr>
              <w:pStyle w:val="7"/>
              <w:rPr>
                <w:rFonts w:ascii="宋体" w:hAnsi="宋体" w:cs="宋体"/>
                <w:szCs w:val="21"/>
              </w:rPr>
            </w:pPr>
            <w:r>
              <w:rPr>
                <w:rFonts w:hint="eastAsia" w:ascii="宋体" w:hAnsi="宋体" w:cs="宋体"/>
                <w:szCs w:val="21"/>
              </w:rPr>
              <w:t>6.</w:t>
            </w:r>
            <w:r>
              <w:rPr>
                <w:rFonts w:hint="eastAsia" w:ascii="宋体" w:hAnsi="宋体" w:cs="宋体"/>
                <w:szCs w:val="21"/>
              </w:rPr>
              <w:tab/>
            </w:r>
            <w:r>
              <w:rPr>
                <w:rFonts w:hint="eastAsia" w:ascii="宋体" w:hAnsi="宋体" w:cs="宋体"/>
                <w:szCs w:val="21"/>
              </w:rPr>
              <w:t>系统提供任务功能，学生在完成运营任务的同时还需根据要求完成任务模块中给出的各项任务。任务涉及到跨境电商运营中所需完成的所有工作，如采购商品、创建店铺、发布商品等。每个任务根据完成度的不同划分为不同的难度等级（最低1星，最高5星），并在各个不同难度的剧本中搭配不同难度等级的任务。系统会根据学生的实际运营数据给与相应的星级，以帮助其在提升运营乐趣的同时能熟练掌握跨境运营各模块的基础操作。教师可调节任务模块的分数占比。</w:t>
            </w:r>
          </w:p>
          <w:p>
            <w:pPr>
              <w:pStyle w:val="7"/>
              <w:rPr>
                <w:rFonts w:ascii="宋体" w:hAnsi="宋体" w:cs="宋体"/>
                <w:szCs w:val="21"/>
              </w:rPr>
            </w:pPr>
            <w:r>
              <w:rPr>
                <w:rFonts w:hint="eastAsia" w:ascii="宋体" w:hAnsi="宋体" w:cs="宋体"/>
                <w:szCs w:val="21"/>
              </w:rPr>
              <w:t>7.</w:t>
            </w:r>
            <w:r>
              <w:rPr>
                <w:rFonts w:hint="eastAsia" w:ascii="宋体" w:hAnsi="宋体" w:cs="宋体"/>
                <w:szCs w:val="21"/>
              </w:rPr>
              <w:tab/>
            </w:r>
            <w:r>
              <w:rPr>
                <w:rFonts w:hint="eastAsia" w:ascii="宋体" w:hAnsi="宋体" w:cs="宋体"/>
                <w:szCs w:val="21"/>
              </w:rPr>
              <w:t>市场调研模块包含环境数据、市场前期调研、电商平台和仓储物流四大模块。</w:t>
            </w:r>
          </w:p>
          <w:p>
            <w:pPr>
              <w:pStyle w:val="7"/>
              <w:rPr>
                <w:rFonts w:ascii="宋体" w:hAnsi="宋体" w:cs="宋体"/>
                <w:szCs w:val="21"/>
              </w:rPr>
            </w:pPr>
            <w:r>
              <w:rPr>
                <w:rFonts w:hint="eastAsia" w:ascii="宋体" w:hAnsi="宋体" w:cs="宋体"/>
                <w:szCs w:val="21"/>
              </w:rPr>
              <w:t>8.</w:t>
            </w:r>
            <w:r>
              <w:rPr>
                <w:rFonts w:hint="eastAsia" w:ascii="宋体" w:hAnsi="宋体" w:cs="宋体"/>
                <w:szCs w:val="21"/>
              </w:rPr>
              <w:tab/>
            </w:r>
            <w:r>
              <w:rPr>
                <w:rFonts w:hint="eastAsia" w:ascii="宋体" w:hAnsi="宋体" w:cs="宋体"/>
                <w:szCs w:val="21"/>
              </w:rPr>
              <w:t>环境数据中的市场：包含每回合的市场快讯、消费者数量分布曲线图以及当前跨境电商市场具有代表性的国家。货币：包含当前外汇牌价和走势折线图，以及汇率计算器。税收：包含关税和增值税的计算公式，不同国家、不同品类、不同货值的产品使用海外仓所需缴纳的进口关税和增值税的税率、起征点，以及企业所得税的征收周期、计算公式和税率。融资：包含中小企业信用贷款、应收账款质押贷款两种贷款模式，并提供贷款额度计算公式、还款金额计算公式、利率表供学生查询。</w:t>
            </w:r>
          </w:p>
          <w:p>
            <w:pPr>
              <w:pStyle w:val="7"/>
              <w:rPr>
                <w:rFonts w:ascii="宋体" w:hAnsi="宋体" w:cs="宋体"/>
                <w:szCs w:val="21"/>
              </w:rPr>
            </w:pPr>
            <w:r>
              <w:rPr>
                <w:rFonts w:hint="eastAsia" w:ascii="宋体" w:hAnsi="宋体" w:cs="宋体"/>
                <w:szCs w:val="21"/>
              </w:rPr>
              <w:t>9.</w:t>
            </w:r>
            <w:r>
              <w:rPr>
                <w:rFonts w:hint="eastAsia" w:ascii="宋体" w:hAnsi="宋体" w:cs="宋体"/>
                <w:szCs w:val="21"/>
              </w:rPr>
              <w:tab/>
            </w:r>
            <w:r>
              <w:rPr>
                <w:rFonts w:hint="eastAsia" w:ascii="宋体" w:hAnsi="宋体" w:cs="宋体"/>
                <w:szCs w:val="21"/>
              </w:rPr>
              <w:t>市场前期调研包括亚马逊模拟平台、速卖通模拟平台和WISH模拟平台三个平台的首页展示信息和所有已发布的产品详情，帮助学生做好竞争者定价分析。</w:t>
            </w:r>
          </w:p>
          <w:p>
            <w:pPr>
              <w:pStyle w:val="7"/>
              <w:rPr>
                <w:rFonts w:ascii="宋体" w:hAnsi="宋体" w:cs="宋体"/>
                <w:szCs w:val="21"/>
              </w:rPr>
            </w:pPr>
            <w:r>
              <w:rPr>
                <w:rFonts w:hint="eastAsia" w:ascii="宋体" w:hAnsi="宋体" w:cs="宋体"/>
                <w:szCs w:val="21"/>
              </w:rPr>
              <w:t>10.</w:t>
            </w:r>
            <w:r>
              <w:rPr>
                <w:rFonts w:hint="eastAsia" w:ascii="宋体" w:hAnsi="宋体" w:cs="宋体"/>
                <w:szCs w:val="21"/>
              </w:rPr>
              <w:tab/>
            </w:r>
            <w:r>
              <w:rPr>
                <w:rFonts w:hint="eastAsia" w:ascii="宋体" w:hAnsi="宋体" w:cs="宋体"/>
                <w:szCs w:val="21"/>
              </w:rPr>
              <w:t>电商平台包含亚马逊模拟平台、速卖通模拟平台和WISH模拟平台三个平台的特点、在各个国家的市场渗透率、产品佣金、店铺订阅费、账期等在运营过程中所必须了解的信息。</w:t>
            </w:r>
          </w:p>
          <w:p>
            <w:pPr>
              <w:pStyle w:val="7"/>
              <w:rPr>
                <w:rFonts w:ascii="宋体" w:hAnsi="宋体" w:cs="宋体"/>
                <w:szCs w:val="21"/>
              </w:rPr>
            </w:pPr>
            <w:r>
              <w:rPr>
                <w:rFonts w:hint="eastAsia" w:ascii="宋体" w:hAnsi="宋体" w:cs="宋体"/>
                <w:szCs w:val="21"/>
              </w:rPr>
              <w:t>11.</w:t>
            </w:r>
            <w:r>
              <w:rPr>
                <w:rFonts w:hint="eastAsia" w:ascii="宋体" w:hAnsi="宋体" w:cs="宋体"/>
                <w:szCs w:val="21"/>
              </w:rPr>
              <w:tab/>
            </w:r>
            <w:r>
              <w:rPr>
                <w:rFonts w:hint="eastAsia" w:ascii="宋体" w:hAnsi="宋体" w:cs="宋体"/>
                <w:szCs w:val="21"/>
              </w:rPr>
              <w:t>系统提供了多种物流方式，有DHL、E特快、E邮宝、中邮挂号小包、联邦国际快递、佳成国际空派以及大森林国际海派等等。学生应根据所售产品的特点以及物流服务的价格和时效性来选择合适的物流模式。</w:t>
            </w:r>
          </w:p>
          <w:p>
            <w:pPr>
              <w:pStyle w:val="7"/>
              <w:rPr>
                <w:rFonts w:ascii="宋体" w:hAnsi="宋体" w:cs="宋体"/>
                <w:szCs w:val="21"/>
              </w:rPr>
            </w:pPr>
            <w:r>
              <w:rPr>
                <w:rFonts w:hint="eastAsia" w:ascii="宋体" w:hAnsi="宋体" w:cs="宋体"/>
                <w:szCs w:val="21"/>
              </w:rPr>
              <w:t>12.</w:t>
            </w:r>
            <w:r>
              <w:rPr>
                <w:rFonts w:hint="eastAsia" w:ascii="宋体" w:hAnsi="宋体" w:cs="宋体"/>
                <w:szCs w:val="21"/>
              </w:rPr>
              <w:tab/>
            </w:r>
            <w:r>
              <w:rPr>
                <w:rFonts w:hint="eastAsia" w:ascii="宋体" w:hAnsi="宋体" w:cs="宋体"/>
                <w:szCs w:val="21"/>
              </w:rPr>
              <w:t>采购管理包含模拟阿里巴巴1688的批发宝网站，提供丰富的产品，不同剧本配备不同品类的产品。每款产品包括产品图片、产品价格、起订量、物流成本、包装信息、详情描述、产品品级等信息。在不同回合，根据产品在市场上的销量情况，产品的价格与库存会发生动态变化。包含每回合的采购清单，可查询过往回合的采购清单也可以修改当前回合的采购计划。</w:t>
            </w:r>
          </w:p>
          <w:p>
            <w:pPr>
              <w:pStyle w:val="7"/>
              <w:rPr>
                <w:rFonts w:ascii="宋体" w:hAnsi="宋体" w:cs="宋体"/>
                <w:szCs w:val="21"/>
              </w:rPr>
            </w:pPr>
            <w:r>
              <w:rPr>
                <w:rFonts w:hint="eastAsia" w:ascii="宋体" w:hAnsi="宋体" w:cs="宋体"/>
                <w:szCs w:val="21"/>
              </w:rPr>
              <w:t>13.</w:t>
            </w:r>
            <w:r>
              <w:rPr>
                <w:rFonts w:hint="eastAsia" w:ascii="宋体" w:hAnsi="宋体" w:cs="宋体"/>
                <w:szCs w:val="21"/>
              </w:rPr>
              <w:tab/>
            </w:r>
            <w:r>
              <w:rPr>
                <w:rFonts w:hint="eastAsia" w:ascii="宋体" w:hAnsi="宋体" w:cs="宋体"/>
                <w:szCs w:val="21"/>
              </w:rPr>
              <w:t>仓储管理包含库存清单、清仓抛售计划和调仓计划三个模块。库存清单包含每回合的仓储清单，可查询每个产品的品级、存货均价、当期可用数量和合计数量、货值等。清仓抛售计划包含清仓抛售功能，以便卖家处理库存中的滞销产品。调仓计划包含通过制定调仓计划，卖家可将任意本地库存中的商品调到美国、德国、巴西、俄罗斯等海外仓库。调仓计划可以选择不同的物流，分别对应不同的时效和费用。</w:t>
            </w:r>
          </w:p>
          <w:p>
            <w:pPr>
              <w:pStyle w:val="7"/>
              <w:rPr>
                <w:rFonts w:ascii="宋体" w:hAnsi="宋体" w:cs="宋体"/>
                <w:szCs w:val="21"/>
              </w:rPr>
            </w:pPr>
            <w:r>
              <w:rPr>
                <w:rFonts w:hint="eastAsia" w:ascii="宋体" w:hAnsi="宋体" w:cs="宋体"/>
                <w:szCs w:val="21"/>
              </w:rPr>
              <w:t>14.</w:t>
            </w:r>
            <w:r>
              <w:rPr>
                <w:rFonts w:hint="eastAsia" w:ascii="宋体" w:hAnsi="宋体" w:cs="宋体"/>
                <w:szCs w:val="21"/>
              </w:rPr>
              <w:tab/>
            </w:r>
            <w:r>
              <w:rPr>
                <w:rFonts w:hint="eastAsia" w:ascii="宋体" w:hAnsi="宋体" w:cs="宋体"/>
                <w:szCs w:val="21"/>
              </w:rPr>
              <w:t>店铺运营中系统分别模拟亚马逊、速卖通、Wish三大真实的跨境电商平台的规则和特点。学生可在各个平台的页面中查看店铺数据、发布产品、查询订单信息等，还可以利用平台营销工具、社交网络营销工具、展示设计等模拟实际跨境电商平台的营销工具为店铺和产品进行营销推广。</w:t>
            </w:r>
          </w:p>
          <w:p>
            <w:pPr>
              <w:pStyle w:val="7"/>
              <w:rPr>
                <w:rFonts w:ascii="宋体" w:hAnsi="宋体" w:cs="宋体"/>
                <w:szCs w:val="21"/>
              </w:rPr>
            </w:pPr>
            <w:r>
              <w:rPr>
                <w:rFonts w:hint="eastAsia" w:ascii="宋体" w:hAnsi="宋体" w:cs="宋体"/>
                <w:szCs w:val="21"/>
              </w:rPr>
              <w:t>15.</w:t>
            </w:r>
            <w:r>
              <w:rPr>
                <w:rFonts w:hint="eastAsia" w:ascii="宋体" w:hAnsi="宋体" w:cs="宋体"/>
                <w:szCs w:val="21"/>
              </w:rPr>
              <w:tab/>
            </w:r>
            <w:r>
              <w:rPr>
                <w:rFonts w:hint="eastAsia" w:ascii="宋体" w:hAnsi="宋体" w:cs="宋体"/>
                <w:szCs w:val="21"/>
              </w:rPr>
              <w:t>我的店铺可以打开店铺首页，查看当前回合的在售商品数量、上回合与总计的订单金额；可以查看任意回合的流量概况，包括不同地区、不同类目的的店铺浏览量、店铺访客量。具体如下：</w:t>
            </w:r>
          </w:p>
          <w:p>
            <w:pPr>
              <w:pStyle w:val="7"/>
              <w:rPr>
                <w:rFonts w:ascii="宋体" w:hAnsi="宋体" w:cs="宋体"/>
                <w:szCs w:val="21"/>
              </w:rPr>
            </w:pPr>
            <w:r>
              <w:rPr>
                <w:rFonts w:hint="eastAsia" w:ascii="宋体" w:hAnsi="宋体" w:cs="宋体"/>
                <w:szCs w:val="21"/>
              </w:rPr>
              <w:t>16.</w:t>
            </w:r>
            <w:r>
              <w:rPr>
                <w:rFonts w:hint="eastAsia" w:ascii="宋体" w:hAnsi="宋体" w:cs="宋体"/>
                <w:szCs w:val="21"/>
              </w:rPr>
              <w:tab/>
            </w:r>
            <w:r>
              <w:rPr>
                <w:rFonts w:hint="eastAsia" w:ascii="宋体" w:hAnsi="宋体" w:cs="宋体"/>
                <w:szCs w:val="21"/>
              </w:rPr>
              <w:t>商品中心中系统提供产品上架功能，学生在上架页面需完整撰写产品标题、制定产品价格及折扣、选择发货地并填写上架量、选择确认发往各个目标市场国家的物流方式。其中，物流方式的选择非常灵活，不同国家可以选择不同的物流方式。以上所有内容填写的正确性和合理性均会影响该商品的订单量。</w:t>
            </w:r>
          </w:p>
          <w:p>
            <w:pPr>
              <w:pStyle w:val="7"/>
              <w:rPr>
                <w:rFonts w:ascii="宋体" w:hAnsi="宋体" w:cs="宋体"/>
                <w:szCs w:val="21"/>
              </w:rPr>
            </w:pPr>
            <w:r>
              <w:rPr>
                <w:rFonts w:hint="eastAsia" w:ascii="宋体" w:hAnsi="宋体" w:cs="宋体"/>
                <w:szCs w:val="21"/>
              </w:rPr>
              <w:t>17.</w:t>
            </w:r>
            <w:r>
              <w:rPr>
                <w:rFonts w:hint="eastAsia" w:ascii="宋体" w:hAnsi="宋体" w:cs="宋体"/>
                <w:szCs w:val="21"/>
              </w:rPr>
              <w:tab/>
            </w:r>
            <w:r>
              <w:rPr>
                <w:rFonts w:hint="eastAsia" w:ascii="宋体" w:hAnsi="宋体" w:cs="宋体"/>
                <w:szCs w:val="21"/>
              </w:rPr>
              <w:t>平台营销工具中系统为三个平台均提供了平台营销工具，模拟了真实跨境电商平台的站内广告。平台营销工具是针对单个商品进行推广。在当前回合，卖家需设置单次点击价格（提供出价分布柱状图供卖家参考）、预算限额，并充值，则系统会根据沙盘中所有卖家对同款产品的出价高低进行排名，从而为店铺分配相应的流量，并从充值金额中扣除相应的费用。卖家可查看过往回合的所有广告的点击量和花费金额，从而为其调整营销推广策略提供依据。</w:t>
            </w:r>
          </w:p>
          <w:p>
            <w:pPr>
              <w:pStyle w:val="7"/>
              <w:rPr>
                <w:rFonts w:ascii="宋体" w:hAnsi="宋体" w:cs="宋体"/>
                <w:szCs w:val="21"/>
              </w:rPr>
            </w:pPr>
            <w:r>
              <w:rPr>
                <w:rFonts w:hint="eastAsia" w:ascii="宋体" w:hAnsi="宋体" w:cs="宋体"/>
                <w:szCs w:val="21"/>
              </w:rPr>
              <w:t>18.</w:t>
            </w:r>
            <w:r>
              <w:rPr>
                <w:rFonts w:hint="eastAsia" w:ascii="宋体" w:hAnsi="宋体" w:cs="宋体"/>
                <w:szCs w:val="21"/>
              </w:rPr>
              <w:tab/>
            </w:r>
            <w:r>
              <w:rPr>
                <w:rFonts w:hint="eastAsia" w:ascii="宋体" w:hAnsi="宋体" w:cs="宋体"/>
                <w:szCs w:val="21"/>
              </w:rPr>
              <w:t>社交网络营销工具中系统提供软文推广和网红直播两种社交网络营销工具。它们都是针对单个商品进行推广，需要选择不同的目标市场。软文推广有4种套餐，网红直播有3种套餐供卖家选择，不同的套餐费用和效果都不同。</w:t>
            </w:r>
          </w:p>
          <w:p>
            <w:pPr>
              <w:pStyle w:val="7"/>
              <w:rPr>
                <w:rFonts w:ascii="宋体" w:hAnsi="宋体" w:cs="宋体"/>
                <w:szCs w:val="21"/>
              </w:rPr>
            </w:pPr>
            <w:r>
              <w:rPr>
                <w:rFonts w:hint="eastAsia" w:ascii="宋体" w:hAnsi="宋体" w:cs="宋体"/>
                <w:szCs w:val="21"/>
              </w:rPr>
              <w:t>19.</w:t>
            </w:r>
            <w:r>
              <w:rPr>
                <w:rFonts w:hint="eastAsia" w:ascii="宋体" w:hAnsi="宋体" w:cs="宋体"/>
                <w:szCs w:val="21"/>
              </w:rPr>
              <w:tab/>
            </w:r>
            <w:r>
              <w:rPr>
                <w:rFonts w:hint="eastAsia" w:ascii="宋体" w:hAnsi="宋体" w:cs="宋体"/>
                <w:szCs w:val="21"/>
              </w:rPr>
              <w:t>展示设计中系统提供展示设计的功能，针对单个商品进行设计，对产品详情页起优化作用，有3种不同的展示效果，分别对应不同的费用。</w:t>
            </w:r>
          </w:p>
          <w:p>
            <w:pPr>
              <w:pStyle w:val="7"/>
              <w:rPr>
                <w:rFonts w:ascii="宋体" w:hAnsi="宋体" w:cs="宋体"/>
                <w:szCs w:val="21"/>
              </w:rPr>
            </w:pPr>
            <w:r>
              <w:rPr>
                <w:rFonts w:hint="eastAsia" w:ascii="宋体" w:hAnsi="宋体" w:cs="宋体"/>
                <w:szCs w:val="21"/>
              </w:rPr>
              <w:t>20.</w:t>
            </w:r>
            <w:r>
              <w:rPr>
                <w:rFonts w:hint="eastAsia" w:ascii="宋体" w:hAnsi="宋体" w:cs="宋体"/>
                <w:szCs w:val="21"/>
              </w:rPr>
              <w:tab/>
            </w:r>
            <w:r>
              <w:rPr>
                <w:rFonts w:hint="eastAsia" w:ascii="宋体" w:hAnsi="宋体" w:cs="宋体"/>
                <w:szCs w:val="21"/>
              </w:rPr>
              <w:t>订单中展示当前平台不同回合的已销售产品信息，包括每回合每个国家每个产品的订单数量、销售价格、销售总收入、买家支付的运费等。</w:t>
            </w:r>
          </w:p>
          <w:p>
            <w:pPr>
              <w:pStyle w:val="7"/>
              <w:rPr>
                <w:rFonts w:ascii="宋体" w:hAnsi="宋体" w:cs="宋体"/>
                <w:szCs w:val="21"/>
              </w:rPr>
            </w:pPr>
            <w:r>
              <w:rPr>
                <w:rFonts w:hint="eastAsia" w:ascii="宋体" w:hAnsi="宋体" w:cs="宋体"/>
                <w:szCs w:val="21"/>
              </w:rPr>
              <w:t>21.</w:t>
            </w:r>
            <w:r>
              <w:rPr>
                <w:rFonts w:hint="eastAsia" w:ascii="宋体" w:hAnsi="宋体" w:cs="宋体"/>
                <w:szCs w:val="21"/>
              </w:rPr>
              <w:tab/>
            </w:r>
            <w:r>
              <w:rPr>
                <w:rFonts w:hint="eastAsia" w:ascii="宋体" w:hAnsi="宋体" w:cs="宋体"/>
                <w:szCs w:val="21"/>
              </w:rPr>
              <w:t>财务管理包含当前回合的资金流向展示、贷款工具。资金系统提供当前回合公司的现金、收入、支出的总数据，以及现金流（包括上回合期末、当前收入、当前支出等）、当前收入（包括实收资本、贷款、应收账款回款等）、当前支出（包括店铺订阅费、采购商品的费用、采购商品的运费、关税、企业所得税、贷款利息等）这3项的具体数据。</w:t>
            </w:r>
          </w:p>
          <w:p>
            <w:pPr>
              <w:pStyle w:val="7"/>
              <w:rPr>
                <w:rFonts w:ascii="宋体" w:hAnsi="宋体" w:cs="宋体"/>
                <w:szCs w:val="21"/>
              </w:rPr>
            </w:pPr>
            <w:r>
              <w:rPr>
                <w:rFonts w:hint="eastAsia" w:ascii="宋体" w:hAnsi="宋体" w:cs="宋体"/>
                <w:szCs w:val="21"/>
              </w:rPr>
              <w:t>22.</w:t>
            </w:r>
            <w:r>
              <w:rPr>
                <w:rFonts w:hint="eastAsia" w:ascii="宋体" w:hAnsi="宋体" w:cs="宋体"/>
                <w:szCs w:val="21"/>
              </w:rPr>
              <w:tab/>
            </w:r>
            <w:r>
              <w:rPr>
                <w:rFonts w:hint="eastAsia" w:ascii="宋体" w:hAnsi="宋体" w:cs="宋体"/>
                <w:szCs w:val="21"/>
              </w:rPr>
              <w:t>贷款系统提供两种贷款方式，中小企业信用贷款和应收账款质押贷款。</w:t>
            </w:r>
          </w:p>
          <w:p>
            <w:pPr>
              <w:pStyle w:val="7"/>
              <w:rPr>
                <w:rFonts w:ascii="宋体" w:hAnsi="宋体" w:cs="宋体"/>
                <w:szCs w:val="21"/>
              </w:rPr>
            </w:pPr>
            <w:r>
              <w:rPr>
                <w:rFonts w:hint="eastAsia" w:ascii="宋体" w:hAnsi="宋体" w:cs="宋体"/>
                <w:szCs w:val="21"/>
              </w:rPr>
              <w:t>23.</w:t>
            </w:r>
            <w:r>
              <w:rPr>
                <w:rFonts w:hint="eastAsia" w:ascii="宋体" w:hAnsi="宋体" w:cs="宋体"/>
                <w:szCs w:val="21"/>
              </w:rPr>
              <w:tab/>
            </w:r>
            <w:r>
              <w:rPr>
                <w:rFonts w:hint="eastAsia" w:ascii="宋体" w:hAnsi="宋体" w:cs="宋体"/>
                <w:szCs w:val="21"/>
              </w:rPr>
              <w:t>运营结果包括财务分析、订单分析、利润分析和库存分析四大数据分析模块，共包含资产负债表、利润表、现金流量表、企业所得税纳税申报表等不少于22张数据报表。报表中的所有数据均为动态显示的，来源于学生当前和过往回合的实际运营数据，为学生提供了分析自己运营状况的依据，从而进行分析和总结，并制定后续的运营策略。</w:t>
            </w:r>
          </w:p>
          <w:p>
            <w:pPr>
              <w:pStyle w:val="7"/>
              <w:rPr>
                <w:rFonts w:ascii="宋体" w:hAnsi="宋体" w:cs="宋体"/>
                <w:szCs w:val="21"/>
              </w:rPr>
            </w:pPr>
            <w:r>
              <w:rPr>
                <w:rFonts w:hint="eastAsia" w:ascii="宋体" w:hAnsi="宋体" w:cs="宋体"/>
                <w:szCs w:val="21"/>
              </w:rPr>
              <w:t>24.</w:t>
            </w:r>
            <w:r>
              <w:rPr>
                <w:rFonts w:hint="eastAsia" w:ascii="宋体" w:hAnsi="宋体" w:cs="宋体"/>
                <w:szCs w:val="21"/>
              </w:rPr>
              <w:tab/>
            </w:r>
            <w:r>
              <w:rPr>
                <w:rFonts w:hint="eastAsia" w:ascii="宋体" w:hAnsi="宋体" w:cs="宋体"/>
                <w:szCs w:val="21"/>
              </w:rPr>
              <w:t>财务分析至少包含资产负债表、利润表、现金流量表、企业所得税纳税申报表、店铺应收账款结算计划表、贷款还款计划表、物流服务费用结算计划表等7个表单。这些表单数据均为动态显示的，来源于学生当前和过往回合的实际运营数据。具体如下：</w:t>
            </w:r>
          </w:p>
          <w:p>
            <w:pPr>
              <w:pStyle w:val="7"/>
              <w:rPr>
                <w:rFonts w:ascii="宋体" w:hAnsi="宋体" w:cs="宋体"/>
                <w:szCs w:val="21"/>
              </w:rPr>
            </w:pPr>
            <w:r>
              <w:rPr>
                <w:rFonts w:hint="eastAsia" w:ascii="宋体" w:hAnsi="宋体" w:cs="宋体"/>
                <w:szCs w:val="21"/>
              </w:rPr>
              <w:t>（1）资产负债表：包含现金、应收账款、存货等流动资产数据，以及贷款、应付账款等流动负债，实收资本、未分配利润等所有者权益数据，总共不少于12项动态数据。</w:t>
            </w:r>
          </w:p>
          <w:p>
            <w:pPr>
              <w:pStyle w:val="7"/>
              <w:rPr>
                <w:rFonts w:ascii="宋体" w:hAnsi="宋体" w:cs="宋体"/>
                <w:szCs w:val="21"/>
              </w:rPr>
            </w:pPr>
            <w:r>
              <w:rPr>
                <w:rFonts w:hint="eastAsia" w:ascii="宋体" w:hAnsi="宋体" w:cs="宋体"/>
                <w:szCs w:val="21"/>
              </w:rPr>
              <w:t>（2）利润表：包含营业收入、营业外收入、销售商品的成本、销售费用、财务费用、利润总额、企业所得税、净利润等不少于22项动态数据。</w:t>
            </w:r>
          </w:p>
          <w:p>
            <w:pPr>
              <w:pStyle w:val="7"/>
              <w:rPr>
                <w:rFonts w:ascii="宋体" w:hAnsi="宋体" w:cs="宋体"/>
                <w:szCs w:val="21"/>
              </w:rPr>
            </w:pPr>
            <w:r>
              <w:rPr>
                <w:rFonts w:hint="eastAsia" w:ascii="宋体" w:hAnsi="宋体" w:cs="宋体"/>
                <w:szCs w:val="21"/>
              </w:rPr>
              <w:t>（3）现金流量表：包括应收账款回款、清仓抛售的收入、销售商品的运费、仓储费、增值税、关税、企业所得税实收资本、贷款本金、贷款利息、现金余额等不少于23项动态数据。</w:t>
            </w:r>
          </w:p>
          <w:p>
            <w:pPr>
              <w:pStyle w:val="7"/>
              <w:rPr>
                <w:rFonts w:ascii="宋体" w:hAnsi="宋体" w:cs="宋体"/>
                <w:szCs w:val="21"/>
              </w:rPr>
            </w:pPr>
            <w:r>
              <w:rPr>
                <w:rFonts w:hint="eastAsia" w:ascii="宋体" w:hAnsi="宋体" w:cs="宋体"/>
                <w:szCs w:val="21"/>
              </w:rPr>
              <w:t>（4）企业所得税纳税申报表：包括营业收入、营业支出、营业利润、税率、实际应缴纳所得税额、实际已缴纳所得税额、应补退所得税额等不少于11项动态数据。</w:t>
            </w:r>
          </w:p>
          <w:p>
            <w:pPr>
              <w:pStyle w:val="7"/>
              <w:rPr>
                <w:rFonts w:ascii="宋体" w:hAnsi="宋体" w:cs="宋体"/>
                <w:szCs w:val="21"/>
              </w:rPr>
            </w:pPr>
            <w:r>
              <w:rPr>
                <w:rFonts w:hint="eastAsia" w:ascii="宋体" w:hAnsi="宋体" w:cs="宋体"/>
                <w:szCs w:val="21"/>
              </w:rPr>
              <w:t>（5）店铺应收账款结算计划表：分别列明了三个平台各回合的回款结算金额。</w:t>
            </w:r>
          </w:p>
          <w:p>
            <w:pPr>
              <w:pStyle w:val="7"/>
              <w:rPr>
                <w:rFonts w:ascii="宋体" w:hAnsi="宋体" w:cs="宋体"/>
                <w:szCs w:val="21"/>
              </w:rPr>
            </w:pPr>
            <w:r>
              <w:rPr>
                <w:rFonts w:hint="eastAsia" w:ascii="宋体" w:hAnsi="宋体" w:cs="宋体"/>
                <w:szCs w:val="21"/>
              </w:rPr>
              <w:t>（6）贷款还款计划表：列明了各个还款回合的当期本金、当期利息、管理费、当期应还款总额、剩余应还款总额、还款状态等动态数据。</w:t>
            </w:r>
          </w:p>
          <w:p>
            <w:pPr>
              <w:pStyle w:val="7"/>
              <w:rPr>
                <w:rFonts w:ascii="宋体" w:hAnsi="宋体" w:cs="宋体"/>
                <w:szCs w:val="21"/>
              </w:rPr>
            </w:pPr>
            <w:r>
              <w:rPr>
                <w:rFonts w:hint="eastAsia" w:ascii="宋体" w:hAnsi="宋体" w:cs="宋体"/>
                <w:szCs w:val="21"/>
              </w:rPr>
              <w:t xml:space="preserve">（7）物流服务费用结算计划表：列明了各个运费结算回合的运费合计、折扣合计和实际支付运费合计三项动态数据。 </w:t>
            </w:r>
          </w:p>
          <w:p>
            <w:pPr>
              <w:pStyle w:val="7"/>
              <w:rPr>
                <w:rFonts w:ascii="宋体" w:hAnsi="宋体" w:cs="宋体"/>
                <w:szCs w:val="21"/>
              </w:rPr>
            </w:pPr>
            <w:r>
              <w:rPr>
                <w:rFonts w:hint="eastAsia" w:ascii="宋体" w:hAnsi="宋体" w:cs="宋体"/>
                <w:szCs w:val="21"/>
              </w:rPr>
              <w:t>25.</w:t>
            </w:r>
            <w:r>
              <w:rPr>
                <w:rFonts w:hint="eastAsia" w:ascii="宋体" w:hAnsi="宋体" w:cs="宋体"/>
                <w:szCs w:val="21"/>
              </w:rPr>
              <w:tab/>
            </w:r>
            <w:r>
              <w:rPr>
                <w:rFonts w:hint="eastAsia" w:ascii="宋体" w:hAnsi="宋体" w:cs="宋体"/>
                <w:szCs w:val="21"/>
              </w:rPr>
              <w:t>订单分析至少包含订单总收入、地区订单收入、店铺订单收入、商品订单收入、商品订单量排名、商品流量和订单、商品流量来源、店铺广告业绩共8项分析报告。每项报告中的数据均为动态显示的，来源于学生当前和过往回合的实际运营数据。具体如下：</w:t>
            </w:r>
          </w:p>
          <w:p>
            <w:pPr>
              <w:pStyle w:val="7"/>
              <w:rPr>
                <w:rFonts w:ascii="宋体" w:hAnsi="宋体" w:cs="宋体"/>
                <w:szCs w:val="21"/>
              </w:rPr>
            </w:pPr>
            <w:r>
              <w:rPr>
                <w:rFonts w:hint="eastAsia" w:ascii="宋体" w:hAnsi="宋体" w:cs="宋体"/>
                <w:szCs w:val="21"/>
              </w:rPr>
              <w:t>（1）订单总收入：列明了每个回合的订单数量、销售商品的收入、买家支付的运费、订单总额这四项具体数据以及根据各回合数据产生的折线图。</w:t>
            </w:r>
          </w:p>
          <w:p>
            <w:pPr>
              <w:pStyle w:val="7"/>
              <w:rPr>
                <w:rFonts w:ascii="宋体" w:hAnsi="宋体" w:cs="宋体"/>
                <w:szCs w:val="21"/>
              </w:rPr>
            </w:pPr>
            <w:r>
              <w:rPr>
                <w:rFonts w:hint="eastAsia" w:ascii="宋体" w:hAnsi="宋体" w:cs="宋体"/>
                <w:szCs w:val="21"/>
              </w:rPr>
              <w:t>（2）地区订单收入：列明了每回合各个目标消费市场（至少包括美国、俄罗斯、巴西、德国）的订单数量、销售商品的收入、买家支付的运费以及订单总额这四项具体数据以及根据各回合数据产生的折线图。</w:t>
            </w:r>
          </w:p>
          <w:p>
            <w:pPr>
              <w:pStyle w:val="7"/>
              <w:rPr>
                <w:rFonts w:ascii="宋体" w:hAnsi="宋体" w:cs="宋体"/>
                <w:szCs w:val="21"/>
              </w:rPr>
            </w:pPr>
            <w:r>
              <w:rPr>
                <w:rFonts w:hint="eastAsia" w:ascii="宋体" w:hAnsi="宋体" w:cs="宋体"/>
                <w:szCs w:val="21"/>
              </w:rPr>
              <w:t>（3）店铺订单收入：列明了亚马逊模拟平台、速卖通模拟平台、WISH模拟平台三个平台各回合的订单数量、销售商品的收入、买家支付的运费、订单总额的实际数值，并提供每个数据的折线图。</w:t>
            </w:r>
          </w:p>
          <w:p>
            <w:pPr>
              <w:pStyle w:val="7"/>
              <w:rPr>
                <w:rFonts w:ascii="宋体" w:hAnsi="宋体" w:cs="宋体"/>
                <w:szCs w:val="21"/>
              </w:rPr>
            </w:pPr>
            <w:r>
              <w:rPr>
                <w:rFonts w:hint="eastAsia" w:ascii="宋体" w:hAnsi="宋体" w:cs="宋体"/>
                <w:szCs w:val="21"/>
              </w:rPr>
              <w:t>（4）商品订单收入：列明了亚马逊模拟平台、速卖通模拟平台、WISH模拟平台三个平台各回合的每个商品的订单数量、销售商品的收入、买家支付的运费和订单总额等数据，并提供每个数据的折线图。</w:t>
            </w:r>
          </w:p>
          <w:p>
            <w:pPr>
              <w:pStyle w:val="7"/>
              <w:rPr>
                <w:rFonts w:ascii="宋体" w:hAnsi="宋体" w:cs="宋体"/>
                <w:szCs w:val="21"/>
              </w:rPr>
            </w:pPr>
            <w:r>
              <w:rPr>
                <w:rFonts w:hint="eastAsia" w:ascii="宋体" w:hAnsi="宋体" w:cs="宋体"/>
                <w:szCs w:val="21"/>
              </w:rPr>
              <w:t>（5）商品订单量排名：列明了亚马逊模拟平台、速卖通模拟平台、WISH模拟平台三个平台各回合的每个商品的订单数量以及排名，并提供各回合订单数量和排名的趋势图。</w:t>
            </w:r>
          </w:p>
          <w:p>
            <w:pPr>
              <w:pStyle w:val="7"/>
              <w:rPr>
                <w:rFonts w:ascii="宋体" w:hAnsi="宋体" w:cs="宋体"/>
                <w:szCs w:val="21"/>
              </w:rPr>
            </w:pPr>
            <w:r>
              <w:rPr>
                <w:rFonts w:hint="eastAsia" w:ascii="宋体" w:hAnsi="宋体" w:cs="宋体"/>
                <w:szCs w:val="21"/>
              </w:rPr>
              <w:t>（6）商品流量和订单：列明了亚马逊模拟平台、速卖通模拟平台、WISH模拟平台三个平台各回合的每个商品的曝光量、浏览量、订单量、转化率和订单总额的数据，并提供每个数据的折线图。</w:t>
            </w:r>
          </w:p>
          <w:p>
            <w:pPr>
              <w:pStyle w:val="7"/>
              <w:rPr>
                <w:rFonts w:ascii="宋体" w:hAnsi="宋体" w:cs="宋体"/>
                <w:szCs w:val="21"/>
              </w:rPr>
            </w:pPr>
            <w:r>
              <w:rPr>
                <w:rFonts w:hint="eastAsia" w:ascii="宋体" w:hAnsi="宋体" w:cs="宋体"/>
                <w:szCs w:val="21"/>
              </w:rPr>
              <w:t>（7）商品流量来源：列明了亚马逊模拟平台、速卖通模拟平台、WISH模拟平台三个平台各回合的每个商品来自站内、平台营销工具、社交网络营销工具、店内及合计流量的数据，并提供浏览量趋势图（折线图）和流量来源分布图（圆环图）。</w:t>
            </w:r>
          </w:p>
          <w:p>
            <w:pPr>
              <w:pStyle w:val="7"/>
              <w:rPr>
                <w:rFonts w:ascii="宋体" w:hAnsi="宋体" w:cs="宋体"/>
                <w:szCs w:val="21"/>
              </w:rPr>
            </w:pPr>
            <w:r>
              <w:rPr>
                <w:rFonts w:hint="eastAsia" w:ascii="宋体" w:hAnsi="宋体" w:cs="宋体"/>
                <w:szCs w:val="21"/>
              </w:rPr>
              <w:t>（8）店铺广告业绩：列明了亚马逊模拟平台、速卖通模拟平台、WISH模拟平台三个平台各回合的曝光量、点击量、点击率、广告带来的订单数量、转化率、广告带来的订单总额、广告费、广告支出回报率的数据，并提供广告带来的订单数量趋势图（折线图）、广告带来的订单总额趋势图（折线图）、广告费趋势图（折线图）、广告支出回报率趋势图（折线图）。</w:t>
            </w:r>
          </w:p>
          <w:p>
            <w:pPr>
              <w:pStyle w:val="7"/>
              <w:rPr>
                <w:rFonts w:ascii="宋体" w:hAnsi="宋体" w:cs="宋体"/>
                <w:szCs w:val="21"/>
              </w:rPr>
            </w:pPr>
            <w:r>
              <w:rPr>
                <w:rFonts w:hint="eastAsia" w:ascii="宋体" w:hAnsi="宋体" w:cs="宋体"/>
                <w:szCs w:val="21"/>
              </w:rPr>
              <w:t>26.</w:t>
            </w:r>
            <w:r>
              <w:rPr>
                <w:rFonts w:hint="eastAsia" w:ascii="宋体" w:hAnsi="宋体" w:cs="宋体"/>
                <w:szCs w:val="21"/>
              </w:rPr>
              <w:tab/>
            </w:r>
            <w:r>
              <w:rPr>
                <w:rFonts w:hint="eastAsia" w:ascii="宋体" w:hAnsi="宋体" w:cs="宋体"/>
                <w:szCs w:val="21"/>
              </w:rPr>
              <w:t>利润分析系统提供营业收入、地区销售利润、店铺销售利润、商品销售利润的相关分析数据。</w:t>
            </w:r>
          </w:p>
          <w:p>
            <w:pPr>
              <w:pStyle w:val="7"/>
              <w:rPr>
                <w:rFonts w:ascii="宋体" w:hAnsi="宋体" w:cs="宋体"/>
                <w:szCs w:val="21"/>
              </w:rPr>
            </w:pPr>
            <w:r>
              <w:rPr>
                <w:rFonts w:hint="eastAsia" w:ascii="宋体" w:hAnsi="宋体" w:cs="宋体"/>
                <w:szCs w:val="21"/>
              </w:rPr>
              <w:t>（1）营业收入：列明公司各回合的销售商品的收入、买家支付的运费、清仓抛售的收入和合计收入的具体数据以及根据各回合数据产生的趋势图（折线图）。</w:t>
            </w:r>
          </w:p>
          <w:p>
            <w:pPr>
              <w:pStyle w:val="7"/>
              <w:rPr>
                <w:rFonts w:ascii="宋体" w:hAnsi="宋体" w:cs="宋体"/>
                <w:szCs w:val="21"/>
              </w:rPr>
            </w:pPr>
            <w:r>
              <w:rPr>
                <w:rFonts w:hint="eastAsia" w:ascii="宋体" w:hAnsi="宋体" w:cs="宋体"/>
                <w:szCs w:val="21"/>
              </w:rPr>
              <w:t>（2）地区销售利润：列明每个国家消费市场每回合的收入、成本、毛利、毛利率的具体数据以及根据各回合数据产生的趋势图（折线图）。</w:t>
            </w:r>
          </w:p>
          <w:p>
            <w:pPr>
              <w:pStyle w:val="7"/>
              <w:rPr>
                <w:rFonts w:ascii="宋体" w:hAnsi="宋体" w:cs="宋体"/>
                <w:szCs w:val="21"/>
              </w:rPr>
            </w:pPr>
            <w:r>
              <w:rPr>
                <w:rFonts w:hint="eastAsia" w:ascii="宋体" w:hAnsi="宋体" w:cs="宋体"/>
                <w:szCs w:val="21"/>
              </w:rPr>
              <w:t>（3）店铺销售利润：列明了亚马逊模拟平台、速卖通模拟平台、WISH模拟平台三个平台各回合的收入、成本、毛利、毛利率的具体数据以及根据各回合数据产生的趋势图（折线图）。</w:t>
            </w:r>
          </w:p>
          <w:p>
            <w:pPr>
              <w:pStyle w:val="7"/>
              <w:rPr>
                <w:rFonts w:ascii="宋体" w:hAnsi="宋体" w:cs="宋体"/>
                <w:szCs w:val="21"/>
              </w:rPr>
            </w:pPr>
            <w:r>
              <w:rPr>
                <w:rFonts w:hint="eastAsia" w:ascii="宋体" w:hAnsi="宋体" w:cs="宋体"/>
                <w:szCs w:val="21"/>
              </w:rPr>
              <w:t>（4）商品销售利润：列明了亚马逊模拟平台、速卖通模拟平台、WISH模拟平台三个平台每个商品各回合的销售数量、收入、成本、毛利、毛利率的具体数据以及根据各回合数据产生的趋势图（折线图）。</w:t>
            </w:r>
          </w:p>
          <w:p>
            <w:pPr>
              <w:pStyle w:val="7"/>
              <w:rPr>
                <w:rFonts w:ascii="宋体" w:hAnsi="宋体" w:cs="宋体"/>
                <w:szCs w:val="21"/>
              </w:rPr>
            </w:pPr>
            <w:r>
              <w:rPr>
                <w:rFonts w:hint="eastAsia" w:ascii="宋体" w:hAnsi="宋体" w:cs="宋体"/>
                <w:szCs w:val="21"/>
              </w:rPr>
              <w:t>27.</w:t>
            </w:r>
            <w:r>
              <w:rPr>
                <w:rFonts w:hint="eastAsia" w:ascii="宋体" w:hAnsi="宋体" w:cs="宋体"/>
                <w:szCs w:val="21"/>
              </w:rPr>
              <w:tab/>
            </w:r>
            <w:r>
              <w:rPr>
                <w:rFonts w:hint="eastAsia" w:ascii="宋体" w:hAnsi="宋体" w:cs="宋体"/>
                <w:szCs w:val="21"/>
              </w:rPr>
              <w:t>库存分析包括库存清单、发货信息、库存动销率的相关分析数据。</w:t>
            </w:r>
          </w:p>
          <w:p>
            <w:pPr>
              <w:pStyle w:val="7"/>
              <w:rPr>
                <w:rFonts w:ascii="宋体" w:hAnsi="宋体" w:cs="宋体"/>
                <w:szCs w:val="21"/>
              </w:rPr>
            </w:pPr>
            <w:r>
              <w:rPr>
                <w:rFonts w:hint="eastAsia" w:ascii="宋体" w:hAnsi="宋体" w:cs="宋体"/>
                <w:szCs w:val="21"/>
              </w:rPr>
              <w:t>28.</w:t>
            </w:r>
            <w:r>
              <w:rPr>
                <w:rFonts w:hint="eastAsia" w:ascii="宋体" w:hAnsi="宋体" w:cs="宋体"/>
                <w:szCs w:val="21"/>
              </w:rPr>
              <w:tab/>
            </w:r>
            <w:r>
              <w:rPr>
                <w:rFonts w:hint="eastAsia" w:ascii="宋体" w:hAnsi="宋体" w:cs="宋体"/>
                <w:szCs w:val="21"/>
              </w:rPr>
              <w:t>系统根据每个剧情的难易度配套了不同难度的测验题。学生在每回合需对本回合的测验题进行作答，在进入下一回合后可以看到系统的批改反馈以及每题的答案解析。教师可调节测验模块的分数占比。</w:t>
            </w:r>
          </w:p>
          <w:p>
            <w:pPr>
              <w:pStyle w:val="7"/>
              <w:rPr>
                <w:rFonts w:ascii="宋体" w:hAnsi="宋体" w:cs="宋体"/>
                <w:szCs w:val="21"/>
              </w:rPr>
            </w:pPr>
            <w:r>
              <w:rPr>
                <w:rFonts w:hint="eastAsia" w:ascii="宋体" w:hAnsi="宋体" w:cs="宋体"/>
                <w:szCs w:val="21"/>
              </w:rPr>
              <w:t>29.</w:t>
            </w:r>
            <w:r>
              <w:rPr>
                <w:rFonts w:hint="eastAsia" w:ascii="宋体" w:hAnsi="宋体" w:cs="宋体"/>
                <w:szCs w:val="21"/>
              </w:rPr>
              <w:tab/>
            </w:r>
            <w:r>
              <w:rPr>
                <w:rFonts w:hint="eastAsia" w:ascii="宋体" w:hAnsi="宋体" w:cs="宋体"/>
                <w:szCs w:val="21"/>
              </w:rPr>
              <w:t>系统具备团队管理功能，教师可以将学生账号导入自己的沙盘课程，并为其分配团队。学生也可以进行组建新的团队，或加入其他团队。</w:t>
            </w:r>
          </w:p>
          <w:p>
            <w:pPr>
              <w:pStyle w:val="7"/>
              <w:rPr>
                <w:rFonts w:ascii="宋体" w:hAnsi="宋体" w:cs="宋体"/>
                <w:szCs w:val="21"/>
              </w:rPr>
            </w:pPr>
            <w:r>
              <w:rPr>
                <w:rFonts w:hint="eastAsia" w:ascii="宋体" w:hAnsi="宋体" w:cs="宋体"/>
                <w:szCs w:val="21"/>
              </w:rPr>
              <w:t>30.</w:t>
            </w:r>
            <w:r>
              <w:rPr>
                <w:rFonts w:hint="eastAsia" w:ascii="宋体" w:hAnsi="宋体" w:cs="宋体"/>
                <w:szCs w:val="21"/>
              </w:rPr>
              <w:tab/>
            </w:r>
            <w:r>
              <w:rPr>
                <w:rFonts w:hint="eastAsia" w:ascii="宋体" w:hAnsi="宋体" w:cs="宋体"/>
                <w:szCs w:val="21"/>
              </w:rPr>
              <w:t>系统自动评分，成绩版块包括个人成绩及团队成绩，以及相关的排名与公司运营状况反馈。教师可设置评分标准，包括设置测验分数、任务分数、公司运营分数各自在总分中所占的百分比，设置投资回报率分数和排名的相关数值等。</w:t>
            </w:r>
          </w:p>
          <w:p>
            <w:pPr>
              <w:pStyle w:val="7"/>
              <w:rPr>
                <w:rFonts w:ascii="宋体" w:hAnsi="宋体" w:cs="宋体"/>
                <w:szCs w:val="21"/>
              </w:rPr>
            </w:pPr>
            <w:r>
              <w:rPr>
                <w:rFonts w:hint="eastAsia" w:ascii="宋体" w:hAnsi="宋体" w:cs="宋体"/>
                <w:szCs w:val="21"/>
              </w:rPr>
              <w:t>31.</w:t>
            </w:r>
            <w:r>
              <w:rPr>
                <w:rFonts w:hint="eastAsia" w:ascii="宋体" w:hAnsi="宋体" w:cs="宋体"/>
                <w:szCs w:val="21"/>
              </w:rPr>
              <w:tab/>
            </w:r>
            <w:r>
              <w:rPr>
                <w:rFonts w:hint="eastAsia" w:ascii="宋体" w:hAnsi="宋体" w:cs="宋体"/>
                <w:szCs w:val="21"/>
              </w:rPr>
              <w:t>系统的日程表中列明每个回合期初计算与期末计算的相关款项数据，以便学而生能把控资金结算时间并做出相应的运营决策。</w:t>
            </w:r>
          </w:p>
          <w:p>
            <w:pPr>
              <w:pStyle w:val="7"/>
              <w:rPr>
                <w:rFonts w:ascii="宋体" w:hAnsi="宋体" w:cs="宋体"/>
                <w:szCs w:val="21"/>
              </w:rPr>
            </w:pPr>
            <w:r>
              <w:rPr>
                <w:rFonts w:hint="eastAsia" w:ascii="宋体" w:hAnsi="宋体" w:cs="宋体"/>
                <w:szCs w:val="21"/>
              </w:rPr>
              <w:t>32.</w:t>
            </w:r>
            <w:r>
              <w:rPr>
                <w:rFonts w:hint="eastAsia" w:ascii="宋体" w:hAnsi="宋体" w:cs="宋体"/>
                <w:szCs w:val="21"/>
              </w:rPr>
              <w:tab/>
            </w:r>
            <w:r>
              <w:rPr>
                <w:rFonts w:hint="eastAsia" w:ascii="宋体" w:hAnsi="宋体" w:cs="宋体"/>
                <w:szCs w:val="21"/>
              </w:rPr>
              <w:t>系统提供中英文切换功能，可一键切换到全英文界面，既可以支持中英文双语教学，也可以为英语言用户提供顺畅的英文语言使用环境。</w:t>
            </w:r>
          </w:p>
          <w:p>
            <w:pPr>
              <w:pStyle w:val="7"/>
              <w:rPr>
                <w:rFonts w:ascii="宋体" w:hAnsi="宋体" w:cs="宋体"/>
                <w:szCs w:val="21"/>
              </w:rPr>
            </w:pPr>
            <w:r>
              <w:rPr>
                <w:rFonts w:hint="eastAsia" w:ascii="宋体" w:hAnsi="宋体" w:cs="宋体"/>
                <w:szCs w:val="21"/>
              </w:rPr>
              <w:t>33.</w:t>
            </w:r>
            <w:r>
              <w:rPr>
                <w:rFonts w:hint="eastAsia" w:ascii="宋体" w:hAnsi="宋体" w:cs="宋体"/>
                <w:szCs w:val="21"/>
              </w:rPr>
              <w:tab/>
            </w:r>
            <w:r>
              <w:rPr>
                <w:rFonts w:hint="eastAsia" w:ascii="宋体" w:hAnsi="宋体" w:cs="宋体"/>
                <w:szCs w:val="21"/>
              </w:rPr>
              <w:t>系统提供回退功能，教师可将沙盘回退到之前的任何一个过往回合，回退后将清空此回合之后所有回合的数据。</w:t>
            </w:r>
          </w:p>
          <w:p>
            <w:pPr>
              <w:pStyle w:val="7"/>
              <w:ind w:firstLine="0" w:firstLineChars="0"/>
              <w:rPr>
                <w:rFonts w:ascii="宋体" w:hAnsi="宋体" w:cs="宋体"/>
                <w:szCs w:val="21"/>
              </w:rPr>
            </w:pPr>
            <w:r>
              <w:rPr>
                <w:rFonts w:hint="eastAsia" w:ascii="宋体" w:hAnsi="宋体" w:cs="宋体"/>
                <w:szCs w:val="21"/>
              </w:rPr>
              <w:t>34.</w:t>
            </w:r>
            <w:r>
              <w:rPr>
                <w:rFonts w:hint="eastAsia" w:ascii="宋体" w:hAnsi="宋体" w:cs="宋体"/>
                <w:szCs w:val="21"/>
              </w:rPr>
              <w:tab/>
            </w:r>
            <w:r>
              <w:rPr>
                <w:rFonts w:hint="eastAsia" w:ascii="宋体" w:hAnsi="宋体" w:cs="宋体"/>
                <w:szCs w:val="21"/>
              </w:rPr>
              <w:t>教师可将沙盘课程设置为隐藏状态以限制学生访问。</w:t>
            </w:r>
          </w:p>
        </w:tc>
        <w:tc>
          <w:tcPr>
            <w:tcW w:w="806" w:type="dxa"/>
            <w:tcBorders>
              <w:top w:val="single" w:color="auto" w:sz="4" w:space="0"/>
              <w:left w:val="nil"/>
              <w:bottom w:val="single" w:color="auto" w:sz="4" w:space="0"/>
              <w:right w:val="single" w:color="auto" w:sz="4" w:space="0"/>
            </w:tcBorders>
            <w:vAlign w:val="center"/>
          </w:tcPr>
          <w:p>
            <w:pPr>
              <w:jc w:val="center"/>
              <w:rPr>
                <w:rFonts w:ascii="宋体" w:cs="Arial"/>
                <w:sz w:val="24"/>
              </w:rPr>
            </w:pPr>
            <w:r>
              <w:rPr>
                <w:rFonts w:hint="eastAsia" w:ascii="宋体" w:cs="Arial"/>
                <w:sz w:val="24"/>
              </w:rPr>
              <w:t>1</w:t>
            </w:r>
          </w:p>
        </w:tc>
        <w:tc>
          <w:tcPr>
            <w:tcW w:w="1128" w:type="dxa"/>
            <w:tcBorders>
              <w:top w:val="single" w:color="auto" w:sz="4" w:space="0"/>
              <w:left w:val="nil"/>
              <w:bottom w:val="single" w:color="auto" w:sz="4" w:space="0"/>
              <w:right w:val="single" w:color="auto" w:sz="4" w:space="0"/>
            </w:tcBorders>
            <w:vAlign w:val="center"/>
          </w:tcPr>
          <w:p>
            <w:pPr>
              <w:jc w:val="center"/>
              <w:rPr>
                <w:sz w:val="24"/>
              </w:rPr>
            </w:pPr>
            <w:r>
              <w:rPr>
                <w:rFonts w:hint="eastAsia"/>
                <w:sz w:val="24"/>
              </w:rPr>
              <w:t>368000</w:t>
            </w:r>
          </w:p>
        </w:tc>
        <w:tc>
          <w:tcPr>
            <w:tcW w:w="1451" w:type="dxa"/>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rPr>
            </w:pPr>
            <w:r>
              <w:rPr>
                <w:rFonts w:hint="eastAsia" w:ascii="宋体" w:hAnsi="宋体"/>
              </w:rPr>
              <w:t>各厂家价格对比</w:t>
            </w:r>
          </w:p>
        </w:tc>
        <w:tc>
          <w:tcPr>
            <w:tcW w:w="1225" w:type="dxa"/>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rPr>
            </w:pPr>
            <w:r>
              <w:rPr>
                <w:rFonts w:hint="eastAsia"/>
                <w:sz w:val="24"/>
              </w:rPr>
              <w:t>368000</w:t>
            </w:r>
          </w:p>
        </w:tc>
        <w:tc>
          <w:tcPr>
            <w:tcW w:w="1193" w:type="dxa"/>
            <w:tcBorders>
              <w:top w:val="single" w:color="auto" w:sz="4" w:space="0"/>
              <w:left w:val="nil"/>
              <w:bottom w:val="single" w:color="auto" w:sz="4" w:space="0"/>
              <w:right w:val="single" w:color="auto" w:sz="12" w:space="0"/>
            </w:tcBorders>
            <w:vAlign w:val="center"/>
          </w:tcPr>
          <w:p>
            <w:pPr>
              <w:jc w:val="center"/>
            </w:pPr>
          </w:p>
        </w:tc>
      </w:tr>
      <w:tr>
        <w:tblPrEx>
          <w:tblCellMar>
            <w:top w:w="0" w:type="dxa"/>
            <w:left w:w="108" w:type="dxa"/>
            <w:bottom w:w="0" w:type="dxa"/>
            <w:right w:w="108" w:type="dxa"/>
          </w:tblCellMar>
        </w:tblPrEx>
        <w:trPr>
          <w:trHeight w:val="737" w:hRule="atLeast"/>
        </w:trPr>
        <w:tc>
          <w:tcPr>
            <w:tcW w:w="658" w:type="dxa"/>
            <w:tcBorders>
              <w:top w:val="single" w:color="auto" w:sz="4" w:space="0"/>
              <w:left w:val="single" w:color="auto" w:sz="12" w:space="0"/>
              <w:bottom w:val="single" w:color="auto" w:sz="12" w:space="0"/>
              <w:right w:val="single" w:color="auto" w:sz="4" w:space="0"/>
            </w:tcBorders>
            <w:vAlign w:val="center"/>
          </w:tcPr>
          <w:p>
            <w:pPr>
              <w:widowControl/>
              <w:jc w:val="center"/>
              <w:rPr>
                <w:rFonts w:ascii="宋体" w:hAnsi="宋体" w:cs="宋体"/>
                <w:kern w:val="0"/>
                <w:szCs w:val="21"/>
              </w:rPr>
            </w:pPr>
          </w:p>
        </w:tc>
        <w:tc>
          <w:tcPr>
            <w:tcW w:w="1290" w:type="dxa"/>
            <w:tcBorders>
              <w:top w:val="single" w:color="auto" w:sz="4" w:space="0"/>
              <w:left w:val="nil"/>
              <w:bottom w:val="single" w:color="auto" w:sz="12" w:space="0"/>
              <w:right w:val="single" w:color="000000" w:sz="4" w:space="0"/>
            </w:tcBorders>
            <w:vAlign w:val="center"/>
          </w:tcPr>
          <w:p>
            <w:pPr>
              <w:autoSpaceDN w:val="0"/>
              <w:jc w:val="center"/>
              <w:textAlignment w:val="center"/>
              <w:rPr>
                <w:rFonts w:ascii="宋体" w:hAnsi="宋体"/>
                <w:szCs w:val="21"/>
              </w:rPr>
            </w:pPr>
          </w:p>
        </w:tc>
        <w:tc>
          <w:tcPr>
            <w:tcW w:w="5158" w:type="dxa"/>
            <w:tcBorders>
              <w:top w:val="single" w:color="auto" w:sz="4" w:space="0"/>
              <w:left w:val="nil"/>
              <w:bottom w:val="single" w:color="auto" w:sz="12" w:space="0"/>
              <w:right w:val="single" w:color="auto" w:sz="4" w:space="0"/>
            </w:tcBorders>
            <w:vAlign w:val="center"/>
          </w:tcPr>
          <w:p>
            <w:pPr>
              <w:tabs>
                <w:tab w:val="left" w:pos="6840"/>
              </w:tabs>
              <w:rPr>
                <w:rFonts w:ascii="宋体" w:hAnsi="宋体"/>
                <w:szCs w:val="21"/>
              </w:rPr>
            </w:pPr>
          </w:p>
        </w:tc>
        <w:tc>
          <w:tcPr>
            <w:tcW w:w="806" w:type="dxa"/>
            <w:tcBorders>
              <w:top w:val="single" w:color="auto" w:sz="4" w:space="0"/>
              <w:left w:val="nil"/>
              <w:bottom w:val="single" w:color="auto" w:sz="12" w:space="0"/>
              <w:right w:val="single" w:color="auto" w:sz="4" w:space="0"/>
            </w:tcBorders>
            <w:vAlign w:val="center"/>
          </w:tcPr>
          <w:p>
            <w:pPr>
              <w:autoSpaceDN w:val="0"/>
              <w:jc w:val="center"/>
              <w:textAlignment w:val="center"/>
              <w:rPr>
                <w:rFonts w:ascii="宋体" w:hAnsi="宋体"/>
                <w:szCs w:val="21"/>
              </w:rPr>
            </w:pPr>
          </w:p>
        </w:tc>
        <w:tc>
          <w:tcPr>
            <w:tcW w:w="1128" w:type="dxa"/>
            <w:tcBorders>
              <w:top w:val="single" w:color="auto" w:sz="4" w:space="0"/>
              <w:left w:val="nil"/>
              <w:bottom w:val="single" w:color="auto" w:sz="12" w:space="0"/>
              <w:right w:val="single" w:color="auto" w:sz="4" w:space="0"/>
            </w:tcBorders>
            <w:vAlign w:val="center"/>
          </w:tcPr>
          <w:p>
            <w:pPr>
              <w:autoSpaceDN w:val="0"/>
              <w:jc w:val="center"/>
              <w:textAlignment w:val="center"/>
              <w:rPr>
                <w:rFonts w:ascii="宋体" w:hAnsi="宋体"/>
                <w:szCs w:val="21"/>
              </w:rPr>
            </w:pPr>
          </w:p>
        </w:tc>
        <w:tc>
          <w:tcPr>
            <w:tcW w:w="1451" w:type="dxa"/>
            <w:tcBorders>
              <w:top w:val="single" w:color="auto" w:sz="4" w:space="0"/>
              <w:left w:val="nil"/>
              <w:bottom w:val="single" w:color="auto" w:sz="12" w:space="0"/>
              <w:right w:val="single" w:color="auto" w:sz="4" w:space="0"/>
            </w:tcBorders>
            <w:vAlign w:val="center"/>
          </w:tcPr>
          <w:p>
            <w:pPr>
              <w:tabs>
                <w:tab w:val="left" w:pos="6840"/>
              </w:tabs>
              <w:jc w:val="center"/>
            </w:pPr>
            <w:r>
              <w:rPr>
                <w:rFonts w:hint="eastAsia" w:ascii="宋体" w:hAnsi="宋体"/>
                <w:szCs w:val="21"/>
              </w:rPr>
              <w:t>合计</w:t>
            </w:r>
          </w:p>
        </w:tc>
        <w:tc>
          <w:tcPr>
            <w:tcW w:w="1225" w:type="dxa"/>
            <w:tcBorders>
              <w:top w:val="single" w:color="auto" w:sz="4" w:space="0"/>
              <w:left w:val="nil"/>
              <w:bottom w:val="single" w:color="auto" w:sz="12" w:space="0"/>
              <w:right w:val="single" w:color="auto" w:sz="4" w:space="0"/>
            </w:tcBorders>
            <w:vAlign w:val="center"/>
          </w:tcPr>
          <w:p>
            <w:pPr>
              <w:tabs>
                <w:tab w:val="left" w:pos="6840"/>
              </w:tabs>
              <w:jc w:val="center"/>
            </w:pPr>
            <w:r>
              <w:rPr>
                <w:rFonts w:hint="eastAsia"/>
              </w:rPr>
              <w:t>5</w:t>
            </w:r>
            <w:r>
              <w:t>56000</w:t>
            </w:r>
          </w:p>
        </w:tc>
        <w:tc>
          <w:tcPr>
            <w:tcW w:w="1193" w:type="dxa"/>
            <w:tcBorders>
              <w:top w:val="single" w:color="auto" w:sz="4" w:space="0"/>
              <w:left w:val="nil"/>
              <w:bottom w:val="single" w:color="auto" w:sz="12" w:space="0"/>
              <w:right w:val="single" w:color="auto" w:sz="12" w:space="0"/>
            </w:tcBorders>
            <w:vAlign w:val="center"/>
          </w:tcPr>
          <w:p>
            <w:pPr>
              <w:widowControl/>
              <w:jc w:val="center"/>
              <w:rPr>
                <w:rFonts w:ascii="宋体" w:hAnsi="宋体" w:cs="宋体"/>
                <w:kern w:val="0"/>
                <w:szCs w:val="21"/>
              </w:rPr>
            </w:pPr>
          </w:p>
        </w:tc>
      </w:tr>
    </w:tbl>
    <w:p/>
    <w:p>
      <w:pPr>
        <w:rPr>
          <w:rFonts w:ascii="宋体" w:hAnsi="宋体"/>
          <w:sz w:val="24"/>
        </w:rPr>
      </w:pPr>
    </w:p>
    <w:p>
      <w:pPr>
        <w:rPr>
          <w:rFonts w:ascii="宋体" w:hAnsi="宋体"/>
          <w:sz w:val="24"/>
        </w:rPr>
        <w:sectPr>
          <w:pgSz w:w="16838" w:h="11906" w:orient="landscape"/>
          <w:pgMar w:top="1800" w:right="1440" w:bottom="1800" w:left="144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C8747"/>
    <w:multiLevelType w:val="singleLevel"/>
    <w:tmpl w:val="EACC8747"/>
    <w:lvl w:ilvl="0" w:tentative="0">
      <w:start w:val="1"/>
      <w:numFmt w:val="chineseCounting"/>
      <w:pStyle w:val="3"/>
      <w:suff w:val="nothing"/>
      <w:lvlText w:val="（%1）"/>
      <w:lvlJc w:val="left"/>
      <w:pPr>
        <w:ind w:left="0" w:firstLine="0"/>
      </w:pPr>
      <w:rPr>
        <w:rFonts w:hint="eastAsia" w:ascii="仿宋" w:hAnsi="仿宋" w:eastAsia="仿宋" w:cs="仿宋"/>
        <w:b/>
        <w:bCs/>
        <w:sz w:val="30"/>
        <w:szCs w:val="30"/>
      </w:rPr>
    </w:lvl>
  </w:abstractNum>
  <w:abstractNum w:abstractNumId="1">
    <w:nsid w:val="25E4497E"/>
    <w:multiLevelType w:val="singleLevel"/>
    <w:tmpl w:val="25E4497E"/>
    <w:lvl w:ilvl="0" w:tentative="0">
      <w:start w:val="1"/>
      <w:numFmt w:val="chineseCounting"/>
      <w:pStyle w:val="2"/>
      <w:suff w:val="nothing"/>
      <w:lvlText w:val="%1、"/>
      <w:lvlJc w:val="left"/>
      <w:pPr>
        <w:ind w:left="0" w:firstLine="0"/>
      </w:pPr>
      <w:rPr>
        <w:rFonts w:hint="eastAsia" w:ascii="黑体" w:hAnsi="黑体" w:eastAsia="黑体" w:cs="黑体"/>
        <w:b/>
        <w:bCs/>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66C6A"/>
    <w:rsid w:val="07C477AE"/>
    <w:rsid w:val="0EA70944"/>
    <w:rsid w:val="148A6FF8"/>
    <w:rsid w:val="19BE3EC3"/>
    <w:rsid w:val="22166B9E"/>
    <w:rsid w:val="32205D93"/>
    <w:rsid w:val="3CBF2473"/>
    <w:rsid w:val="4CC66C6A"/>
    <w:rsid w:val="600B673F"/>
    <w:rsid w:val="63D94E7C"/>
    <w:rsid w:val="79CE5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tabs>
        <w:tab w:val="left" w:pos="0"/>
      </w:tabs>
      <w:spacing w:before="50" w:beforeLines="50" w:after="50" w:afterLines="50" w:line="312" w:lineRule="auto"/>
      <w:ind w:firstLineChars="0"/>
      <w:outlineLvl w:val="0"/>
    </w:pPr>
    <w:rPr>
      <w:rFonts w:ascii="黑体" w:hAnsi="黑体" w:eastAsia="黑体" w:cs="Times New Roman"/>
      <w:b/>
      <w:kern w:val="44"/>
      <w:sz w:val="32"/>
    </w:rPr>
  </w:style>
  <w:style w:type="paragraph" w:styleId="3">
    <w:name w:val="heading 2"/>
    <w:basedOn w:val="1"/>
    <w:next w:val="1"/>
    <w:semiHidden/>
    <w:unhideWhenUsed/>
    <w:qFormat/>
    <w:uiPriority w:val="0"/>
    <w:pPr>
      <w:keepNext/>
      <w:keepLines/>
      <w:numPr>
        <w:ilvl w:val="0"/>
        <w:numId w:val="2"/>
      </w:numPr>
      <w:tabs>
        <w:tab w:val="left" w:pos="0"/>
      </w:tabs>
      <w:spacing w:before="50" w:beforeLines="50" w:line="312" w:lineRule="auto"/>
      <w:outlineLvl w:val="1"/>
    </w:pPr>
    <w:rPr>
      <w:rFonts w:ascii="仿宋" w:hAnsi="仿宋" w:eastAsia="仿宋" w:cs="Times New Roman"/>
      <w:b/>
      <w:sz w:val="32"/>
    </w:rPr>
  </w:style>
  <w:style w:type="paragraph" w:styleId="4">
    <w:name w:val="heading 3"/>
    <w:basedOn w:val="1"/>
    <w:next w:val="1"/>
    <w:semiHidden/>
    <w:unhideWhenUsed/>
    <w:qFormat/>
    <w:uiPriority w:val="0"/>
    <w:pPr>
      <w:keepNext/>
      <w:keepLines/>
      <w:spacing w:beforeLines="0" w:beforeAutospacing="0" w:afterLines="0" w:afterAutospacing="0" w:line="312" w:lineRule="auto"/>
      <w:outlineLvl w:val="2"/>
    </w:pPr>
    <w:rPr>
      <w:rFonts w:ascii="仿宋" w:hAnsi="仿宋" w:eastAsia="仿宋" w:cs="Times New Roman"/>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List Paragraph1"/>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2021-07-09T15:43:00Z</dcterms:created>
  <dc:creator>linqq</dc:creator>
  <cp:lastModifiedBy>linqq</cp:lastModifiedBy>
  <dcterms:modified xsi:type="dcterms:W3CDTF">2021-07-09T16:03:16Z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9A09BDB0DCFC4E1CB0C55F276FC94ACE</vt:lpwstr>
  </property>
</Properties>
</file>