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工业互联网实施与运维1+X实训室设备采购项目</w:t>
      </w:r>
    </w:p>
    <w:p>
      <w:pPr>
        <w:spacing w:line="360" w:lineRule="auto"/>
        <w:rPr>
          <w:rFonts w:hint="eastAsia" w:ascii="宋体" w:hAnsi="宋体"/>
          <w:color w:val="FF0000"/>
          <w:sz w:val="28"/>
          <w:szCs w:val="28"/>
        </w:rPr>
      </w:pPr>
    </w:p>
    <w:p>
      <w:pPr>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一、项目概况</w:t>
      </w:r>
    </w:p>
    <w:p>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电子工程系现有电气自动化技术、电子信息工程技术、工业机器人技术和智能医疗装备技术四个专业。</w:t>
      </w:r>
      <w:r>
        <w:rPr>
          <w:rFonts w:hint="eastAsia" w:ascii="宋体" w:hAnsi="宋体" w:eastAsia="宋体" w:cs="Times New Roman"/>
          <w:sz w:val="24"/>
          <w:lang w:val="en-US" w:eastAsia="zh-CN"/>
        </w:rPr>
        <w:t>此项目</w:t>
      </w:r>
      <w:r>
        <w:rPr>
          <w:rFonts w:hint="eastAsia" w:ascii="宋体" w:hAnsi="宋体" w:eastAsia="宋体" w:cs="Times New Roman"/>
          <w:sz w:val="24"/>
        </w:rPr>
        <w:t>主要采购工业互联网实施与运维实训平台、工业互联网云应用开发软件系统和工业互联网实施与运维考核配套工作站等实训设备，用于电气自动化、电子信息工程技术等专业的实践教学、1+X证书考核和社会培训。</w:t>
      </w:r>
    </w:p>
    <w:p>
      <w:pPr>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二、实训设备采购的必要性和可行性</w:t>
      </w:r>
    </w:p>
    <w:p>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电子工程系现有学生数700多人，而且数量逐年增加。目前工业互联网实施与运维实训平台设备缺乏，采购该设备是必要的。</w:t>
      </w:r>
    </w:p>
    <w:p>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新增采购的实训设备所能开展的实训项目能够满足电气自动化、电子信息工程技术专业工业互联网实施与运维课程、1+X证书培训及考评员培训使用。设备具有智能化和网络化特点与其它同类实训设备相比，有一定的先进性。</w:t>
      </w:r>
    </w:p>
    <w:p>
      <w:pPr>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三、建设目标及建设内容</w:t>
      </w:r>
    </w:p>
    <w:p>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通过采购实训设备，建设工业互联网实施与运维实训室。使其具备集课程实践教学、实训、1+X证书考核、社会服务及企业岗位氛围等多功能于一体的现代化实训室。</w:t>
      </w:r>
    </w:p>
    <w:p>
      <w:pPr>
        <w:spacing w:line="400" w:lineRule="exact"/>
        <w:ind w:firstLine="4936" w:firstLineChars="2057"/>
        <w:rPr>
          <w:rFonts w:ascii="宋体" w:hAnsi="宋体"/>
          <w:sz w:val="24"/>
        </w:rPr>
      </w:pPr>
    </w:p>
    <w:p>
      <w:pPr>
        <w:spacing w:line="400" w:lineRule="exact"/>
        <w:jc w:val="center"/>
        <w:sectPr>
          <w:headerReference r:id="rId5" w:type="default"/>
          <w:footerReference r:id="rId7" w:type="default"/>
          <w:headerReference r:id="rId6" w:type="even"/>
          <w:footerReference r:id="rId8" w:type="even"/>
          <w:pgSz w:w="11906" w:h="16838"/>
          <w:pgMar w:top="1440" w:right="1587" w:bottom="1440" w:left="1588" w:header="851" w:footer="1417" w:gutter="0"/>
          <w:cols w:space="720" w:num="1"/>
          <w:docGrid w:type="lines" w:linePitch="312" w:charSpace="0"/>
        </w:sectPr>
      </w:pPr>
    </w:p>
    <w:p>
      <w:pPr>
        <w:spacing w:after="156" w:afterLines="50" w:line="240" w:lineRule="auto"/>
        <w:ind w:firstLine="0" w:firstLineChars="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工业互联网实施与运维1+X实训室设备采购项目购置清单预算</w:t>
      </w:r>
    </w:p>
    <w:tbl>
      <w:tblPr>
        <w:tblStyle w:val="8"/>
        <w:tblW w:w="11643" w:type="dxa"/>
        <w:jc w:val="center"/>
        <w:tblLayout w:type="fixed"/>
        <w:tblCellMar>
          <w:top w:w="0" w:type="dxa"/>
          <w:left w:w="108" w:type="dxa"/>
          <w:bottom w:w="0" w:type="dxa"/>
          <w:right w:w="108" w:type="dxa"/>
        </w:tblCellMar>
      </w:tblPr>
      <w:tblGrid>
        <w:gridCol w:w="658"/>
        <w:gridCol w:w="1112"/>
        <w:gridCol w:w="5492"/>
        <w:gridCol w:w="581"/>
        <w:gridCol w:w="871"/>
        <w:gridCol w:w="922"/>
        <w:gridCol w:w="992"/>
        <w:gridCol w:w="1015"/>
      </w:tblGrid>
      <w:tr>
        <w:tblPrEx>
          <w:tblCellMar>
            <w:top w:w="0" w:type="dxa"/>
            <w:left w:w="108" w:type="dxa"/>
            <w:bottom w:w="0" w:type="dxa"/>
            <w:right w:w="108" w:type="dxa"/>
          </w:tblCellMar>
        </w:tblPrEx>
        <w:trPr>
          <w:trHeight w:val="737" w:hRule="atLeast"/>
          <w:jc w:val="center"/>
        </w:trPr>
        <w:tc>
          <w:tcPr>
            <w:tcW w:w="658" w:type="dxa"/>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序号</w:t>
            </w:r>
          </w:p>
        </w:tc>
        <w:tc>
          <w:tcPr>
            <w:tcW w:w="1112" w:type="dxa"/>
            <w:tcBorders>
              <w:top w:val="single" w:color="auto" w:sz="12" w:space="0"/>
              <w:left w:val="nil"/>
              <w:bottom w:val="single" w:color="auto" w:sz="4" w:space="0"/>
              <w:right w:val="single" w:color="000000"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设备名称</w:t>
            </w:r>
          </w:p>
        </w:tc>
        <w:tc>
          <w:tcPr>
            <w:tcW w:w="5492"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规格、型号（主要技术参数）</w:t>
            </w:r>
          </w:p>
        </w:tc>
        <w:tc>
          <w:tcPr>
            <w:tcW w:w="581"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数量</w:t>
            </w:r>
          </w:p>
        </w:tc>
        <w:tc>
          <w:tcPr>
            <w:tcW w:w="871"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单价</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（元）</w:t>
            </w:r>
          </w:p>
        </w:tc>
        <w:tc>
          <w:tcPr>
            <w:tcW w:w="922"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单价来源</w:t>
            </w:r>
          </w:p>
        </w:tc>
        <w:tc>
          <w:tcPr>
            <w:tcW w:w="992"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金额</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（元）</w:t>
            </w:r>
          </w:p>
        </w:tc>
        <w:tc>
          <w:tcPr>
            <w:tcW w:w="1015" w:type="dxa"/>
            <w:tcBorders>
              <w:top w:val="single" w:color="auto" w:sz="12" w:space="0"/>
              <w:left w:val="nil"/>
              <w:bottom w:val="single" w:color="auto" w:sz="4" w:space="0"/>
              <w:right w:val="single" w:color="auto" w:sz="12"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存放位置</w:t>
            </w: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1112"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工业互联网实施与运维实训平台</w:t>
            </w:r>
          </w:p>
        </w:tc>
        <w:tc>
          <w:tcPr>
            <w:tcW w:w="549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p>
          <w:tbl>
            <w:tblPr>
              <w:tblStyle w:val="8"/>
              <w:tblW w:w="4912" w:type="pct"/>
              <w:tblInd w:w="-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301"/>
              <w:gridCol w:w="490"/>
              <w:gridCol w:w="43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50" w:hRule="atLeast"/>
              </w:trPr>
              <w:tc>
                <w:tcPr>
                  <w:tcW w:w="290"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474"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原料库单元</w:t>
                  </w:r>
                </w:p>
              </w:tc>
              <w:tc>
                <w:tcPr>
                  <w:tcW w:w="4236"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至少满足以下需求：</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1.车身原料储存料架：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平台式存储料库，不少于4个常规料位，每个常规料位至少可放置1个物料，并设置检测有无物料的检测传感器；具有软件管理有无物料的功能；可自行判断料库是否已空，采用光纤传感器，检测距离不小于50mm。</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★2.汽车底盘零件井式供料装置：</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底盘零件采用井式上料机构，可以至少满足同时5个汽车底盘零件存储；</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料井底部采用光电传感器检测有无零件，并可以做缺料与报警功能</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3.汽车底盘推出定位工装：</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料井推出机构采用直线导轨配合推板。底盘推出后定位，重复定位精度不低于±0.05mm；</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4.汽车底盘推料气缸：</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推料气缸采用单杆气缸，缸径不小于10mm；</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使用压力范围不小于0.25～0.7MPa；</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工作温度：0～60℃；</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5.推料气缸电磁阀：</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电磁阀采用单电控，线圈DC24V；</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6.汽车车身及底盘原料：</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原料采用非金属材质，至少提供两种不同颜色的车身;配置单独的汽车车身原料盒，并设置有标识提示；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7.车身与底盘拆解工位：</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拆解工位采用POM材质；采用两个真空吸盘吸附固定，吸盘直径不小于8mm，真空压力不低于0.04～0.085MPa；安装方式为外螺纹型。采用真空压力开关进行真空检测。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50" w:hRule="atLeast"/>
              </w:trPr>
              <w:tc>
                <w:tcPr>
                  <w:tcW w:w="290"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w:t>
                  </w:r>
                </w:p>
              </w:tc>
              <w:tc>
                <w:tcPr>
                  <w:tcW w:w="474"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运动控制单元</w:t>
                  </w:r>
                </w:p>
              </w:tc>
              <w:tc>
                <w:tcPr>
                  <w:tcW w:w="4236"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至少满足以下条件：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1.桁架支撑框架：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采用铝型材结构；</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2.X、Y、Z三轴运动单元：</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包含至少三个动作单元，分别采用单杆气缸配合双排滑块导向结构、无杆气缸、三杆平行气缸驱动，均采用电磁阀双电控控制，线圈DC24V，每个运动方向均配备磁性开关检测到位与否；</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4.横向无杆气缸：</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无杆气缸缸径不小于16mm;</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使用压力范围不小于0.25～0.7MPa；</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工作温度（℃）-20-70；</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使用速度范围（mm/s）:50-400;</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配备磁性开关检测;两端使用油压缓冲器缓冲。</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5.夹爪工具单元：</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夹爪采用平行开闭气动手指气缸，电磁阀采用双电控，线圈DC24V；开闭采用磁性开关检测。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50" w:hRule="atLeast"/>
              </w:trPr>
              <w:tc>
                <w:tcPr>
                  <w:tcW w:w="290"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w:t>
                  </w:r>
                </w:p>
              </w:tc>
              <w:tc>
                <w:tcPr>
                  <w:tcW w:w="474"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零件输送单元</w:t>
                  </w:r>
                </w:p>
              </w:tc>
              <w:tc>
                <w:tcPr>
                  <w:tcW w:w="4236"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至少满足以下条件：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1.输送单元支撑框架：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支架采用铝合金型材框架；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2.无杆气缸：</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采用无杆气缸作为输送单元执行部件，双电控电磁阀控制；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无杆气缸杠径不小于16mm；</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使用压力范围不小于0.25～0.7MPa；</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工作温度：-20-70℃；</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3.输送定位工装：</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输送定位工装保证零件在转运过程重复定位。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50" w:hRule="atLeast"/>
              </w:trPr>
              <w:tc>
                <w:tcPr>
                  <w:tcW w:w="290"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w:t>
                  </w:r>
                </w:p>
              </w:tc>
              <w:tc>
                <w:tcPr>
                  <w:tcW w:w="474"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SCARA机器人单元</w:t>
                  </w:r>
                </w:p>
              </w:tc>
              <w:tc>
                <w:tcPr>
                  <w:tcW w:w="4236"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至少满足以下条件：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1.SCARA四轴机器人本体：</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水平多关节，轴数量为4，臂长不小于400mm，额定/最大负载不小于2kg/5kg；</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J1轴手臂长度不小于200mm，旋转范围不低于±132°，电机功率不小于400W；</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J2轴手臂长度不小于200mm，旋转范围不低于±148°,电机功率不小于200W；</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J3轴行程不小于150mm,电机功率不小于100W；</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J4轴旋转范围不低于±360°,电机功率不小于100W；</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最大运行速度及重复定位精度：</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J1、J2轴合成6283.2mm/s，±0.01mm</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J3轴1333.3mm/s，±0.01mm</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J4轴1666.7°/s，±0.005°</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本体重量不小于13.3kg；</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2.机器人控制柜：</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与机器人配套使用</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3.SCARA机器人底座：</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框架采用碳钢方管焊接，表面喷塑处理。 </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4.SCARA机器人末端工具：</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末端工具采用平行开闭气动手指气缸，电磁阀采用双电控，线圈DC24V；开闭采用磁性开关检测。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50" w:hRule="atLeast"/>
              </w:trPr>
              <w:tc>
                <w:tcPr>
                  <w:tcW w:w="290"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w:t>
                  </w:r>
                </w:p>
              </w:tc>
              <w:tc>
                <w:tcPr>
                  <w:tcW w:w="474"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检测及组装单元</w:t>
                  </w:r>
                </w:p>
              </w:tc>
              <w:tc>
                <w:tcPr>
                  <w:tcW w:w="4236"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至少满足以下条件：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1.高度检测传感器：</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采用精密电阻尺，配合变送器标准模拟量信号输出；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外壳：采用硬质阳极氧化铝；</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重复性精度不小于0.01mm；</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最大工作速度不低于5m/s；</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滑刷正常工作电流≤10uA;</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使用温度范围（℃）：-60-150；</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2.颜色检测传感器：</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检测方式：同轴反射式；</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检测距离不小于10mm；</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光点不大于φ0.5-φ1.5；</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响应时间不低于0.1-1ms；</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3.组装平台：</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至少提供2个组装工装，底部分别设置一个检测传感器进行有无料检测，检测传感器采用漫反射光电传感器，PNP输出，检测距离不小于100mm。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50" w:hRule="atLeast"/>
              </w:trPr>
              <w:tc>
                <w:tcPr>
                  <w:tcW w:w="290"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w:t>
                  </w:r>
                </w:p>
              </w:tc>
              <w:tc>
                <w:tcPr>
                  <w:tcW w:w="474"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CNC模拟数控加工中心单元</w:t>
                  </w:r>
                </w:p>
              </w:tc>
              <w:tc>
                <w:tcPr>
                  <w:tcW w:w="4236"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至少满足以下条件：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1.模拟加工中心箱体：</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喷塑冷轧钢板，尺寸不小于（长×宽×高）520×260×300mm</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2.模拟加工中心双开门：</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配套双开门，喷塑冷轧钢板；</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采用迷你气缸推动，缸径不小于16mm。配备磁性开关检测门的开关到位与否。</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设有直线导轨加尼龙导向槽机构，保证开合运动平稳；</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3.模拟加工中心指示灯：</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包含三色加工中心状态指示灯；</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分别对模拟加工中心的运行状态进行指示；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4.数控系统：</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 xml:space="preserve">系统集成工业以太网接口； </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二维刀具轨迹显示；32输入，24输出；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嵌入式高速软PLC，梯图在线/离线编程，PLC实时监控；采取直线型和S曲线型加减速控制，满足高速、高精度加工；提供多种车削、铣削循环功能；具有双向螺距误差补偿，反向间隙补偿，自动零漂补偿，刀长偏置及刀尖半径补偿；</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5.数控系统操作面板：</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面板采用悬挂式安装，配备不小于8寸的彩色显示屏标准机床操作面板；</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6.加工中心定位装夹：</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采用POM材质；具备光电传感器实现检测有无物料检测，扩散反射型，PNP输出，检测距离不小于100mm；</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 可仿真的数控系统：</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可针对广州数控(GSK928TC、GSK980T、GSK980TA、GSK980TD、GSK990M、GSK21M、GSK983M), 北京凯恩帝 (KND100T 、KND100M 、KND1TB 、KND1TBII-E) 、武 汉华 中(HNC21T,HNC22T、HNC21M,HNC22M),浙江凯达(KENT18T),南京华兴(WS21T,WS21M)、天津三英（WA21SN、WA21MKN）三菱 M64，大连大森(DASEN3IL,DASEN3IM)、法那克(FANUCPowerMate、 Fanuc0iMate，Fanuc0iM)、西门子(Siemens802C, Siemens802D 车铣、Siemens801)等厂家的数车、数铣、加工中心数控系统的数控代码进行仿真操作训练考核，可自由选择各工种对应的数控系统。</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8、可仿真的控制面板</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可仿真沈阳第一机床厂、北京机电研究院、南通机床厂、浙江凯达机床厂、大连机床厂、广州机床厂、安阳鑫盛等厂家自定义的控制面板（包括手动方式、MDI、自动方式、编辑、单段、回零等功能），可仿真按钮，旋钮、带刻度及数字手轮等操作，操作有错误时有相应提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9、有配套的教学课件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数控车有配套的教学课件,可动态展现 G 代码的运行轨迹以及其他辅助代码的功能。</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▲10、可仿真实际的装刀</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可进行装刀对刀全过程仿真操作, 鼠标拖动装刀，安装数控车刀具时可以无级调整车刀在刀架上的高度和左右位置，数控铣、加工中心仿真时，可使用寻边器对刀，并可自动显示寻边器离工件的距离。</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11、刀具参数自定义</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可完全自由定义外圆刀,圆弧刀,切断,螺纹刀等刀具角度和刀具宽度,以便加工各类复杂的零件，并提供多种类型的加工刀具（如：白钢刀、机夹刀等）。</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12、对零件加工成型仿真</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可自由定义工件大小，提供多种毛坯材料（如：铝、钢、铜等）;工件可左右移动及掉头加工，并且可剖开显示工件，以便观察内孔加工;完全仿真实际数控设备的 MDI 功能、自动功能、单段等功能的操作,直到进行三维工件的实时切削，体现 M、S、T、G 代码真实效果;提供刀具补偿、坐标系等参数的设置，并且可对加工成型的零件可以进行状态保存，以便下次调用或观察加工。</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13、虚拟机床的仿真</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根据实际机床的尺寸进行虚拟机床的设计，完全仿真实际机床各零部件的运动及操作工艺（如毛坯的安装：首先定义毛坯尺寸，然后松开卡盘，并且卡盘松开的空间能够放下工件，再拖动毛坯放入卡盘，最后收紧卡盘，在上述过程中如有任何的操作不合理，系统都会进行实时的报警）。</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14、强大的报警功能</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仿真实际数控系统的报警信息，如：系统超程、撞刀等，并包含非法操作机床，导致事故的报警信息，更好的提高学生安全操作意识。</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15、灵活的数控程序处理</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能导入并可兼容 Mastercam、Pro/E、UG、CAXA-ME、Cimatron 等 CAD/CAM 软件生成的数控程序；也可以直接用记事本手工编辑的数控程序再粘贴到本软件中，也可用软件面板手工编辑程序，软件有预检查程序语法功能；经过仿真后的软件程序能提取出来，可传送到数控机床上使用。</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16、可对操作过程自动评分</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本系统具有即时提示和记录考试操作全过程错误，学员交卷后，系统可以对本次的加工操作过程进行自动评分，并能将本次考试结果保存,便于以后查阅,同一工种不同等级的考试可以在同一个服务程序下监控考试和评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285" w:hRule="atLeast"/>
              </w:trPr>
              <w:tc>
                <w:tcPr>
                  <w:tcW w:w="290"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w:t>
                  </w:r>
                </w:p>
              </w:tc>
              <w:tc>
                <w:tcPr>
                  <w:tcW w:w="474"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成品库单元</w:t>
                  </w:r>
                </w:p>
              </w:tc>
              <w:tc>
                <w:tcPr>
                  <w:tcW w:w="4236"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至少满足以下条件：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1.成品库单元框架结构：</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采用铝型材支撑架结构，平台采用铝合金板，表面阳极氧化处理；</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★2.平台式成品库</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平台式布局，围绕机器人呈圆环延展布局提供，不小于10个库位，其中至少包含8个合格品仓位以及2个不合格品仓位；</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3.检测传感器模块：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每个仓位配备检测传感器，具有软件管理有无物料的功能；可自行判断料库是否已空或者库位已满；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50" w:hRule="atLeast"/>
              </w:trPr>
              <w:tc>
                <w:tcPr>
                  <w:tcW w:w="290"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8</w:t>
                  </w:r>
                </w:p>
              </w:tc>
              <w:tc>
                <w:tcPr>
                  <w:tcW w:w="474"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系统气源及电气总控单元</w:t>
                  </w:r>
                </w:p>
              </w:tc>
              <w:tc>
                <w:tcPr>
                  <w:tcW w:w="4236"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至少满足以下条件：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1.气泵：</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气泵：额定功率不小于600W；流量不小于45L/min；</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储气量不小于26L；重量不大于21.5kg；</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2.气源处理系统：</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气源处理装置调压范围不小于0.15～0.9MPa，过滤精度不低于5μm；电磁阀工作介质空气，经不小于40μm以上滤网过滤，动作方式内部引导式，使用压力范围0.15～0.8MPa；配有可控制气路通断的气阀；</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3.PLC及模块：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PLC模块，所用PLC的CPU宽度不大于110mm，工作存储器内存不小于100kB，装载存储器内存不小于4MB，保持性存储器内存不小于10kB，板载数字量I/O至少为14点输入和10点输出；至少具有6个高速计数器，其中至少3个输入为100kHz，至少3个输入为30 kHz，可用于计数和测量；集成PROFINET接口，用于编程、HMI通信和PLC间的通信；提供不小于10/100Mbit/s的数据传输速率，支持TCP/IP native、ISO-on-TCP通信；</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提供各个电源使用设备提供断路器进行安全保护、并进行接地保护；</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4.触摸屏：</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采用的触摸屏不小于7寸，一路以太网10M/100M自适应；附带串口485通信端口，支持OPC协议。</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进行总控系统监视、控制整个工作站，一般报警处理；实现整体作业的协调及监控功能，合理调配资源；能够在人机界面上监控到各个设备的状态（工作、待机、故障），显示各个机台加工零件数量；</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4.操作面板：</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操作面板包含工作站启动、停止、复位、急停功能按钮，元器件采用国际知名品牌，启动、停止附带工作状态指示灯。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210" w:hRule="atLeast"/>
              </w:trPr>
              <w:tc>
                <w:tcPr>
                  <w:tcW w:w="290"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9</w:t>
                  </w:r>
                </w:p>
              </w:tc>
              <w:tc>
                <w:tcPr>
                  <w:tcW w:w="474"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实训平台结构支撑单元</w:t>
                  </w:r>
                </w:p>
              </w:tc>
              <w:tc>
                <w:tcPr>
                  <w:tcW w:w="4236"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至少满足以下条件：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1.铝型材支撑架：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铝型材采用40×40截面，表面阳极氧化处理；</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2.钣金围板、门板：</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整体实训台采用三面60°布局形式，台面圆心辐射式布局，方便各个视角观察和使用设备；</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边框转角采用圆弧过渡，美观大方；</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台架采用左右两部分拼接结构，台架底部正面采用透明亚克力门板，便于观察核心电控系统；</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台架上部采用三面60°亚克力对开门结构，安全防护内部设备，便于观察和操作；</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3.可固定式移动脚轮：</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配备高度可调的活动脚轮，工作台可自由移动；</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4.组合式电脑桌椅组：</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每组包含3台电脑桌和3把椅子，电脑桌采用均布60°结构，采用钢木结构。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50" w:hRule="atLeast"/>
              </w:trPr>
              <w:tc>
                <w:tcPr>
                  <w:tcW w:w="290"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10</w:t>
                  </w:r>
                </w:p>
              </w:tc>
              <w:tc>
                <w:tcPr>
                  <w:tcW w:w="474"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数据采集及网络控制单元</w:t>
                  </w:r>
                </w:p>
                <w:p>
                  <w:pPr>
                    <w:widowControl/>
                    <w:spacing w:line="240" w:lineRule="auto"/>
                    <w:ind w:firstLine="0" w:firstLineChars="0"/>
                    <w:jc w:val="center"/>
                    <w:rPr>
                      <w:rFonts w:hint="eastAsia" w:ascii="宋体" w:hAnsi="宋体" w:eastAsia="宋体" w:cs="宋体"/>
                      <w:bCs/>
                      <w:color w:val="000000"/>
                      <w:kern w:val="0"/>
                      <w:sz w:val="21"/>
                      <w:szCs w:val="21"/>
                    </w:rPr>
                  </w:pPr>
                </w:p>
              </w:tc>
              <w:tc>
                <w:tcPr>
                  <w:tcW w:w="4236"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至少满足以下条件：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1.8口以太网交换机（每套2台）：</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产品类型快速以太网交换机,传输速率不小于10/100Mbps，背板带宽不小于3.2Gbps；</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至少提供8个10/100 Base-T以太网端口；</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电源功率不大于7.6w；</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2.数据采集盒：</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包含3个数据采集盒，分别是：</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（1）遵循OPC UA协议的网关；</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（2）遵循S7协议的网关；</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（3）遵循Modbus TCP/IP协议的网关；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50" w:hRule="atLeast"/>
              </w:trPr>
              <w:tc>
                <w:tcPr>
                  <w:tcW w:w="290"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11</w:t>
                  </w:r>
                </w:p>
              </w:tc>
              <w:tc>
                <w:tcPr>
                  <w:tcW w:w="474"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工业云平台开发及展示终端</w:t>
                  </w:r>
                </w:p>
              </w:tc>
              <w:tc>
                <w:tcPr>
                  <w:tcW w:w="4236"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至少满足以下条件：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（一）云平台开发终端（每套10台）：</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≥i5处理器，≥8GB内存，≥512GB硬盘；</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（二）云平台人机交互终端（每套10台）：</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人机交互终端采用不小于23寸的显示屏；屏幕刷新速率不低于60HZ;接口：HDMI,音频/耳机输出；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（三）云平台对外展示终端（每套2台）：</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屏幕尺寸不小于23英寸，VGA接口，可支持壁挂。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50" w:hRule="atLeast"/>
              </w:trPr>
              <w:tc>
                <w:tcPr>
                  <w:tcW w:w="290"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12</w:t>
                  </w:r>
                </w:p>
              </w:tc>
              <w:tc>
                <w:tcPr>
                  <w:tcW w:w="474"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工业互联网考核桌</w:t>
                  </w:r>
                </w:p>
              </w:tc>
              <w:tc>
                <w:tcPr>
                  <w:tcW w:w="4236" w:type="pct"/>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配套4张双人桌</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规格：≥1600*600mm板材:面板采用≥25MM厚、侧板采用≥18MM厚、其余均采用≥16MM厚优优质环保刨花板三聚氰胺贴面,握螺钉力板下面配置主机柜和走线槽。（供货前需与用户确认）</w:t>
                  </w:r>
                </w:p>
              </w:tc>
            </w:tr>
          </w:tbl>
          <w:p>
            <w:pPr>
              <w:widowControl/>
              <w:spacing w:line="240" w:lineRule="auto"/>
              <w:ind w:firstLine="0" w:firstLineChars="0"/>
              <w:jc w:val="center"/>
              <w:rPr>
                <w:rFonts w:hint="eastAsia" w:ascii="宋体" w:hAnsi="宋体" w:eastAsia="宋体" w:cs="宋体"/>
                <w:bCs/>
                <w:color w:val="000000"/>
                <w:kern w:val="0"/>
                <w:sz w:val="21"/>
                <w:szCs w:val="21"/>
              </w:rPr>
            </w:pPr>
          </w:p>
          <w:p>
            <w:pPr>
              <w:widowControl/>
              <w:spacing w:line="240" w:lineRule="auto"/>
              <w:ind w:firstLine="0" w:firstLineChars="0"/>
              <w:jc w:val="center"/>
              <w:rPr>
                <w:rFonts w:hint="eastAsia" w:ascii="宋体" w:hAnsi="宋体" w:eastAsia="宋体" w:cs="宋体"/>
                <w:bCs/>
                <w:color w:val="000000"/>
                <w:kern w:val="0"/>
                <w:sz w:val="21"/>
                <w:szCs w:val="21"/>
              </w:rPr>
            </w:pPr>
          </w:p>
        </w:tc>
        <w:tc>
          <w:tcPr>
            <w:tcW w:w="58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w:t>
            </w:r>
          </w:p>
        </w:tc>
        <w:tc>
          <w:tcPr>
            <w:tcW w:w="87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40万</w:t>
            </w:r>
          </w:p>
        </w:tc>
        <w:tc>
          <w:tcPr>
            <w:tcW w:w="92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经销商询价、网络查询</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160万</w:t>
            </w:r>
          </w:p>
        </w:tc>
        <w:tc>
          <w:tcPr>
            <w:tcW w:w="1015"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机电楼北208</w:t>
            </w: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w:t>
            </w:r>
          </w:p>
        </w:tc>
        <w:tc>
          <w:tcPr>
            <w:tcW w:w="1112"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工业互联网系统平台</w:t>
            </w:r>
          </w:p>
        </w:tc>
        <w:tc>
          <w:tcPr>
            <w:tcW w:w="549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一、工业互联网云应用开发软件系统</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1.首页看板模块：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可直观了解设备运行情况，对所有设备的运行状态进行分类展示，包括：设备运行状态、设备地图分布、设备报警信息。</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2.内部管理模块：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包含：角色管理、部门管理、人员管理、日志管理、租户管理，具有角色管理、部门管理、人员管理、日志管理、租户管理功能。</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3.基础数据模块：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包含：设备型号和工程项目，用于维护需要采集的设备型号信息和工程项目信息。</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4.网关管理模块：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网关管理、网关控制和网关状态，用于网关管理和网关控制功能，其中，可针对网关相关信息的维护，可以查询、新增、删除、编辑、启用、禁用网关和导入、导出网关列表；网关控制模块是针对网关的控制管理，可用于网关指令下发的管理，支持查询、新增、网关控制和网关指令重发、实时数据及导出、网关离线提示功能。</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5.设备管理模块：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包含：设备管理、设备状态、设备地图和采点配置，提供设备管理功能，所有设备的统一管理模块，对设备的实时信息、报警信息等进行维护管理；</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6.触发器管理模块：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包含：触发器管理、联系人分组和报警联系人，主要功能为设备报警，在触发器管理模块设置报警规则，绑定报警通知。报警信息在报警记录里进行记录。</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7.报警记录模块：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包含：全部报警、未处理报警和已处理报警，具备实时监控设备采点数据，当有异常情况发生时可实时看到各个采点的报警数据，支持报警处理和报警日志查看。</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8.趋势曲线模块：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包含：实时曲线和历史曲线，展示设备采点的数据曲线图，方便进行趋势分析。曲线分为实时曲线、历史曲线。</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9.报表管理模块：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包含：模版管理和在线生成，可灵活定制设备采点报表，根据自身业务需求，设置模板规则，自定义报表模板。</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10.中台管理模块：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包含：系统设置，具有系统设置。</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11.数据统计模块：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设备状态、设备日志、利用率统计和报警分析，提供多维度设备分析报表，全方位分析设备工作负载以及健康程度，为企业资产保值提供一手分析数据：用于统计分析设备当前运行状态（关机/待机/运行/调试/报警）；支持条件查询和自定义状态自动刷新时间；支持导出设备状态表；统计分析设备各运行状态（关机、待机、运行、调试、报警)的运行时间；以图表和列表两种方式直观展示；支持按条件查询及导出；统计分析设备的使用情况，展示设备在单位时间内的利用比例。支持自定义查询设备利用率；以图表和列表两种方式展示；统计设备报警信息，分析关键指标报警频率；支持自定义查询，查询结果支持导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12.云组态模块：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包含：组态画面和组态市场，无需安装单独的绘图软件，即使用系统提供的海量组件库快速在线绘制各种控监画面；通过组态编辑器简单的拖拽就可以实现工业APP的快速组态开发；</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13.算法建模模块：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包含算子管理和模型及实例化：算子管理提供算子模板的在线维护功能，系统除提供内置内部函数和 JavaScript 自带的Math Js等内置Js函数的算子外，还支持通过在线编辑器实现自定义编辑、保存新算子的功能。在算子库列表中，可查看到自定义的算子模板及内置算子模板，支持对算子库中的算子模板进行增加、删除、修改、查看的操作；模型管理分为模型管理和模型实例化两个部分，提供在线模型模板的维护功能，支持通过在线编辑器实现自定义编辑、保存模型，在模型库中可查看到自定义的模型及内置模型，支持对模型库中的模型模板进行增加、删除、修改、查看的操作</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14.配置管理模块：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包含：配置导出、配置导入和配置清空，针对设备管理、网关管理、基础数据的配置信息的管理模块。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15.维修保养模块：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包含：保养模块、保养计划、保养记录、维修申请、维修记录和维修工管理，针对设备保养模板相关信息的维护，包含新增、编辑、删除、查看、查询、启用、禁用保养模板功能</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16.工业互联网云应用开发软件系统授权</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二、工业互联网私有云部署（整个实训室配1套）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1.工业云服务器组件</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MOC-iothub、MOC-MQ、MOC-Cache、MOC-Nginx、MOC-web，具有设备接入服务、实时计算、离线计算、消息中间件、业务数据缓存、反向代理服务、前端页面服务等服务。</w:t>
            </w:r>
            <w:r>
              <w:rPr>
                <w:rFonts w:hint="eastAsia" w:ascii="宋体" w:hAnsi="宋体" w:eastAsia="宋体" w:cs="宋体"/>
                <w:bCs/>
                <w:color w:val="000000"/>
                <w:kern w:val="0"/>
                <w:sz w:val="21"/>
                <w:szCs w:val="21"/>
              </w:rPr>
              <w:br w:type="textWrapping"/>
            </w:r>
            <w:r>
              <w:rPr>
                <w:rFonts w:hint="eastAsia" w:ascii="宋体" w:hAnsi="宋体" w:eastAsia="宋体" w:cs="宋体"/>
                <w:bCs/>
                <w:color w:val="000000"/>
                <w:kern w:val="0"/>
                <w:sz w:val="21"/>
                <w:szCs w:val="21"/>
              </w:rPr>
              <w:t>MOC-TSDB、MOC-MySQL，具有时序数据库、关系数据库等服务。</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2.工业云服务器</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≥2*（10核2.2Ghz）≥128GB内存  ≥2*600G SAS</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三、工业互联网实施与运维考核平台（整个实训室配1套）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（一）系统功能</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1、采用C/S架构设计，可兼容XP及以上操作系统，可实现实训、测评、竞技3种学习模式。竞技模式支持试题编辑功能，并能够通过平台在线推送数据给一个及多个账号；</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2、软件支持竞技模式下在线团队合作，队长队员可共同完成各种各样以及定制化的实训任务。包括组建网络，规划网络，部署网络，配置网络及调试网络等单元。</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3、软件支持适配普通PC运行的鼠标操作模式，以及适配教学一体机上运行的触控操作模式。</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软件具有规划报告（导出系统配置信息包括拓扑规划、设备配置、容量规划、数据配置等信息）、存读档（包括存档、读档、系统初始化、系统预置存档等功能）、消息中心（支持通过平台给客户端发消息）、操作演示（内置系统功能的操作演示视频）、成就榜（系统自动评级）等系统辅助功能。</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（二）软件功能</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1、系统平台以真实网络为原型进行设计，包含三网融合接入网络、三网融合业务控制网络、数据通信网络及光传输网络。</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▲1.1有线接入网包含BRAS、OLT、Splitter、ONU及终端部分。（提供现场演示）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▲1.2三网业务控制部分，包括AAA Server、SS、CDN Node等网元。（提供现场演示）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1.3 无线接入网（WLAN）包含AC、AP网元。</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1.4 承载网包含三层交换机、路由器网元。</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1.5 光传输网络包含OTN网元。见现场演示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2、支持GUI图形化操作界面，支持实训和竞技功能，人机界面友好，易于上手，便于教学、自学。</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2.1任务过程与真实工作过程一致。</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▲2.2 界面以真实工作场景为原型。（提供现场演示）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3、可根据任务描述，进行网络拓扑规划。</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▲3.1 能通过网元部署及连线完成核心网、承载网及接入网网络规划拓扑设计，并且能够结合拓扑完成IP规划，对接参数等相关规划，方便后期设备配置及数据配置。（提供现场演示）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4、支持容量规划功能。</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4.1 能够选择酒店、步行街、体育馆等虚拟场景业务模型，完成接入网络容量计算。</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5、支持硬件配置功能，可根据任务描述完成设备的型号选择、布放、线缆连线等操作。</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5.1 可完成PON设备在机房和业务场景中的硬件部署及各网元间的线缆连接。</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5.2 承载网机房硬件配置，支持IP承载设备和光传输设备在机房内部署，同时可完成设备之间、设备与ODF架之间的线缆连接。</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5.3 业务机房硬件配置，支持服务器部署及服务器与承载设备之间的线缆连接。</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6、支持数据配置功能，并能够在虚拟平台上完成数据调试及业务开通。</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▲6.1接入网设备能够完成包括GEM Port宽带模板、VOIP协议模板、GPON宽带业务、GPON语音业务、GPON组播业务配置等数据配置。（提供现场演示）</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6.2 承载网业务开通包括IP承载和光传输配置两部分。IP承载设备支持IP地址、路由等规划与配置，光传输设备需支持电交叉、频率等规划与配置。</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6.3 业务控制设备数据配置和业务开通操作需包括服务器IP地址规划，以及主要网元的系统参数、对接配置、地址和路由规划配置。</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7、支持业务调试功能，可根据任务需求，在虚拟平台上完成业务调试及故障排除，以保证网络的正常运行。</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7.1 可通过告警、拨测等调试工具，完成基本业务调试及故障处理。</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7.2 可通过PING，TRACE等功能，完成传输网络的业务调试及故障处理。</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7.3 具备WLAN网络测试功能，可在不同场景中对WLAN业务进行调测和参数优化。</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7.4 具备光路检测功能，可支持对光传输设备的调试及故障处理。</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7.5 具备终端接入测试功能，包括PPPoE、DHCP、固定IP、语音终端配置和调试。</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8、承载网和接入网支持组播和QoS。</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8.1 能够通过QoS参数设置，使终端下载、上传速率能够达到对应的速率标准。</w:t>
            </w:r>
          </w:p>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8.2 能够通过配置组播协议，可实现IPTV直播业务。</w:t>
            </w:r>
          </w:p>
        </w:tc>
        <w:tc>
          <w:tcPr>
            <w:tcW w:w="58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50节点</w:t>
            </w:r>
          </w:p>
        </w:tc>
        <w:tc>
          <w:tcPr>
            <w:tcW w:w="87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1.2万</w:t>
            </w:r>
          </w:p>
        </w:tc>
        <w:tc>
          <w:tcPr>
            <w:tcW w:w="92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经销商询价、网络查询</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60万</w:t>
            </w:r>
          </w:p>
        </w:tc>
        <w:tc>
          <w:tcPr>
            <w:tcW w:w="1015"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机电楼北208</w:t>
            </w: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p>
        </w:tc>
        <w:tc>
          <w:tcPr>
            <w:tcW w:w="1112" w:type="dxa"/>
            <w:tcBorders>
              <w:top w:val="single" w:color="auto" w:sz="4" w:space="0"/>
              <w:left w:val="nil"/>
              <w:bottom w:val="single" w:color="auto" w:sz="12"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p>
        </w:tc>
        <w:tc>
          <w:tcPr>
            <w:tcW w:w="5492"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p>
        </w:tc>
        <w:tc>
          <w:tcPr>
            <w:tcW w:w="581"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p>
        </w:tc>
        <w:tc>
          <w:tcPr>
            <w:tcW w:w="871"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p>
        </w:tc>
        <w:tc>
          <w:tcPr>
            <w:tcW w:w="922"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合计</w:t>
            </w:r>
          </w:p>
        </w:tc>
        <w:tc>
          <w:tcPr>
            <w:tcW w:w="992"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220万</w:t>
            </w:r>
          </w:p>
        </w:tc>
        <w:tc>
          <w:tcPr>
            <w:tcW w:w="1015" w:type="dxa"/>
            <w:tcBorders>
              <w:top w:val="single" w:color="auto" w:sz="4" w:space="0"/>
              <w:left w:val="nil"/>
              <w:bottom w:val="single" w:color="auto" w:sz="12"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bCs/>
                <w:color w:val="000000"/>
                <w:kern w:val="0"/>
                <w:sz w:val="21"/>
                <w:szCs w:val="21"/>
              </w:rPr>
            </w:pPr>
          </w:p>
        </w:tc>
      </w:tr>
    </w:tbl>
    <w:p>
      <w:pPr>
        <w:tabs>
          <w:tab w:val="left" w:pos="9555"/>
        </w:tabs>
        <w:rPr>
          <w:rFonts w:hint="eastAsia" w:ascii="宋体" w:hAnsi="宋体"/>
          <w:color w:val="FF0000"/>
          <w:sz w:val="24"/>
        </w:rPr>
      </w:pPr>
    </w:p>
    <w:p>
      <w:pPr>
        <w:tabs>
          <w:tab w:val="left" w:pos="9555"/>
        </w:tabs>
        <w:rPr>
          <w:rFonts w:hint="eastAsia" w:ascii="宋体" w:hAnsi="宋体"/>
          <w:color w:val="FF0000"/>
          <w:sz w:val="24"/>
        </w:rPr>
      </w:pPr>
    </w:p>
    <w:p>
      <w:pPr>
        <w:spacing w:line="360" w:lineRule="auto"/>
        <w:ind w:firstLine="10320" w:firstLineChars="4300"/>
        <w:rPr>
          <w:rFonts w:hint="eastAsia" w:ascii="宋体" w:hAnsi="宋体"/>
          <w:b/>
          <w:sz w:val="24"/>
        </w:rPr>
      </w:pPr>
    </w:p>
    <w:p>
      <w:pPr>
        <w:jc w:val="center"/>
        <w:sectPr>
          <w:pgSz w:w="16838" w:h="11906" w:orient="landscape"/>
          <w:pgMar w:top="1588" w:right="1440" w:bottom="1588" w:left="1440" w:header="851" w:footer="1418" w:gutter="0"/>
          <w:cols w:space="720" w:num="1"/>
          <w:docGrid w:type="linesAndChars" w:linePitch="312" w:charSpace="0"/>
        </w:sectPr>
      </w:pPr>
    </w:p>
    <w:p/>
    <w:sectPr>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宋体" w:hAnsi="宋体"/>
        <w:sz w:val="28"/>
        <w:szCs w:val="28"/>
      </w:rPr>
    </w:pPr>
    <w:r>
      <w:fldChar w:fldCharType="begin"/>
    </w:r>
    <w:r>
      <w:instrText xml:space="preserve">PAGE   \* MERGEFORMAT</w:instrText>
    </w:r>
    <w:r>
      <w:fldChar w:fldCharType="separate"/>
    </w:r>
    <w:r>
      <w:rPr>
        <w:lang w:val="zh-CN"/>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24</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24</w:t>
                    </w:r>
                    <w:r>
                      <w:rPr>
                        <w:rFonts w:ascii="宋体" w:hAnsi="宋体"/>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2"/>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B2EAB"/>
    <w:rsid w:val="0315704D"/>
    <w:rsid w:val="0EA70944"/>
    <w:rsid w:val="19BE3EC3"/>
    <w:rsid w:val="22166B9E"/>
    <w:rsid w:val="29BB2EAB"/>
    <w:rsid w:val="2F754C15"/>
    <w:rsid w:val="32205D93"/>
    <w:rsid w:val="34E61C7E"/>
    <w:rsid w:val="3CBF2473"/>
    <w:rsid w:val="477A345B"/>
    <w:rsid w:val="600B673F"/>
    <w:rsid w:val="612A51D2"/>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420" w:firstLineChars="200"/>
      <w:jc w:val="both"/>
    </w:pPr>
    <w:rPr>
      <w:rFonts w:eastAsia="仿宋" w:asciiTheme="minorAscii" w:hAnsiTheme="minorAscii" w:cstheme="minorBidi"/>
      <w:kern w:val="2"/>
      <w:sz w:val="28"/>
      <w:szCs w:val="22"/>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3">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ind w:firstLine="420"/>
    </w:pPr>
    <w:rPr>
      <w:kern w:val="0"/>
      <w:sz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01"/>
    <w:qFormat/>
    <w:uiPriority w:val="0"/>
    <w:rPr>
      <w:rFonts w:hint="default" w:ascii="Times New Roman" w:hAnsi="Times New Roman" w:cs="Times New Roman"/>
      <w:color w:val="000000"/>
      <w:sz w:val="20"/>
      <w:szCs w:val="20"/>
      <w:u w:val="none"/>
    </w:rPr>
  </w:style>
  <w:style w:type="character" w:customStyle="1" w:styleId="12">
    <w:name w:val="font41"/>
    <w:qFormat/>
    <w:uiPriority w:val="0"/>
    <w:rPr>
      <w:rFonts w:hint="eastAsia" w:ascii="宋体" w:hAnsi="宋体" w:eastAsia="宋体" w:cs="宋体"/>
      <w:color w:val="000000"/>
      <w:sz w:val="20"/>
      <w:szCs w:val="20"/>
      <w:u w:val="none"/>
    </w:rPr>
  </w:style>
  <w:style w:type="character" w:customStyle="1" w:styleId="13">
    <w:name w:val="font111"/>
    <w:qFormat/>
    <w:uiPriority w:val="0"/>
    <w:rPr>
      <w:rFonts w:hint="default" w:ascii="Times New Roman" w:hAnsi="Times New Roman" w:cs="Times New Roman"/>
      <w:color w:val="000000"/>
      <w:sz w:val="20"/>
      <w:szCs w:val="20"/>
      <w:u w:val="none"/>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2021-06-03T07:35:00Z</dcterms:created>
  <dc:creator>linqq</dc:creator>
  <cp:lastModifiedBy>linqq</cp:lastModifiedBy>
  <dcterms:modified xsi:type="dcterms:W3CDTF">2021-06-08T10:53:31Z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CA0822F357394498AC06DE60C77ADDB3</vt:lpwstr>
  </property>
</Properties>
</file>