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Chars="0"/>
        <w:jc w:val="center"/>
        <w:rPr>
          <w:rFonts w:hint="eastAsia"/>
        </w:rPr>
      </w:pPr>
      <w:r>
        <w:rPr>
          <w:rFonts w:hint="eastAsia"/>
        </w:rPr>
        <w:t>电子商务</w:t>
      </w:r>
      <w:r>
        <w:rPr>
          <w:rFonts w:hint="eastAsia"/>
          <w:lang w:val="en-US" w:eastAsia="zh-CN"/>
        </w:rPr>
        <w:t>与</w:t>
      </w:r>
      <w:r>
        <w:rPr>
          <w:rFonts w:hint="eastAsia"/>
        </w:rPr>
        <w:t>市场营销综合实训与竞赛系统采购项目</w:t>
      </w:r>
    </w:p>
    <w:p>
      <w:pPr>
        <w:spacing w:line="400" w:lineRule="exact"/>
        <w:rPr>
          <w:rFonts w:hint="eastAsia" w:ascii="宋体" w:hAnsi="宋体"/>
          <w:b/>
          <w:sz w:val="24"/>
        </w:rPr>
      </w:pPr>
      <w:r>
        <w:rPr>
          <w:rFonts w:hint="eastAsia" w:ascii="宋体" w:hAnsi="宋体"/>
          <w:b/>
          <w:sz w:val="24"/>
        </w:rPr>
        <w:t>一、项目概况</w:t>
      </w:r>
    </w:p>
    <w:p>
      <w:pPr>
        <w:spacing w:line="400" w:lineRule="atLeast"/>
        <w:ind w:firstLine="480" w:firstLineChars="200"/>
        <w:rPr>
          <w:rFonts w:ascii="宋体" w:hAnsi="宋体"/>
          <w:sz w:val="24"/>
        </w:rPr>
      </w:pPr>
      <w:r>
        <w:rPr>
          <w:rFonts w:hint="eastAsia" w:ascii="宋体" w:hAnsi="宋体"/>
          <w:sz w:val="24"/>
        </w:rPr>
        <w:t>根据《关于加快发展现代职业教育的决定》、《国家人才规划发展纲要（2010-2020年）》《关于全面提高高等职业教育教学质量的若干意见》的文件精神的要求以及我院人才培养方案，进一步明确高素质技术技能型商科人才培养的具体目标，改革课程结构，优化课程设置，充实教学内容，更新知识体系，不断革新教学方式，使技能型商科人才培养标准始终与时代发展的要求保持一致，使技能型商科人才的知识结构始终与时代进步与知识更新保持同步；既保证知识传授的广度与深度，保证技能型商科人才具有扎实的理论素养，又保证知识的前沿性、先进性，使技能型会计人才的知识结构能够与时俱进，紧跟知识跟新的步伐，还保证知识的传授与知识应用的有机结合，防止学用脱节，保证以用为本的商科人才培养目标能够得以实现。</w:t>
      </w:r>
    </w:p>
    <w:p>
      <w:pPr>
        <w:spacing w:line="400" w:lineRule="atLeast"/>
        <w:ind w:firstLine="480" w:firstLineChars="200"/>
        <w:rPr>
          <w:rFonts w:hint="eastAsia" w:ascii="宋体" w:hAnsi="宋体"/>
          <w:sz w:val="24"/>
        </w:rPr>
      </w:pPr>
      <w:r>
        <w:rPr>
          <w:rFonts w:hint="eastAsia" w:ascii="宋体" w:hAnsi="宋体"/>
          <w:sz w:val="24"/>
        </w:rPr>
        <w:t>学院组织开展职业技能竞赛，调动学生的学习兴趣。竞赛能激励学生，通过自己的努力学习可以更快地完成竞赛任务、取得好的竞赛成绩时，提高学习的效率，增强自主学习的动机。因为竞赛的开展可使学生更加明确自己的学习目的和学习任务，能够使学生的心理活动最大限度地集中在能够完成竞赛作业的学习上，从而可达到提高学生能力的目的。同时，技能竞赛有助于提升教师的教学能力和教学水平，技能竞赛的成绩不仅反映出个别参赛选手的职业能力，更能反映出会计专业教师的教学水平。为加强学生岗位通用技术和职业能力，促进学院电子商务和市场营销专业教学改革，学院必须在日常教学过程中强化学生职业能力的培养。</w:t>
      </w:r>
    </w:p>
    <w:p>
      <w:pPr>
        <w:tabs>
          <w:tab w:val="left" w:pos="900"/>
        </w:tabs>
        <w:spacing w:line="400" w:lineRule="atLeast"/>
        <w:ind w:firstLine="420"/>
        <w:rPr>
          <w:rFonts w:hint="eastAsia" w:ascii="宋体" w:hAnsi="宋体"/>
          <w:sz w:val="24"/>
        </w:rPr>
      </w:pPr>
      <w:r>
        <w:rPr>
          <w:rFonts w:hint="eastAsia" w:ascii="宋体" w:hAnsi="宋体"/>
          <w:sz w:val="24"/>
        </w:rPr>
        <w:t>我院为参加全省职业院校电子商务技能和市场营销技能大赛，其电子商务综合实训与竞赛系统和市场营销综合实训与竞赛系统作为此两项比赛的平台。这两款软件是2020年刚升级的全省与全国职业院校电子商务、市场营销技能大赛高职组训练平台。这两款软件还为2020年全国各省、自治区、直辖市的省赛赛事提供全面可靠的技术支持和服务保障，秉承公益、客观、公正的原则，全面支持全省与全国职业院校技能大赛高职组电子商务和市场营销技能比赛，保障赛事平台稳定可靠。这两款软件在技能竞赛平台建设经验丰富、资源丰富、服务及品质能够得到保障。</w:t>
      </w:r>
    </w:p>
    <w:p>
      <w:pPr>
        <w:spacing w:line="400" w:lineRule="exact"/>
        <w:rPr>
          <w:rFonts w:hint="eastAsia" w:ascii="宋体" w:hAnsi="宋体"/>
          <w:b/>
          <w:sz w:val="24"/>
        </w:rPr>
      </w:pPr>
      <w:r>
        <w:rPr>
          <w:rFonts w:hint="eastAsia" w:ascii="宋体" w:hAnsi="宋体"/>
          <w:b/>
          <w:sz w:val="24"/>
        </w:rPr>
        <w:t>二、实训设备采购的必要性</w:t>
      </w:r>
    </w:p>
    <w:p>
      <w:pPr>
        <w:spacing w:line="400" w:lineRule="exact"/>
        <w:ind w:firstLine="480" w:firstLineChars="200"/>
        <w:rPr>
          <w:rFonts w:ascii="宋体" w:hAnsi="宋体"/>
          <w:sz w:val="24"/>
        </w:rPr>
      </w:pPr>
      <w:r>
        <w:rPr>
          <w:rFonts w:hint="eastAsia" w:ascii="宋体" w:hAnsi="宋体"/>
          <w:sz w:val="24"/>
        </w:rPr>
        <w:t>电子商务和市场营销作为商科类的两个传统老牌专业，在新技术、新产业、新模式下飞速发展，尤其是电子商务近年来更是突飞猛进。电子商务和市场营销行业的火爆每年为我院引流的大量的优质生源，福建省职业院校技能大赛电子商务赛项和市场营销赛项也是从2</w:t>
      </w:r>
      <w:r>
        <w:rPr>
          <w:rFonts w:ascii="宋体" w:hAnsi="宋体"/>
          <w:sz w:val="24"/>
        </w:rPr>
        <w:t>015</w:t>
      </w:r>
      <w:r>
        <w:rPr>
          <w:rFonts w:hint="eastAsia" w:ascii="宋体" w:hAnsi="宋体"/>
          <w:sz w:val="24"/>
        </w:rPr>
        <w:t>一直延续到今。目前我省8</w:t>
      </w:r>
      <w:r>
        <w:rPr>
          <w:rFonts w:ascii="宋体" w:hAnsi="宋体"/>
          <w:sz w:val="24"/>
        </w:rPr>
        <w:t>0</w:t>
      </w:r>
      <w:r>
        <w:rPr>
          <w:rFonts w:hint="eastAsia" w:ascii="宋体" w:hAnsi="宋体"/>
          <w:sz w:val="24"/>
        </w:rPr>
        <w:t>%以上设有电子商务或市场营销专业的公立院校已采购该套设备，以赛促教，提高学生的竞赛水平和能力迫在眉睫。</w:t>
      </w:r>
    </w:p>
    <w:p>
      <w:pPr>
        <w:spacing w:line="400" w:lineRule="exact"/>
        <w:ind w:firstLine="480" w:firstLineChars="200"/>
        <w:rPr>
          <w:rFonts w:ascii="宋体" w:hAnsi="宋体" w:cs="宋体"/>
          <w:sz w:val="24"/>
        </w:rPr>
      </w:pPr>
      <w:r>
        <w:rPr>
          <w:rFonts w:hint="eastAsia" w:ascii="宋体" w:hAnsi="宋体" w:cs="宋体"/>
          <w:sz w:val="24"/>
        </w:rPr>
        <w:t>中教畅享（北京）科技有限公司作为教育部全国职业院校技能大赛电子商务技能和市场营销技能赛项的唯一技术支持平台提供商，根据教育部全国职业院校技能大赛组织委员会对电子商务和市场营销技能大赛的指导原则，每年根据最新的行业职业对人才诉求的核心技能对平台进行免费升级更新。教师借助平台有的放矢地指导学生进行模拟实训及考核学生岗位职业技能，进而夯实学生专业技能和提升职业素养，十分符合我校现阶段教学、实训、竞赛训练需要。</w:t>
      </w:r>
    </w:p>
    <w:p>
      <w:pPr>
        <w:spacing w:line="400" w:lineRule="exact"/>
        <w:rPr>
          <w:rFonts w:hint="eastAsia" w:ascii="宋体" w:hAnsi="宋体"/>
          <w:b/>
          <w:sz w:val="24"/>
        </w:rPr>
      </w:pPr>
      <w:r>
        <w:rPr>
          <w:rFonts w:hint="eastAsia" w:ascii="宋体" w:hAnsi="宋体"/>
          <w:b/>
          <w:sz w:val="24"/>
        </w:rPr>
        <w:t>三、</w:t>
      </w:r>
      <w:bookmarkStart w:id="0" w:name="_GoBack"/>
      <w:bookmarkEnd w:id="0"/>
      <w:r>
        <w:rPr>
          <w:rFonts w:hint="eastAsia" w:ascii="宋体" w:hAnsi="宋体"/>
          <w:b/>
          <w:sz w:val="24"/>
        </w:rPr>
        <w:t>新设备对应课程及实训项目</w:t>
      </w:r>
    </w:p>
    <w:p>
      <w:pPr>
        <w:spacing w:line="400" w:lineRule="atLeast"/>
        <w:ind w:firstLine="480" w:firstLineChars="200"/>
        <w:rPr>
          <w:rFonts w:hint="eastAsia" w:ascii="宋体" w:hAnsi="宋体"/>
          <w:sz w:val="24"/>
        </w:rPr>
      </w:pPr>
      <w:r>
        <w:rPr>
          <w:rFonts w:hint="eastAsia" w:ascii="宋体" w:hAnsi="宋体"/>
          <w:sz w:val="24"/>
        </w:rPr>
        <w:t>对应课程：《电商客服》、《数据收集与分析》、《市场调查与分析》、《市场营销策划》、《ITMC市场营销实训》对应实训项目：福建省与国家电子商务技能大赛训练、福建省与国家市场营销技能大赛训练。</w:t>
      </w:r>
    </w:p>
    <w:p>
      <w:pPr>
        <w:spacing w:line="360" w:lineRule="auto"/>
        <w:ind w:firstLine="4936" w:firstLineChars="2057"/>
        <w:rPr>
          <w:rFonts w:hint="eastAsia" w:ascii="宋体" w:hAnsi="宋体"/>
          <w:sz w:val="24"/>
        </w:rPr>
      </w:pPr>
    </w:p>
    <w:p>
      <w:pPr>
        <w:spacing w:line="360" w:lineRule="auto"/>
        <w:ind w:firstLine="4936" w:firstLineChars="2057"/>
        <w:rPr>
          <w:rFonts w:hint="eastAsia" w:ascii="宋体" w:hAnsi="宋体"/>
          <w:sz w:val="24"/>
        </w:rPr>
      </w:pPr>
    </w:p>
    <w:p>
      <w:pPr>
        <w:rPr>
          <w:rFonts w:hint="eastAsia" w:ascii="宋体" w:hAnsi="宋体"/>
          <w:szCs w:val="21"/>
        </w:rPr>
      </w:pPr>
    </w:p>
    <w:p>
      <w:pPr>
        <w:rPr>
          <w:rFonts w:ascii="宋体" w:hAnsi="宋体"/>
          <w:sz w:val="2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b/>
          <w:sz w:val="24"/>
        </w:rPr>
      </w:pPr>
      <w:r>
        <w:rPr>
          <w:rFonts w:hint="eastAsia" w:ascii="宋体" w:hAnsi="宋体"/>
          <w:b/>
          <w:sz w:val="24"/>
        </w:rPr>
        <w:t>电子商务</w:t>
      </w:r>
      <w:r>
        <w:rPr>
          <w:rFonts w:hint="eastAsia" w:ascii="宋体" w:hAnsi="宋体"/>
          <w:b/>
          <w:sz w:val="24"/>
          <w:lang w:val="en-US" w:eastAsia="zh-CN"/>
        </w:rPr>
        <w:t>与</w:t>
      </w:r>
      <w:r>
        <w:rPr>
          <w:rFonts w:hint="eastAsia" w:ascii="宋体" w:hAnsi="宋体"/>
          <w:b/>
          <w:sz w:val="24"/>
        </w:rPr>
        <w:t>市场营销综合实训与竞赛系统采购项目购置清单预算</w:t>
      </w:r>
    </w:p>
    <w:tbl>
      <w:tblPr>
        <w:tblStyle w:val="6"/>
        <w:tblW w:w="4998" w:type="pct"/>
        <w:tblInd w:w="0" w:type="dxa"/>
        <w:tblLayout w:type="autofit"/>
        <w:tblCellMar>
          <w:top w:w="0" w:type="dxa"/>
          <w:left w:w="108" w:type="dxa"/>
          <w:bottom w:w="0" w:type="dxa"/>
          <w:right w:w="108" w:type="dxa"/>
        </w:tblCellMar>
      </w:tblPr>
      <w:tblGrid>
        <w:gridCol w:w="720"/>
        <w:gridCol w:w="1415"/>
        <w:gridCol w:w="5667"/>
        <w:gridCol w:w="882"/>
        <w:gridCol w:w="1237"/>
        <w:gridCol w:w="1594"/>
        <w:gridCol w:w="1344"/>
        <w:gridCol w:w="1309"/>
      </w:tblGrid>
      <w:tr>
        <w:tblPrEx>
          <w:tblCellMar>
            <w:top w:w="0" w:type="dxa"/>
            <w:left w:w="108" w:type="dxa"/>
            <w:bottom w:w="0" w:type="dxa"/>
            <w:right w:w="108" w:type="dxa"/>
          </w:tblCellMar>
        </w:tblPrEx>
        <w:trPr>
          <w:trHeight w:val="737" w:hRule="atLeast"/>
        </w:trPr>
        <w:tc>
          <w:tcPr>
            <w:tcW w:w="254" w:type="pct"/>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jc w:val="center"/>
              <w:rPr>
                <w:rFonts w:hint="eastAsia" w:ascii="宋体" w:hAnsi="宋体" w:cs="宋体"/>
                <w:kern w:val="0"/>
                <w:szCs w:val="21"/>
              </w:rPr>
            </w:pPr>
            <w:r>
              <w:rPr>
                <w:rFonts w:hint="eastAsia" w:ascii="宋体" w:hAnsi="宋体" w:cs="宋体"/>
                <w:kern w:val="0"/>
                <w:szCs w:val="21"/>
              </w:rPr>
              <w:t>序号</w:t>
            </w:r>
          </w:p>
        </w:tc>
        <w:tc>
          <w:tcPr>
            <w:tcW w:w="499" w:type="pct"/>
            <w:tcBorders>
              <w:top w:val="single" w:color="auto" w:sz="12" w:space="0"/>
              <w:left w:val="nil"/>
              <w:bottom w:val="single" w:color="auto" w:sz="4" w:space="0"/>
              <w:right w:val="single" w:color="000000" w:sz="4" w:space="0"/>
            </w:tcBorders>
            <w:shd w:val="clear" w:color="auto" w:fill="E0E0E0"/>
            <w:noWrap w:val="0"/>
            <w:vAlign w:val="center"/>
          </w:tcPr>
          <w:p>
            <w:pPr>
              <w:widowControl/>
              <w:jc w:val="center"/>
              <w:rPr>
                <w:rFonts w:hint="eastAsia" w:ascii="宋体" w:hAnsi="宋体" w:cs="宋体"/>
                <w:kern w:val="0"/>
                <w:szCs w:val="21"/>
              </w:rPr>
            </w:pPr>
            <w:r>
              <w:rPr>
                <w:rFonts w:hint="eastAsia" w:ascii="宋体" w:hAnsi="宋体" w:cs="宋体"/>
                <w:kern w:val="0"/>
                <w:szCs w:val="21"/>
              </w:rPr>
              <w:t>设备名称</w:t>
            </w:r>
          </w:p>
        </w:tc>
        <w:tc>
          <w:tcPr>
            <w:tcW w:w="1998" w:type="pct"/>
            <w:tcBorders>
              <w:top w:val="single" w:color="auto" w:sz="12" w:space="0"/>
              <w:left w:val="nil"/>
              <w:bottom w:val="single" w:color="auto" w:sz="4" w:space="0"/>
              <w:right w:val="single" w:color="auto" w:sz="4" w:space="0"/>
            </w:tcBorders>
            <w:shd w:val="clear" w:color="auto" w:fill="E0E0E0"/>
            <w:noWrap w:val="0"/>
            <w:vAlign w:val="center"/>
          </w:tcPr>
          <w:p>
            <w:pPr>
              <w:widowControl/>
              <w:jc w:val="center"/>
              <w:rPr>
                <w:rFonts w:hint="eastAsia" w:ascii="宋体" w:hAnsi="宋体" w:cs="宋体"/>
                <w:kern w:val="0"/>
                <w:szCs w:val="21"/>
              </w:rPr>
            </w:pPr>
            <w:r>
              <w:rPr>
                <w:rFonts w:hint="eastAsia" w:ascii="宋体" w:hAnsi="宋体" w:cs="宋体"/>
                <w:kern w:val="0"/>
                <w:szCs w:val="21"/>
              </w:rPr>
              <w:t>规格、型号</w:t>
            </w:r>
            <w:r>
              <w:rPr>
                <w:rFonts w:hint="eastAsia" w:ascii="宋体" w:hAnsi="宋体" w:cs="宋体"/>
                <w:bCs/>
                <w:kern w:val="0"/>
                <w:szCs w:val="21"/>
              </w:rPr>
              <w:t>（主要技术参数）</w:t>
            </w:r>
          </w:p>
        </w:tc>
        <w:tc>
          <w:tcPr>
            <w:tcW w:w="311" w:type="pct"/>
            <w:tcBorders>
              <w:top w:val="single" w:color="auto" w:sz="12" w:space="0"/>
              <w:left w:val="nil"/>
              <w:bottom w:val="single" w:color="auto" w:sz="4" w:space="0"/>
              <w:right w:val="single" w:color="auto" w:sz="4" w:space="0"/>
            </w:tcBorders>
            <w:shd w:val="clear" w:color="auto" w:fill="E0E0E0"/>
            <w:noWrap w:val="0"/>
            <w:vAlign w:val="center"/>
          </w:tcPr>
          <w:p>
            <w:pPr>
              <w:jc w:val="center"/>
              <w:rPr>
                <w:rFonts w:ascii="宋体" w:hAnsi="宋体" w:cs="宋体"/>
                <w:bCs/>
                <w:kern w:val="0"/>
                <w:szCs w:val="21"/>
              </w:rPr>
            </w:pPr>
            <w:r>
              <w:rPr>
                <w:rFonts w:hint="eastAsia" w:ascii="宋体" w:hAnsi="宋体" w:cs="宋体"/>
                <w:bCs/>
                <w:kern w:val="0"/>
                <w:szCs w:val="21"/>
              </w:rPr>
              <w:t>数量</w:t>
            </w:r>
          </w:p>
        </w:tc>
        <w:tc>
          <w:tcPr>
            <w:tcW w:w="436"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rPr>
            </w:pPr>
            <w:r>
              <w:rPr>
                <w:rFonts w:hint="eastAsia"/>
                <w:caps/>
              </w:rPr>
              <w:t>单价</w:t>
            </w:r>
          </w:p>
          <w:p>
            <w:pPr>
              <w:tabs>
                <w:tab w:val="left" w:pos="6840"/>
              </w:tabs>
              <w:jc w:val="center"/>
              <w:rPr>
                <w:rFonts w:hint="eastAsia"/>
                <w:caps/>
              </w:rPr>
            </w:pPr>
            <w:r>
              <w:rPr>
                <w:rFonts w:hint="eastAsia"/>
                <w:caps/>
              </w:rPr>
              <w:t>（元）</w:t>
            </w:r>
          </w:p>
        </w:tc>
        <w:tc>
          <w:tcPr>
            <w:tcW w:w="562"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rPr>
            </w:pPr>
            <w:r>
              <w:rPr>
                <w:rFonts w:hint="eastAsia"/>
                <w:caps/>
              </w:rPr>
              <w:t>单价来源</w:t>
            </w:r>
          </w:p>
        </w:tc>
        <w:tc>
          <w:tcPr>
            <w:tcW w:w="474"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rPr>
            </w:pPr>
            <w:r>
              <w:rPr>
                <w:rFonts w:hint="eastAsia"/>
                <w:caps/>
              </w:rPr>
              <w:t>金额</w:t>
            </w:r>
          </w:p>
          <w:p>
            <w:pPr>
              <w:tabs>
                <w:tab w:val="left" w:pos="6840"/>
              </w:tabs>
              <w:jc w:val="center"/>
              <w:rPr>
                <w:rFonts w:hint="eastAsia"/>
                <w:caps/>
              </w:rPr>
            </w:pPr>
            <w:r>
              <w:rPr>
                <w:rFonts w:hint="eastAsia"/>
                <w:caps/>
              </w:rPr>
              <w:t>（元）</w:t>
            </w:r>
          </w:p>
        </w:tc>
        <w:tc>
          <w:tcPr>
            <w:tcW w:w="461" w:type="pct"/>
            <w:tcBorders>
              <w:top w:val="single" w:color="auto" w:sz="12" w:space="0"/>
              <w:left w:val="nil"/>
              <w:bottom w:val="single" w:color="auto" w:sz="4" w:space="0"/>
              <w:right w:val="single" w:color="auto" w:sz="12" w:space="0"/>
            </w:tcBorders>
            <w:shd w:val="clear" w:color="auto" w:fill="E0E0E0"/>
            <w:noWrap w:val="0"/>
            <w:vAlign w:val="center"/>
          </w:tcPr>
          <w:p>
            <w:pPr>
              <w:tabs>
                <w:tab w:val="left" w:pos="6840"/>
              </w:tabs>
              <w:jc w:val="center"/>
              <w:rPr>
                <w:rFonts w:hint="eastAsia"/>
                <w:caps/>
              </w:rPr>
            </w:pPr>
            <w:r>
              <w:rPr>
                <w:rFonts w:hint="eastAsia"/>
                <w:caps/>
              </w:rPr>
              <w:t>存放位置</w:t>
            </w: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ascii="宋体" w:hAnsi="宋体"/>
              </w:rPr>
            </w:pPr>
            <w:r>
              <w:rPr>
                <w:rFonts w:hint="eastAsia" w:ascii="宋体" w:hAnsi="宋体"/>
              </w:rPr>
              <w:t>电子商务综合实训与竞赛系统</w:t>
            </w:r>
          </w:p>
        </w:tc>
        <w:tc>
          <w:tcPr>
            <w:tcW w:w="1998" w:type="pct"/>
            <w:tcBorders>
              <w:top w:val="single" w:color="auto" w:sz="4" w:space="0"/>
              <w:left w:val="nil"/>
              <w:bottom w:val="single" w:color="auto" w:sz="4" w:space="0"/>
              <w:right w:val="single" w:color="auto" w:sz="4" w:space="0"/>
            </w:tcBorders>
            <w:noWrap w:val="0"/>
            <w:vAlign w:val="center"/>
          </w:tcPr>
          <w:p>
            <w:pPr>
              <w:autoSpaceDN w:val="0"/>
              <w:textAlignment w:val="center"/>
              <w:rPr>
                <w:rFonts w:hint="eastAsia" w:ascii="宋体" w:hAnsi="宋体"/>
              </w:rPr>
            </w:pPr>
            <w:r>
              <w:rPr>
                <w:rFonts w:hint="eastAsia" w:ascii="宋体" w:hAnsi="宋体"/>
              </w:rPr>
              <w:t>一、内容要求</w:t>
            </w:r>
          </w:p>
          <w:p>
            <w:pPr>
              <w:autoSpaceDN w:val="0"/>
              <w:textAlignment w:val="center"/>
              <w:rPr>
                <w:rFonts w:hint="eastAsia" w:ascii="宋体" w:hAnsi="宋体"/>
              </w:rPr>
            </w:pPr>
            <w:r>
              <w:rPr>
                <w:rFonts w:hint="eastAsia" w:ascii="宋体" w:hAnsi="宋体"/>
              </w:rPr>
              <w:t>电子商务综合实训与竞赛系统应设置网店开设装修、网店运营推广、网店客户服务三项典型工作任务，并以典型工作任务的完成质量以及学生的职业素养作为主要内容，全面考察学生的商品采编能力、视觉营销能力、网络营销能力、客户服务能力、网店运营能力以及团队合 作能力。电子商务综合实训与竞赛系统可满足福建省电子商务职业技能竞赛的实训需求。</w:t>
            </w:r>
          </w:p>
          <w:p>
            <w:pPr>
              <w:autoSpaceDN w:val="0"/>
              <w:textAlignment w:val="center"/>
              <w:rPr>
                <w:rFonts w:hint="eastAsia" w:ascii="宋体" w:hAnsi="宋体"/>
              </w:rPr>
            </w:pPr>
            <w:r>
              <w:rPr>
                <w:rFonts w:hint="eastAsia" w:ascii="宋体" w:hAnsi="宋体"/>
              </w:rPr>
              <w:t>二、功能要求</w:t>
            </w:r>
          </w:p>
          <w:p>
            <w:pPr>
              <w:autoSpaceDN w:val="0"/>
              <w:textAlignment w:val="center"/>
              <w:rPr>
                <w:rFonts w:hint="eastAsia" w:ascii="宋体" w:hAnsi="宋体"/>
              </w:rPr>
            </w:pPr>
            <w:r>
              <w:rPr>
                <w:rFonts w:hint="eastAsia" w:ascii="宋体" w:hAnsi="宋体"/>
              </w:rPr>
              <w:t>1. 电子商务综合实训与竞赛系统应基于B/S架构设 计，不需要安装客户端，通过浏览器访问，可支持基于校园网的应用；</w:t>
            </w:r>
          </w:p>
          <w:p>
            <w:pPr>
              <w:autoSpaceDN w:val="0"/>
              <w:textAlignment w:val="center"/>
              <w:rPr>
                <w:rFonts w:hint="eastAsia" w:ascii="宋体" w:hAnsi="宋体"/>
              </w:rPr>
            </w:pPr>
            <w:r>
              <w:rPr>
                <w:rFonts w:hint="eastAsia" w:ascii="宋体" w:hAnsi="宋体"/>
              </w:rPr>
              <w:t>2. 电子商务综合实训与竞赛系统应设置在线升级和自动升级按钮，无需下载升级包便可一键升级；</w:t>
            </w:r>
          </w:p>
          <w:p>
            <w:pPr>
              <w:autoSpaceDN w:val="0"/>
              <w:textAlignment w:val="center"/>
              <w:rPr>
                <w:rFonts w:hint="eastAsia" w:ascii="宋体" w:hAnsi="宋体"/>
              </w:rPr>
            </w:pPr>
            <w:r>
              <w:rPr>
                <w:rFonts w:hint="eastAsia" w:ascii="宋体" w:hAnsi="宋体"/>
              </w:rPr>
              <w:t>3. ★网店开设装修应针对PC店铺、移动店铺、跨境店铺三类店铺设立PC端装修、移动端装修、跨境装修三个入口；</w:t>
            </w:r>
          </w:p>
          <w:p>
            <w:pPr>
              <w:autoSpaceDN w:val="0"/>
              <w:textAlignment w:val="center"/>
              <w:rPr>
                <w:rFonts w:hint="eastAsia" w:ascii="宋体" w:hAnsi="宋体"/>
              </w:rPr>
            </w:pPr>
            <w:r>
              <w:rPr>
                <w:rFonts w:hint="eastAsia" w:ascii="宋体" w:hAnsi="宋体"/>
              </w:rPr>
              <w:t>4. PC店铺开设装修应按照开店流程设 计实训任务,包括店铺开设、店标设 计、网店Banner、详情页设 计、促销活动和热销商品等实训任务；</w:t>
            </w:r>
          </w:p>
          <w:p>
            <w:pPr>
              <w:autoSpaceDN w:val="0"/>
              <w:textAlignment w:val="center"/>
              <w:rPr>
                <w:rFonts w:hint="eastAsia" w:ascii="宋体" w:hAnsi="宋体"/>
              </w:rPr>
            </w:pPr>
            <w:r>
              <w:rPr>
                <w:rFonts w:hint="eastAsia" w:ascii="宋体" w:hAnsi="宋体"/>
              </w:rPr>
              <w:t>5. 移动店铺装修应包含店标设 计、店招设 计、网店Banner、详情页设 计等实训任务；</w:t>
            </w:r>
          </w:p>
          <w:p>
            <w:pPr>
              <w:autoSpaceDN w:val="0"/>
              <w:textAlignment w:val="center"/>
              <w:rPr>
                <w:rFonts w:hint="eastAsia" w:ascii="宋体" w:hAnsi="宋体"/>
              </w:rPr>
            </w:pPr>
            <w:r>
              <w:rPr>
                <w:rFonts w:hint="eastAsia" w:ascii="宋体" w:hAnsi="宋体"/>
              </w:rPr>
              <w:t>6. ★跨境店铺装修应包含跨境店铺开设、网店Banner、详情页设 计三个典型实训任务,跨境店铺开设中应设置店铺基本信息和经营信息等实训任务；详情页设 计中应设置产品所属平台类目、产品基本信息、产品销售信息、产品内容描述等实训任务；</w:t>
            </w:r>
          </w:p>
          <w:p>
            <w:pPr>
              <w:autoSpaceDN w:val="0"/>
              <w:textAlignment w:val="center"/>
              <w:rPr>
                <w:rFonts w:hint="eastAsia" w:ascii="宋体" w:hAnsi="宋体"/>
              </w:rPr>
            </w:pPr>
            <w:r>
              <w:rPr>
                <w:rFonts w:hint="eastAsia" w:ascii="宋体" w:hAnsi="宋体"/>
              </w:rPr>
              <w:t xml:space="preserve">7. 网店开设装修应设置专家评分模块,可针对学生实训结果进行评价,针对PC店铺、移动店铺、跨境店铺、营销策划和视觉营销设置详细的评分体系及入口； </w:t>
            </w:r>
          </w:p>
          <w:p>
            <w:pPr>
              <w:autoSpaceDN w:val="0"/>
              <w:textAlignment w:val="center"/>
              <w:rPr>
                <w:rFonts w:hint="eastAsia" w:ascii="宋体" w:hAnsi="宋体"/>
              </w:rPr>
            </w:pPr>
            <w:r>
              <w:rPr>
                <w:rFonts w:hint="eastAsia" w:ascii="宋体" w:hAnsi="宋体"/>
              </w:rPr>
              <w:t>8. ★网店运营推广应设置店长、推广专员、运营主管和财务主管四个角色；</w:t>
            </w:r>
          </w:p>
          <w:p>
            <w:pPr>
              <w:autoSpaceDN w:val="0"/>
              <w:textAlignment w:val="center"/>
              <w:rPr>
                <w:rFonts w:hint="eastAsia" w:ascii="宋体" w:hAnsi="宋体"/>
              </w:rPr>
            </w:pPr>
            <w:r>
              <w:rPr>
                <w:rFonts w:hint="eastAsia" w:ascii="宋体" w:hAnsi="宋体"/>
              </w:rPr>
              <w:t>9. 网店运营推广中应由系统担当买家，形成基于购买行为的数据魔方，包含市场需求数据和关键词数据，避免人为的主观判定因素，构建数据分析与运营推广的闭环。</w:t>
            </w:r>
          </w:p>
          <w:p>
            <w:pPr>
              <w:autoSpaceDN w:val="0"/>
              <w:textAlignment w:val="center"/>
              <w:rPr>
                <w:rFonts w:hint="eastAsia" w:ascii="宋体" w:hAnsi="宋体"/>
              </w:rPr>
            </w:pPr>
            <w:r>
              <w:rPr>
                <w:rFonts w:hint="eastAsia" w:ascii="宋体" w:hAnsi="宋体"/>
              </w:rPr>
              <w:t>10. 网店运营推广中市场需求数据应包括期初4类以及以后的十类以上商品在至少15个城市中四种人群的需求数量和市场平均价格；关键词数据应提供买家搜索的关键词展现量、点击量、点击率、转化量、转化率、平均点击单价、搜索相关性等信息。</w:t>
            </w:r>
          </w:p>
          <w:p>
            <w:pPr>
              <w:autoSpaceDN w:val="0"/>
              <w:textAlignment w:val="center"/>
              <w:rPr>
                <w:rFonts w:hint="eastAsia" w:ascii="宋体" w:hAnsi="宋体"/>
              </w:rPr>
            </w:pPr>
            <w:r>
              <w:rPr>
                <w:rFonts w:hint="eastAsia" w:ascii="宋体" w:hAnsi="宋体"/>
              </w:rPr>
              <w:t>11. ★网店运营推广应根据网店运运营推广的实际流程设 计实训任务，实训任务包括：办公场所设立、配送中心设立、店铺开设、网店装修；采购商品、商品入库；商品发布后,系统需设置搜索引擎优化（SEO）任务,让卖家可以获取尽可能多的自然流量，系统需设置关键词竞价（SEM）推广和SEM管理任务,让卖家获取尽可能多的付费流量；系统需设置团购、秒杀、套餐、促销、站外推广等典型任务，提升转化率；系统需设置订单分发、物流选择、货物出库和货物签收等实训任务，以便卖家合理配送商品，结算资金；系统应设置财务相关实训任务,以便让卖家合理规划资金需求，控制成本，分析财务指标，调整经营策略，创造最大利 润。</w:t>
            </w:r>
          </w:p>
          <w:p>
            <w:pPr>
              <w:autoSpaceDN w:val="0"/>
              <w:textAlignment w:val="center"/>
              <w:rPr>
                <w:rFonts w:hint="eastAsia" w:ascii="宋体" w:hAnsi="宋体"/>
              </w:rPr>
            </w:pPr>
            <w:r>
              <w:rPr>
                <w:rFonts w:hint="eastAsia" w:ascii="宋体" w:hAnsi="宋体"/>
              </w:rPr>
              <w:t>12. ★网店运营推广中针对SEO应设置最多7个优化标题关键词与买家搜索的关键词进行匹配的方式。</w:t>
            </w:r>
          </w:p>
          <w:p>
            <w:pPr>
              <w:autoSpaceDN w:val="0"/>
              <w:textAlignment w:val="center"/>
              <w:rPr>
                <w:rFonts w:hint="eastAsia" w:ascii="宋体" w:hAnsi="宋体"/>
              </w:rPr>
            </w:pPr>
            <w:r>
              <w:rPr>
                <w:rFonts w:hint="eastAsia" w:ascii="宋体" w:hAnsi="宋体"/>
              </w:rPr>
              <w:t>13. 网店运营推广中可以针对每个商品设置多个推广组，并能针对不同关键词设定不同的竞价价格以更好的达到SEM推广效果。</w:t>
            </w:r>
          </w:p>
          <w:p>
            <w:pPr>
              <w:autoSpaceDN w:val="0"/>
              <w:textAlignment w:val="center"/>
              <w:rPr>
                <w:rFonts w:hint="eastAsia" w:ascii="宋体" w:hAnsi="宋体"/>
              </w:rPr>
            </w:pPr>
            <w:r>
              <w:rPr>
                <w:rFonts w:hint="eastAsia" w:ascii="宋体" w:hAnsi="宋体"/>
              </w:rPr>
              <w:t>14. ★运营推广中针对站外推广应设 计通过央视、网络广告联盟、百度竞价排名等渠道来获取流量的实训任务。</w:t>
            </w:r>
          </w:p>
          <w:p>
            <w:pPr>
              <w:autoSpaceDN w:val="0"/>
              <w:textAlignment w:val="center"/>
              <w:rPr>
                <w:rFonts w:hint="eastAsia" w:ascii="宋体" w:hAnsi="宋体"/>
              </w:rPr>
            </w:pPr>
            <w:r>
              <w:rPr>
                <w:rFonts w:hint="eastAsia" w:ascii="宋体" w:hAnsi="宋体"/>
              </w:rPr>
              <w:t xml:space="preserve">15. ★运营推广中应设置相关的辅助工具,包括:店铺管理、员工管理、库存管理、媒体中标信息、采购中标信息、物流路线查询、物流折扣管理、排行榜、企业信息等； </w:t>
            </w:r>
          </w:p>
          <w:p>
            <w:pPr>
              <w:autoSpaceDN w:val="0"/>
              <w:textAlignment w:val="center"/>
              <w:rPr>
                <w:rFonts w:hint="eastAsia" w:ascii="宋体" w:hAnsi="宋体"/>
              </w:rPr>
            </w:pPr>
            <w:r>
              <w:rPr>
                <w:rFonts w:hint="eastAsia" w:ascii="宋体" w:hAnsi="宋体"/>
              </w:rPr>
              <w:t xml:space="preserve">16. ★ 运营推广中应设置相关的经营分析内容，包括：现金流量表、财务报表、市场 占有率、订单汇总统计、进店关键词分析等； </w:t>
            </w:r>
          </w:p>
          <w:p>
            <w:pPr>
              <w:autoSpaceDN w:val="0"/>
              <w:textAlignment w:val="center"/>
              <w:rPr>
                <w:rFonts w:hint="eastAsia" w:ascii="宋体" w:hAnsi="宋体"/>
              </w:rPr>
            </w:pPr>
            <w:r>
              <w:rPr>
                <w:rFonts w:hint="eastAsia" w:ascii="宋体" w:hAnsi="宋体"/>
              </w:rPr>
              <w:t>17. 网店客户服务设 计应采用机器人模拟至少30个买家，让学生通过在线即时聊天工具完成多类目商品售前、售中、售 后 服务，针对卖家的回复采用软件自动评分；</w:t>
            </w:r>
          </w:p>
          <w:p>
            <w:pPr>
              <w:autoSpaceDN w:val="0"/>
              <w:textAlignment w:val="center"/>
              <w:rPr>
                <w:rFonts w:hint="eastAsia" w:ascii="宋体" w:hAnsi="宋体"/>
              </w:rPr>
            </w:pPr>
            <w:r>
              <w:rPr>
                <w:rFonts w:hint="eastAsia" w:ascii="宋体" w:hAnsi="宋体"/>
              </w:rPr>
              <w:t>18. 网店客户服务中应提供背景资料，提供常见问题解答(规定话术)；</w:t>
            </w:r>
          </w:p>
          <w:p>
            <w:pPr>
              <w:autoSpaceDN w:val="0"/>
              <w:textAlignment w:val="center"/>
              <w:rPr>
                <w:rFonts w:hint="eastAsia" w:ascii="宋体" w:hAnsi="宋体"/>
              </w:rPr>
            </w:pPr>
            <w:r>
              <w:rPr>
                <w:rFonts w:hint="eastAsia" w:ascii="宋体" w:hAnsi="宋体"/>
              </w:rPr>
              <w:t>19. 网店客户服务中应提供快捷回复设置,以方便学生进行规定话术设置，以提高响应速度；</w:t>
            </w:r>
          </w:p>
          <w:p>
            <w:pPr>
              <w:autoSpaceDN w:val="0"/>
              <w:textAlignment w:val="center"/>
              <w:rPr>
                <w:rFonts w:hint="eastAsia" w:ascii="宋体" w:hAnsi="宋体"/>
              </w:rPr>
            </w:pPr>
            <w:r>
              <w:rPr>
                <w:rFonts w:hint="eastAsia" w:ascii="宋体" w:hAnsi="宋体"/>
              </w:rPr>
              <w:t>20. 网店客户服务中，学生在回答每一个问题后，系统需有相应的反馈，显示这道题是否回答正确、得分多少、耗时多少等信息。</w:t>
            </w:r>
          </w:p>
          <w:p>
            <w:pPr>
              <w:autoSpaceDN w:val="0"/>
              <w:textAlignment w:val="center"/>
              <w:rPr>
                <w:rFonts w:hint="eastAsia" w:ascii="宋体" w:hAnsi="宋体"/>
              </w:rPr>
            </w:pPr>
            <w:r>
              <w:rPr>
                <w:rFonts w:hint="eastAsia" w:ascii="宋体" w:hAnsi="宋体"/>
              </w:rPr>
              <w:t>21. 网店客户服务中针对学生训练的不同水平，可设置每一道题的答题响应时间。</w:t>
            </w:r>
          </w:p>
          <w:p>
            <w:pPr>
              <w:autoSpaceDN w:val="0"/>
              <w:textAlignment w:val="center"/>
              <w:rPr>
                <w:rFonts w:hint="eastAsia" w:ascii="宋体" w:hAnsi="宋体"/>
              </w:rPr>
            </w:pPr>
            <w:r>
              <w:rPr>
                <w:rFonts w:hint="eastAsia" w:ascii="宋体" w:hAnsi="宋体"/>
              </w:rPr>
              <w:t>22. 网店客户服务中教师可以看到学生的答题情况，包括分数、答题数目、答题时间等信息，方便教学信息统计与管理。</w:t>
            </w:r>
          </w:p>
          <w:p>
            <w:pPr>
              <w:autoSpaceDN w:val="0"/>
              <w:textAlignment w:val="center"/>
              <w:rPr>
                <w:rFonts w:hint="eastAsia" w:ascii="宋体" w:hAnsi="宋体"/>
              </w:rPr>
            </w:pP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宋体" w:cs="Arial"/>
                <w:sz w:val="24"/>
              </w:rPr>
            </w:pPr>
            <w:r>
              <w:rPr>
                <w:rFonts w:hint="eastAsia" w:ascii="宋体" w:cs="Arial"/>
                <w:sz w:val="24"/>
              </w:rPr>
              <w:t>1</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1</w:t>
            </w:r>
            <w:r>
              <w:rPr>
                <w:sz w:val="24"/>
              </w:rPr>
              <w:t>78000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rPr>
            </w:pPr>
            <w:r>
              <w:rPr>
                <w:rFonts w:hint="eastAsia" w:ascii="宋体" w:hAnsi="宋体"/>
              </w:rPr>
              <w:t>各厂家价格对比</w:t>
            </w:r>
          </w:p>
        </w:tc>
        <w:tc>
          <w:tcPr>
            <w:tcW w:w="474"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ascii="宋体" w:hAnsi="宋体"/>
              </w:rPr>
            </w:pPr>
            <w:r>
              <w:rPr>
                <w:rFonts w:hint="eastAsia"/>
                <w:sz w:val="24"/>
              </w:rPr>
              <w:t>1</w:t>
            </w:r>
            <w:r>
              <w:rPr>
                <w:sz w:val="24"/>
              </w:rPr>
              <w:t>78000</w:t>
            </w:r>
          </w:p>
        </w:tc>
        <w:tc>
          <w:tcPr>
            <w:tcW w:w="461"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宋体" w:hAnsi="宋体"/>
              </w:rPr>
            </w:pPr>
            <w:r>
              <w:rPr>
                <w:rFonts w:hint="eastAsia" w:ascii="宋体" w:hAnsi="宋体"/>
              </w:rPr>
              <w:t>市场营销综合实训与竞赛系统</w:t>
            </w:r>
          </w:p>
        </w:tc>
        <w:tc>
          <w:tcPr>
            <w:tcW w:w="1998" w:type="pct"/>
            <w:tcBorders>
              <w:top w:val="single" w:color="auto" w:sz="4" w:space="0"/>
              <w:left w:val="nil"/>
              <w:bottom w:val="single" w:color="auto" w:sz="4" w:space="0"/>
              <w:right w:val="single" w:color="auto" w:sz="4" w:space="0"/>
            </w:tcBorders>
            <w:noWrap w:val="0"/>
            <w:vAlign w:val="center"/>
          </w:tcPr>
          <w:p>
            <w:pPr>
              <w:autoSpaceDN w:val="0"/>
              <w:textAlignment w:val="center"/>
              <w:rPr>
                <w:rFonts w:hint="eastAsia" w:ascii="宋体" w:hAnsi="宋体"/>
              </w:rPr>
            </w:pPr>
            <w:r>
              <w:rPr>
                <w:rFonts w:hint="eastAsia" w:ascii="宋体" w:hAnsi="宋体"/>
              </w:rPr>
              <w:t>一、总体要求</w:t>
            </w:r>
          </w:p>
          <w:p>
            <w:pPr>
              <w:autoSpaceDN w:val="0"/>
              <w:textAlignment w:val="center"/>
              <w:rPr>
                <w:rFonts w:hint="eastAsia" w:ascii="宋体" w:hAnsi="宋体"/>
              </w:rPr>
            </w:pPr>
            <w:r>
              <w:rPr>
                <w:rFonts w:hint="eastAsia" w:ascii="宋体" w:hAnsi="宋体"/>
              </w:rPr>
              <w:t>本项目以培养市场营销行业急需人才的核心能力为目标, 以企业营销与策划的实践为核心，结合相关教学资源,锻炼学生的市场调研与分析、销售模式的分析、消费者行为分析、产品定位与功能定位、竞争对手分析和选择目标市场及团队合作能力,提升市场营销类专业学生的技术技能水平, 提高人才培养质量,促进市场营销专业建设和改革,有效推进专业建设与产业发展对接 。系统可满足福建省电子商务职业技能竞赛的实训需求</w:t>
            </w:r>
          </w:p>
          <w:p>
            <w:pPr>
              <w:autoSpaceDN w:val="0"/>
              <w:textAlignment w:val="center"/>
              <w:rPr>
                <w:rFonts w:hint="eastAsia" w:ascii="宋体" w:hAnsi="宋体"/>
              </w:rPr>
            </w:pPr>
            <w:r>
              <w:rPr>
                <w:rFonts w:hint="eastAsia" w:ascii="宋体" w:hAnsi="宋体"/>
              </w:rPr>
              <w:t>二、技术及功能要求</w:t>
            </w:r>
          </w:p>
          <w:p>
            <w:pPr>
              <w:autoSpaceDN w:val="0"/>
              <w:textAlignment w:val="center"/>
              <w:rPr>
                <w:rFonts w:hint="eastAsia" w:ascii="宋体" w:hAnsi="宋体"/>
              </w:rPr>
            </w:pPr>
            <w:r>
              <w:rPr>
                <w:rFonts w:hint="eastAsia" w:ascii="宋体" w:hAnsi="宋体"/>
              </w:rPr>
              <w:t>1.</w:t>
            </w:r>
            <w:r>
              <w:rPr>
                <w:rFonts w:hint="eastAsia" w:ascii="宋体" w:hAnsi="宋体"/>
              </w:rPr>
              <w:tab/>
            </w:r>
            <w:r>
              <w:rPr>
                <w:rFonts w:hint="eastAsia" w:ascii="宋体" w:hAnsi="宋体"/>
              </w:rPr>
              <w:t>系统应基于B/S架构设计，不需要安装客户端，通过浏览器访问，可支持基于校园网的应用；</w:t>
            </w:r>
          </w:p>
          <w:p>
            <w:pPr>
              <w:autoSpaceDN w:val="0"/>
              <w:textAlignment w:val="center"/>
              <w:rPr>
                <w:rFonts w:hint="eastAsia" w:ascii="宋体" w:hAnsi="宋体"/>
              </w:rPr>
            </w:pPr>
            <w:r>
              <w:rPr>
                <w:rFonts w:hint="eastAsia" w:ascii="宋体" w:hAnsi="宋体"/>
              </w:rPr>
              <w:t>2.</w:t>
            </w:r>
            <w:r>
              <w:rPr>
                <w:rFonts w:hint="eastAsia" w:ascii="宋体" w:hAnsi="宋体"/>
              </w:rPr>
              <w:tab/>
            </w:r>
            <w:r>
              <w:rPr>
                <w:rFonts w:hint="eastAsia" w:ascii="宋体" w:hAnsi="宋体"/>
              </w:rPr>
              <w:t>系统应设置在线升级和自动升级按钮，无需下载升级包便可一键升级；</w:t>
            </w:r>
          </w:p>
          <w:p>
            <w:pPr>
              <w:autoSpaceDN w:val="0"/>
              <w:textAlignment w:val="center"/>
              <w:rPr>
                <w:rFonts w:hint="eastAsia" w:ascii="宋体" w:hAnsi="宋体"/>
              </w:rPr>
            </w:pPr>
            <w:r>
              <w:rPr>
                <w:rFonts w:hint="eastAsia" w:ascii="宋体" w:hAnsi="宋体"/>
              </w:rPr>
              <w:t>3.</w:t>
            </w:r>
            <w:r>
              <w:rPr>
                <w:rFonts w:hint="eastAsia" w:ascii="宋体" w:hAnsi="宋体"/>
              </w:rPr>
              <w:tab/>
            </w:r>
            <w:r>
              <w:rPr>
                <w:rFonts w:hint="eastAsia" w:ascii="宋体" w:hAnsi="宋体"/>
              </w:rPr>
              <w:t>系统的操作界面由经营状态和任务导航两部分组成。经营状态能够形象直观的显示企业的基本运营状态。采用典型工作任务驱动的方式开展教学，不能使用复杂的参数表、层层定义来实现各功能的模式；</w:t>
            </w:r>
          </w:p>
          <w:p>
            <w:pPr>
              <w:autoSpaceDN w:val="0"/>
              <w:textAlignment w:val="center"/>
              <w:rPr>
                <w:rFonts w:hint="eastAsia" w:ascii="宋体" w:hAnsi="宋体"/>
              </w:rPr>
            </w:pPr>
            <w:r>
              <w:rPr>
                <w:rFonts w:hint="eastAsia" w:ascii="宋体" w:hAnsi="宋体"/>
              </w:rPr>
              <w:t>4.</w:t>
            </w:r>
            <w:r>
              <w:rPr>
                <w:rFonts w:hint="eastAsia" w:ascii="宋体" w:hAnsi="宋体"/>
              </w:rPr>
              <w:tab/>
            </w:r>
            <w:r>
              <w:rPr>
                <w:rFonts w:hint="eastAsia" w:ascii="宋体" w:hAnsi="宋体"/>
              </w:rPr>
              <w:t>系统需将规则嵌入到相应操作步骤中，针对每一步重要的操作采用确认提醒机制，避免不必要失误；</w:t>
            </w:r>
          </w:p>
          <w:p>
            <w:pPr>
              <w:autoSpaceDN w:val="0"/>
              <w:textAlignment w:val="center"/>
              <w:rPr>
                <w:rFonts w:hint="eastAsia" w:ascii="宋体" w:hAnsi="宋体"/>
              </w:rPr>
            </w:pPr>
            <w:r>
              <w:rPr>
                <w:rFonts w:hint="eastAsia" w:ascii="宋体" w:hAnsi="宋体"/>
              </w:rPr>
              <w:t>5.</w:t>
            </w:r>
            <w:r>
              <w:rPr>
                <w:rFonts w:hint="eastAsia" w:ascii="宋体" w:hAnsi="宋体"/>
              </w:rPr>
              <w:tab/>
            </w:r>
            <w:r>
              <w:rPr>
                <w:rFonts w:hint="eastAsia" w:ascii="宋体" w:hAnsi="宋体"/>
              </w:rPr>
              <w:t>系统需设计公司总裁、营销总监、直销经理、批发经理、零售经理、运营总监、财务总监7个角色；</w:t>
            </w:r>
          </w:p>
          <w:p>
            <w:pPr>
              <w:autoSpaceDN w:val="0"/>
              <w:textAlignment w:val="center"/>
              <w:rPr>
                <w:rFonts w:hint="eastAsia" w:ascii="宋体" w:hAnsi="宋体"/>
              </w:rPr>
            </w:pPr>
            <w:r>
              <w:rPr>
                <w:rFonts w:hint="eastAsia" w:ascii="宋体" w:hAnsi="宋体"/>
              </w:rPr>
              <w:t>6.</w:t>
            </w:r>
            <w:r>
              <w:rPr>
                <w:rFonts w:hint="eastAsia" w:ascii="宋体" w:hAnsi="宋体"/>
              </w:rPr>
              <w:tab/>
            </w:r>
            <w:r>
              <w:rPr>
                <w:rFonts w:hint="eastAsia" w:ascii="宋体" w:hAnsi="宋体"/>
              </w:rPr>
              <w:t>★系统需设计直销、批发、零售三种销售模式；</w:t>
            </w:r>
          </w:p>
          <w:p>
            <w:pPr>
              <w:autoSpaceDN w:val="0"/>
              <w:textAlignment w:val="center"/>
              <w:rPr>
                <w:rFonts w:hint="eastAsia" w:ascii="宋体" w:hAnsi="宋体"/>
              </w:rPr>
            </w:pPr>
            <w:r>
              <w:rPr>
                <w:rFonts w:hint="eastAsia" w:ascii="宋体" w:hAnsi="宋体"/>
              </w:rPr>
              <w:t>7.</w:t>
            </w:r>
            <w:r>
              <w:rPr>
                <w:rFonts w:hint="eastAsia" w:ascii="宋体" w:hAnsi="宋体"/>
              </w:rPr>
              <w:tab/>
            </w:r>
            <w:r>
              <w:rPr>
                <w:rFonts w:hint="eastAsia" w:ascii="宋体" w:hAnsi="宋体"/>
              </w:rPr>
              <w:t>★系统针对直销的销售流程设计应包含但不限于：开发客户、投标报名、资格预审、购买标书、投标、中标公示等；</w:t>
            </w:r>
          </w:p>
          <w:p>
            <w:pPr>
              <w:autoSpaceDN w:val="0"/>
              <w:textAlignment w:val="center"/>
              <w:rPr>
                <w:rFonts w:hint="eastAsia" w:ascii="宋体" w:hAnsi="宋体"/>
              </w:rPr>
            </w:pPr>
            <w:r>
              <w:rPr>
                <w:rFonts w:hint="eastAsia" w:ascii="宋体" w:hAnsi="宋体"/>
              </w:rPr>
              <w:t>8.</w:t>
            </w:r>
            <w:r>
              <w:rPr>
                <w:rFonts w:hint="eastAsia" w:ascii="宋体" w:hAnsi="宋体"/>
              </w:rPr>
              <w:tab/>
            </w:r>
            <w:r>
              <w:rPr>
                <w:rFonts w:hint="eastAsia" w:ascii="宋体" w:hAnsi="宋体"/>
              </w:rPr>
              <w:t>系统针对批发选单需自动判断在每个产品的每个市场各小组投入广告费用的多少，并按照由高到低的顺序进行排序，决定各小组选单顺序，并且可以允许多小组多市场同时进行订单选择；</w:t>
            </w:r>
          </w:p>
          <w:p>
            <w:pPr>
              <w:autoSpaceDN w:val="0"/>
              <w:textAlignment w:val="center"/>
              <w:rPr>
                <w:rFonts w:hint="eastAsia" w:ascii="宋体" w:hAnsi="宋体"/>
              </w:rPr>
            </w:pPr>
            <w:r>
              <w:rPr>
                <w:rFonts w:hint="eastAsia" w:ascii="宋体" w:hAnsi="宋体"/>
              </w:rPr>
              <w:t>9.</w:t>
            </w:r>
            <w:r>
              <w:rPr>
                <w:rFonts w:hint="eastAsia" w:ascii="宋体" w:hAnsi="宋体"/>
              </w:rPr>
              <w:tab/>
            </w:r>
            <w:r>
              <w:rPr>
                <w:rFonts w:hint="eastAsia" w:ascii="宋体" w:hAnsi="宋体"/>
              </w:rPr>
              <w:t>★系统需针对零售设计多类消费人群，包含但不限于：情感型、习惯型、理智型、冲动型、经济型、不定型，并针对不同消费人群设计不同的成交策略，提升学生在价格、促销、媒体广告等多方位策略组合的能力；</w:t>
            </w:r>
          </w:p>
          <w:p>
            <w:pPr>
              <w:autoSpaceDN w:val="0"/>
              <w:textAlignment w:val="center"/>
              <w:rPr>
                <w:rFonts w:hint="eastAsia" w:ascii="宋体" w:hAnsi="宋体"/>
              </w:rPr>
            </w:pPr>
            <w:r>
              <w:rPr>
                <w:rFonts w:hint="eastAsia" w:ascii="宋体" w:hAnsi="宋体"/>
              </w:rPr>
              <w:t>10.</w:t>
            </w:r>
            <w:r>
              <w:rPr>
                <w:rFonts w:hint="eastAsia" w:ascii="宋体" w:hAnsi="宋体"/>
              </w:rPr>
              <w:tab/>
            </w:r>
            <w:r>
              <w:rPr>
                <w:rFonts w:hint="eastAsia" w:ascii="宋体" w:hAnsi="宋体"/>
              </w:rPr>
              <w:t>★系统针对零售商应设定相应的参数，包括：市场覆盖率、市场敏感度、回款周期、管理费、进场费等；</w:t>
            </w:r>
          </w:p>
          <w:p>
            <w:pPr>
              <w:autoSpaceDN w:val="0"/>
              <w:textAlignment w:val="center"/>
              <w:rPr>
                <w:rFonts w:hint="eastAsia" w:ascii="宋体" w:hAnsi="宋体"/>
              </w:rPr>
            </w:pPr>
            <w:r>
              <w:rPr>
                <w:rFonts w:hint="eastAsia" w:ascii="宋体" w:hAnsi="宋体"/>
              </w:rPr>
              <w:t>11.</w:t>
            </w:r>
            <w:r>
              <w:rPr>
                <w:rFonts w:hint="eastAsia" w:ascii="宋体" w:hAnsi="宋体"/>
              </w:rPr>
              <w:tab/>
            </w:r>
            <w:r>
              <w:rPr>
                <w:rFonts w:hint="eastAsia" w:ascii="宋体" w:hAnsi="宋体"/>
              </w:rPr>
              <w:t>系统需要针对特定的人群设计产品的流行功能和基本功能，且产品的流行功能应具有一定的流行周期；</w:t>
            </w:r>
          </w:p>
          <w:p>
            <w:pPr>
              <w:autoSpaceDN w:val="0"/>
              <w:textAlignment w:val="center"/>
              <w:rPr>
                <w:rFonts w:hint="eastAsia" w:ascii="宋体" w:hAnsi="宋体"/>
              </w:rPr>
            </w:pPr>
            <w:r>
              <w:rPr>
                <w:rFonts w:hint="eastAsia" w:ascii="宋体" w:hAnsi="宋体"/>
              </w:rPr>
              <w:t>12.</w:t>
            </w:r>
            <w:r>
              <w:rPr>
                <w:rFonts w:hint="eastAsia" w:ascii="宋体" w:hAnsi="宋体"/>
              </w:rPr>
              <w:tab/>
            </w:r>
            <w:r>
              <w:rPr>
                <w:rFonts w:hint="eastAsia" w:ascii="宋体" w:hAnsi="宋体"/>
              </w:rPr>
              <w:t>系统可让学生针对不同的零售商和不同的产品自主设定多种促销活动，包含但不限于：满就送、多买折扣、买第几件折扣等。</w:t>
            </w:r>
          </w:p>
          <w:p>
            <w:pPr>
              <w:autoSpaceDN w:val="0"/>
              <w:textAlignment w:val="center"/>
              <w:rPr>
                <w:rFonts w:hint="eastAsia" w:ascii="宋体" w:hAnsi="宋体"/>
              </w:rPr>
            </w:pPr>
            <w:r>
              <w:rPr>
                <w:rFonts w:hint="eastAsia" w:ascii="宋体" w:hAnsi="宋体"/>
              </w:rPr>
              <w:t>13.</w:t>
            </w:r>
            <w:r>
              <w:rPr>
                <w:rFonts w:hint="eastAsia" w:ascii="宋体" w:hAnsi="宋体"/>
              </w:rPr>
              <w:tab/>
            </w:r>
            <w:r>
              <w:rPr>
                <w:rFonts w:hint="eastAsia" w:ascii="宋体" w:hAnsi="宋体"/>
              </w:rPr>
              <w:t>系统需设计市场需求的波动来锻炼学生的应变能力；</w:t>
            </w:r>
          </w:p>
          <w:p>
            <w:pPr>
              <w:autoSpaceDN w:val="0"/>
              <w:textAlignment w:val="center"/>
              <w:rPr>
                <w:rFonts w:hint="eastAsia" w:ascii="宋体" w:hAnsi="宋体"/>
              </w:rPr>
            </w:pPr>
            <w:r>
              <w:rPr>
                <w:rFonts w:hint="eastAsia" w:ascii="宋体" w:hAnsi="宋体"/>
              </w:rPr>
              <w:t>14.</w:t>
            </w:r>
            <w:r>
              <w:rPr>
                <w:rFonts w:hint="eastAsia" w:ascii="宋体" w:hAnsi="宋体"/>
              </w:rPr>
              <w:tab/>
            </w:r>
            <w:r>
              <w:rPr>
                <w:rFonts w:hint="eastAsia" w:ascii="宋体" w:hAnsi="宋体"/>
              </w:rPr>
              <w:t>★系统需设计价格需求弹性系数等，锻炼学生针对价格和销售量进行分析和评估的能力；</w:t>
            </w:r>
          </w:p>
          <w:p>
            <w:pPr>
              <w:autoSpaceDN w:val="0"/>
              <w:textAlignment w:val="center"/>
              <w:rPr>
                <w:rFonts w:hint="eastAsia" w:ascii="宋体" w:hAnsi="宋体"/>
              </w:rPr>
            </w:pPr>
            <w:r>
              <w:rPr>
                <w:rFonts w:hint="eastAsia" w:ascii="宋体" w:hAnsi="宋体"/>
              </w:rPr>
              <w:t>15.</w:t>
            </w:r>
            <w:r>
              <w:rPr>
                <w:rFonts w:hint="eastAsia" w:ascii="宋体" w:hAnsi="宋体"/>
              </w:rPr>
              <w:tab/>
            </w:r>
            <w:r>
              <w:rPr>
                <w:rFonts w:hint="eastAsia" w:ascii="宋体" w:hAnsi="宋体"/>
              </w:rPr>
              <w:t>系统需具有特殊任务功能，包括：产品型号管理、紧急采购、库存调拨等主要功能；</w:t>
            </w:r>
          </w:p>
          <w:p>
            <w:pPr>
              <w:autoSpaceDN w:val="0"/>
              <w:textAlignment w:val="center"/>
              <w:rPr>
                <w:rFonts w:hint="eastAsia" w:ascii="宋体" w:hAnsi="宋体"/>
              </w:rPr>
            </w:pPr>
            <w:r>
              <w:rPr>
                <w:rFonts w:hint="eastAsia" w:ascii="宋体" w:hAnsi="宋体"/>
              </w:rPr>
              <w:t>16.</w:t>
            </w:r>
            <w:r>
              <w:rPr>
                <w:rFonts w:hint="eastAsia" w:ascii="宋体" w:hAnsi="宋体"/>
              </w:rPr>
              <w:tab/>
            </w:r>
            <w:r>
              <w:rPr>
                <w:rFonts w:hint="eastAsia" w:ascii="宋体" w:hAnsi="宋体"/>
              </w:rPr>
              <w:t>★系统需设计多种数据分析模型，提升学生数据分析能力。包括:现金流量表、各组财务报表、市场占有率、直销中标公示、媒体中标信息、各组零售订单信息、企业信息等；</w:t>
            </w:r>
          </w:p>
          <w:p>
            <w:pPr>
              <w:autoSpaceDN w:val="0"/>
              <w:textAlignment w:val="center"/>
              <w:rPr>
                <w:rFonts w:hint="eastAsia" w:ascii="宋体" w:hAnsi="宋体"/>
              </w:rPr>
            </w:pPr>
            <w:r>
              <w:rPr>
                <w:rFonts w:hint="eastAsia" w:ascii="宋体" w:hAnsi="宋体"/>
              </w:rPr>
              <w:t>17.</w:t>
            </w:r>
            <w:r>
              <w:rPr>
                <w:rFonts w:hint="eastAsia" w:ascii="宋体" w:hAnsi="宋体"/>
              </w:rPr>
              <w:tab/>
            </w:r>
            <w:r>
              <w:rPr>
                <w:rFonts w:hint="eastAsia" w:ascii="宋体" w:hAnsi="宋体"/>
              </w:rPr>
              <w:t>系统教师端具有直销竞标、批发竞标、媒体广告招标的控制功能；</w:t>
            </w:r>
          </w:p>
          <w:p>
            <w:pPr>
              <w:autoSpaceDN w:val="0"/>
              <w:textAlignment w:val="center"/>
              <w:rPr>
                <w:rFonts w:hint="eastAsia" w:ascii="宋体" w:hAnsi="宋体"/>
              </w:rPr>
            </w:pPr>
            <w:r>
              <w:rPr>
                <w:rFonts w:hint="eastAsia" w:ascii="宋体" w:hAnsi="宋体"/>
              </w:rPr>
              <w:t>18.</w:t>
            </w:r>
            <w:r>
              <w:rPr>
                <w:rFonts w:hint="eastAsia" w:ascii="宋体" w:hAnsi="宋体"/>
              </w:rPr>
              <w:tab/>
            </w:r>
            <w:r>
              <w:rPr>
                <w:rFonts w:hint="eastAsia" w:ascii="宋体" w:hAnsi="宋体"/>
              </w:rPr>
              <w:t>★系统教师端能够灵活进行系统期初设置；设置参数包括:市场需求倍率、购买标书费、贷款权益倍数、短贷还款期限(季度)、长贷还款期限(年)、生产线折旧率、变卖厂房收款帐期(季度)、客户开发费等。</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宋体" w:cs="Arial"/>
                <w:sz w:val="24"/>
              </w:rPr>
            </w:pPr>
            <w:r>
              <w:rPr>
                <w:rFonts w:hint="eastAsia" w:ascii="宋体" w:cs="Arial"/>
                <w:sz w:val="24"/>
              </w:rPr>
              <w:t>1</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9</w:t>
            </w:r>
            <w:r>
              <w:rPr>
                <w:sz w:val="24"/>
              </w:rPr>
              <w:t>6000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rPr>
            </w:pPr>
            <w:r>
              <w:rPr>
                <w:rFonts w:hint="eastAsia" w:ascii="宋体" w:hAnsi="宋体"/>
              </w:rPr>
              <w:t>各厂家价格对比</w:t>
            </w:r>
          </w:p>
        </w:tc>
        <w:tc>
          <w:tcPr>
            <w:tcW w:w="474"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rPr>
            </w:pPr>
            <w:r>
              <w:rPr>
                <w:rFonts w:hint="eastAsia" w:ascii="宋体" w:hAnsi="宋体"/>
              </w:rPr>
              <w:t>9</w:t>
            </w:r>
            <w:r>
              <w:rPr>
                <w:rFonts w:ascii="宋体" w:hAnsi="宋体"/>
              </w:rPr>
              <w:t>6000</w:t>
            </w:r>
          </w:p>
        </w:tc>
        <w:tc>
          <w:tcPr>
            <w:tcW w:w="461" w:type="pct"/>
            <w:tcBorders>
              <w:top w:val="single" w:color="auto" w:sz="4" w:space="0"/>
              <w:left w:val="nil"/>
              <w:bottom w:val="single" w:color="auto" w:sz="4" w:space="0"/>
              <w:right w:val="single" w:color="auto" w:sz="12" w:space="0"/>
            </w:tcBorders>
            <w:noWrap w:val="0"/>
            <w:vAlign w:val="center"/>
          </w:tcPr>
          <w:p>
            <w:pPr>
              <w:jc w:val="cente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ascii="宋体" w:hAnsi="宋体" w:cs="宋体"/>
                <w:kern w:val="0"/>
                <w:szCs w:val="21"/>
              </w:rPr>
              <w:t>…</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宋体" w:hAnsi="宋体"/>
                <w:szCs w:val="21"/>
              </w:rPr>
            </w:pPr>
          </w:p>
        </w:tc>
        <w:tc>
          <w:tcPr>
            <w:tcW w:w="1998" w:type="pct"/>
            <w:tcBorders>
              <w:top w:val="single" w:color="auto" w:sz="4" w:space="0"/>
              <w:left w:val="nil"/>
              <w:bottom w:val="single" w:color="auto" w:sz="4" w:space="0"/>
              <w:right w:val="single" w:color="auto" w:sz="4" w:space="0"/>
            </w:tcBorders>
            <w:noWrap w:val="0"/>
            <w:vAlign w:val="center"/>
          </w:tcPr>
          <w:p>
            <w:pPr>
              <w:tabs>
                <w:tab w:val="left" w:pos="6840"/>
              </w:tabs>
              <w:rPr>
                <w:rFonts w:hint="eastAsia" w:ascii="宋体" w:hAnsi="宋体"/>
                <w:szCs w:val="21"/>
              </w:rPr>
            </w:pPr>
          </w:p>
        </w:tc>
        <w:tc>
          <w:tcPr>
            <w:tcW w:w="311"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ascii="宋体" w:hAnsi="宋体"/>
                <w:szCs w:val="21"/>
              </w:rPr>
            </w:pPr>
          </w:p>
        </w:tc>
        <w:tc>
          <w:tcPr>
            <w:tcW w:w="436"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szCs w:val="21"/>
              </w:rPr>
            </w:pPr>
          </w:p>
        </w:tc>
        <w:tc>
          <w:tcPr>
            <w:tcW w:w="562"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rPr>
            </w:pPr>
          </w:p>
        </w:tc>
        <w:tc>
          <w:tcPr>
            <w:tcW w:w="474"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rPr>
            </w:pPr>
          </w:p>
        </w:tc>
        <w:tc>
          <w:tcPr>
            <w:tcW w:w="461" w:type="pct"/>
            <w:tcBorders>
              <w:top w:val="single" w:color="auto" w:sz="4" w:space="0"/>
              <w:left w:val="nil"/>
              <w:bottom w:val="single" w:color="auto" w:sz="4" w:space="0"/>
              <w:right w:val="single" w:color="auto" w:sz="12" w:space="0"/>
            </w:tcBorders>
            <w:noWrap w:val="0"/>
            <w:vAlign w:val="center"/>
          </w:tcPr>
          <w:p>
            <w:pPr>
              <w:widowControl/>
              <w:jc w:val="center"/>
              <w:rPr>
                <w:rFonts w:hint="eastAsia"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hint="eastAsia" w:ascii="宋体" w:hAnsi="宋体" w:cs="宋体"/>
                <w:kern w:val="0"/>
                <w:szCs w:val="21"/>
              </w:rPr>
            </w:pPr>
          </w:p>
        </w:tc>
        <w:tc>
          <w:tcPr>
            <w:tcW w:w="499" w:type="pct"/>
            <w:tcBorders>
              <w:top w:val="single" w:color="auto" w:sz="4" w:space="0"/>
              <w:left w:val="nil"/>
              <w:bottom w:val="single" w:color="auto" w:sz="12" w:space="0"/>
              <w:right w:val="single" w:color="000000" w:sz="4" w:space="0"/>
            </w:tcBorders>
            <w:noWrap w:val="0"/>
            <w:vAlign w:val="center"/>
          </w:tcPr>
          <w:p>
            <w:pPr>
              <w:autoSpaceDN w:val="0"/>
              <w:jc w:val="center"/>
              <w:textAlignment w:val="center"/>
              <w:rPr>
                <w:rFonts w:hint="eastAsia" w:ascii="宋体" w:hAnsi="宋体"/>
                <w:szCs w:val="21"/>
              </w:rPr>
            </w:pPr>
          </w:p>
        </w:tc>
        <w:tc>
          <w:tcPr>
            <w:tcW w:w="1998" w:type="pct"/>
            <w:tcBorders>
              <w:top w:val="single" w:color="auto" w:sz="4" w:space="0"/>
              <w:left w:val="nil"/>
              <w:bottom w:val="single" w:color="auto" w:sz="12" w:space="0"/>
              <w:right w:val="single" w:color="auto" w:sz="4" w:space="0"/>
            </w:tcBorders>
            <w:noWrap w:val="0"/>
            <w:vAlign w:val="center"/>
          </w:tcPr>
          <w:p>
            <w:pPr>
              <w:tabs>
                <w:tab w:val="left" w:pos="6840"/>
              </w:tabs>
              <w:rPr>
                <w:rFonts w:hint="eastAsia" w:ascii="宋体" w:hAnsi="宋体"/>
                <w:szCs w:val="21"/>
              </w:rPr>
            </w:pPr>
          </w:p>
        </w:tc>
        <w:tc>
          <w:tcPr>
            <w:tcW w:w="311"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ascii="宋体" w:hAnsi="宋体"/>
                <w:szCs w:val="21"/>
              </w:rPr>
            </w:pPr>
          </w:p>
        </w:tc>
        <w:tc>
          <w:tcPr>
            <w:tcW w:w="436"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宋体" w:hAnsi="宋体"/>
                <w:szCs w:val="21"/>
              </w:rPr>
            </w:pPr>
          </w:p>
        </w:tc>
        <w:tc>
          <w:tcPr>
            <w:tcW w:w="562" w:type="pct"/>
            <w:tcBorders>
              <w:top w:val="single" w:color="auto" w:sz="4" w:space="0"/>
              <w:left w:val="nil"/>
              <w:bottom w:val="single" w:color="auto" w:sz="12" w:space="0"/>
              <w:right w:val="single" w:color="auto" w:sz="4" w:space="0"/>
            </w:tcBorders>
            <w:noWrap w:val="0"/>
            <w:vAlign w:val="center"/>
          </w:tcPr>
          <w:p>
            <w:pPr>
              <w:tabs>
                <w:tab w:val="left" w:pos="6840"/>
              </w:tabs>
              <w:jc w:val="center"/>
              <w:rPr>
                <w:rFonts w:hint="eastAsia"/>
              </w:rPr>
            </w:pPr>
            <w:r>
              <w:rPr>
                <w:rFonts w:hint="eastAsia" w:ascii="宋体" w:hAnsi="宋体"/>
                <w:szCs w:val="21"/>
              </w:rPr>
              <w:t>合计</w:t>
            </w:r>
          </w:p>
        </w:tc>
        <w:tc>
          <w:tcPr>
            <w:tcW w:w="474" w:type="pct"/>
            <w:tcBorders>
              <w:top w:val="single" w:color="auto" w:sz="4" w:space="0"/>
              <w:left w:val="nil"/>
              <w:bottom w:val="single" w:color="auto" w:sz="12" w:space="0"/>
              <w:right w:val="single" w:color="auto" w:sz="4" w:space="0"/>
            </w:tcBorders>
            <w:noWrap w:val="0"/>
            <w:vAlign w:val="center"/>
          </w:tcPr>
          <w:p>
            <w:pPr>
              <w:tabs>
                <w:tab w:val="left" w:pos="6840"/>
              </w:tabs>
              <w:jc w:val="center"/>
              <w:rPr>
                <w:rFonts w:hint="eastAsia"/>
              </w:rPr>
            </w:pPr>
            <w:r>
              <w:rPr>
                <w:rFonts w:hint="eastAsia"/>
              </w:rPr>
              <w:t>274000</w:t>
            </w:r>
          </w:p>
        </w:tc>
        <w:tc>
          <w:tcPr>
            <w:tcW w:w="461" w:type="pct"/>
            <w:tcBorders>
              <w:top w:val="single" w:color="auto" w:sz="4" w:space="0"/>
              <w:left w:val="nil"/>
              <w:bottom w:val="single" w:color="auto" w:sz="12" w:space="0"/>
              <w:right w:val="single" w:color="auto" w:sz="12" w:space="0"/>
            </w:tcBorders>
            <w:noWrap w:val="0"/>
            <w:vAlign w:val="center"/>
          </w:tcPr>
          <w:p>
            <w:pPr>
              <w:widowControl/>
              <w:jc w:val="center"/>
              <w:rPr>
                <w:rFonts w:hint="eastAsia" w:ascii="宋体" w:hAnsi="宋体" w:cs="宋体"/>
                <w:kern w:val="0"/>
                <w:szCs w:val="21"/>
              </w:rPr>
            </w:pPr>
          </w:p>
        </w:tc>
      </w:tr>
    </w:tbl>
    <w:p>
      <w:pPr>
        <w:tabs>
          <w:tab w:val="left" w:pos="9555"/>
        </w:tabs>
        <w:rPr>
          <w:rFonts w:hint="eastAsia" w:ascii="宋体" w:hAnsi="宋体"/>
          <w:sz w:val="24"/>
        </w:rPr>
      </w:pPr>
    </w:p>
    <w:p>
      <w:pPr>
        <w:spacing w:line="360" w:lineRule="auto"/>
        <w:ind w:firstLine="10360" w:firstLineChars="4300"/>
        <w:rPr>
          <w:rFonts w:hint="eastAsia"/>
          <w:b/>
          <w:sz w:val="24"/>
        </w:rPr>
        <w:sectPr>
          <w:pgSz w:w="16838" w:h="11906" w:orient="landscape"/>
          <w:pgMar w:top="1797" w:right="1440" w:bottom="1797" w:left="1440" w:header="851" w:footer="992" w:gutter="0"/>
          <w:cols w:space="720" w:num="1"/>
          <w:docGrid w:type="lines" w:linePitch="312" w:charSpace="0"/>
        </w:sect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F44C1"/>
    <w:rsid w:val="04ED6554"/>
    <w:rsid w:val="094F44C1"/>
    <w:rsid w:val="0EA70944"/>
    <w:rsid w:val="19BE3EC3"/>
    <w:rsid w:val="22166B9E"/>
    <w:rsid w:val="32205D93"/>
    <w:rsid w:val="3CBF2473"/>
    <w:rsid w:val="600B673F"/>
    <w:rsid w:val="62DF62B6"/>
    <w:rsid w:val="63D94E7C"/>
    <w:rsid w:val="6BC0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2020-10-29T07:24:00Z</dcterms:created>
  <dc:creator>linqq</dc:creator>
  <cp:lastModifiedBy>linqq</cp:lastModifiedBy>
  <dcterms:modified xsi:type="dcterms:W3CDTF">2020-10-29T07:55:46Z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