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5E9C1">
      <w:pPr>
        <w:pStyle w:val="23"/>
        <w:spacing w:line="240" w:lineRule="auto"/>
        <w:ind w:firstLine="0"/>
        <w:jc w:val="center"/>
        <w:rPr>
          <w:rStyle w:val="50"/>
          <w:rFonts w:ascii="黑体"/>
          <w:b w:val="0"/>
          <w:sz w:val="52"/>
          <w:szCs w:val="52"/>
        </w:rPr>
      </w:pPr>
      <w:r>
        <w:rPr>
          <w:rStyle w:val="50"/>
          <w:rFonts w:ascii="黑体"/>
          <w:b w:val="0"/>
          <w:sz w:val="52"/>
          <w:szCs w:val="52"/>
        </w:rPr>
        <w:t>莆田市房屋建筑和市政基础设施工</w:t>
      </w:r>
      <w:r>
        <w:rPr>
          <w:rStyle w:val="50"/>
          <w:rFonts w:hint="eastAsia" w:ascii="黑体"/>
          <w:b w:val="0"/>
          <w:sz w:val="52"/>
          <w:szCs w:val="52"/>
        </w:rPr>
        <w:t>程</w:t>
      </w:r>
    </w:p>
    <w:p w14:paraId="1D041843">
      <w:pPr>
        <w:pStyle w:val="23"/>
        <w:spacing w:line="240" w:lineRule="auto"/>
        <w:ind w:firstLine="720" w:firstLineChars="200"/>
        <w:rPr>
          <w:rFonts w:hint="eastAsia" w:ascii="宋体" w:hAnsi="宋体"/>
          <w:spacing w:val="60"/>
          <w:sz w:val="24"/>
        </w:rPr>
      </w:pPr>
    </w:p>
    <w:p w14:paraId="362E175E">
      <w:pPr>
        <w:pStyle w:val="23"/>
        <w:spacing w:line="240" w:lineRule="auto"/>
        <w:ind w:firstLine="720" w:firstLineChars="200"/>
        <w:rPr>
          <w:rFonts w:hint="eastAsia" w:ascii="宋体" w:hAnsi="宋体"/>
          <w:spacing w:val="60"/>
          <w:sz w:val="24"/>
        </w:rPr>
      </w:pPr>
    </w:p>
    <w:p w14:paraId="7BD49C29">
      <w:pPr>
        <w:pStyle w:val="23"/>
        <w:spacing w:line="240" w:lineRule="auto"/>
        <w:ind w:firstLine="720" w:firstLineChars="200"/>
        <w:rPr>
          <w:rFonts w:hint="eastAsia" w:ascii="宋体" w:hAnsi="宋体"/>
          <w:spacing w:val="60"/>
          <w:sz w:val="24"/>
        </w:rPr>
      </w:pPr>
    </w:p>
    <w:p w14:paraId="6D04E20B">
      <w:pPr>
        <w:pStyle w:val="23"/>
        <w:spacing w:line="240" w:lineRule="auto"/>
        <w:ind w:firstLine="720" w:firstLineChars="200"/>
        <w:rPr>
          <w:rFonts w:hint="eastAsia" w:ascii="宋体" w:hAnsi="宋体"/>
          <w:spacing w:val="60"/>
          <w:sz w:val="24"/>
        </w:rPr>
      </w:pPr>
    </w:p>
    <w:p w14:paraId="5FE33418">
      <w:pPr>
        <w:pStyle w:val="23"/>
        <w:spacing w:line="240" w:lineRule="auto"/>
        <w:ind w:firstLine="720" w:firstLineChars="200"/>
        <w:rPr>
          <w:rFonts w:hint="eastAsia" w:ascii="宋体" w:hAnsi="宋体"/>
          <w:spacing w:val="60"/>
          <w:sz w:val="24"/>
        </w:rPr>
      </w:pPr>
    </w:p>
    <w:p w14:paraId="7530094B">
      <w:pPr>
        <w:pStyle w:val="23"/>
        <w:spacing w:line="240" w:lineRule="auto"/>
        <w:ind w:firstLine="720" w:firstLineChars="200"/>
        <w:rPr>
          <w:rFonts w:hint="eastAsia" w:ascii="宋体" w:hAnsi="宋体"/>
          <w:spacing w:val="60"/>
          <w:sz w:val="24"/>
        </w:rPr>
      </w:pPr>
    </w:p>
    <w:p w14:paraId="69F9E0C7">
      <w:pPr>
        <w:pStyle w:val="23"/>
        <w:spacing w:line="240" w:lineRule="auto"/>
        <w:ind w:firstLine="720" w:firstLineChars="200"/>
        <w:rPr>
          <w:rFonts w:hint="eastAsia" w:ascii="宋体" w:hAnsi="宋体"/>
          <w:spacing w:val="60"/>
          <w:sz w:val="24"/>
        </w:rPr>
      </w:pPr>
    </w:p>
    <w:p w14:paraId="03AB9A6C">
      <w:pPr>
        <w:pStyle w:val="23"/>
        <w:spacing w:line="240" w:lineRule="auto"/>
        <w:ind w:firstLine="0"/>
        <w:jc w:val="center"/>
        <w:rPr>
          <w:rFonts w:hint="eastAsia" w:ascii="黑体" w:hAnsi="宋体" w:eastAsia="黑体"/>
          <w:spacing w:val="60"/>
          <w:sz w:val="72"/>
          <w:szCs w:val="72"/>
        </w:rPr>
      </w:pPr>
      <w:r>
        <w:rPr>
          <w:rFonts w:hint="eastAsia" w:ascii="黑体" w:hAnsi="宋体" w:eastAsia="黑体"/>
          <w:spacing w:val="60"/>
          <w:sz w:val="72"/>
          <w:szCs w:val="72"/>
        </w:rPr>
        <w:t>施工招标文件</w:t>
      </w:r>
    </w:p>
    <w:p w14:paraId="3C40034F">
      <w:pPr>
        <w:pStyle w:val="23"/>
        <w:spacing w:line="240" w:lineRule="auto"/>
        <w:ind w:firstLine="0"/>
        <w:rPr>
          <w:rFonts w:hint="eastAsia" w:ascii="宋体" w:hAnsi="宋体"/>
          <w:b/>
          <w:spacing w:val="60"/>
          <w:sz w:val="36"/>
          <w:szCs w:val="36"/>
        </w:rPr>
      </w:pPr>
    </w:p>
    <w:p w14:paraId="44FAB616">
      <w:pPr>
        <w:pStyle w:val="23"/>
        <w:spacing w:line="240" w:lineRule="auto"/>
        <w:ind w:firstLine="3813" w:firstLineChars="950"/>
        <w:rPr>
          <w:rFonts w:hint="eastAsia" w:ascii="宋体" w:hAnsi="宋体"/>
          <w:b/>
          <w:spacing w:val="20"/>
          <w:sz w:val="36"/>
          <w:szCs w:val="36"/>
          <w:u w:val="single"/>
        </w:rPr>
      </w:pPr>
      <w:r>
        <w:rPr>
          <w:rFonts w:hint="eastAsia" w:ascii="宋体" w:hAnsi="宋体"/>
          <w:b/>
          <w:spacing w:val="20"/>
          <w:sz w:val="36"/>
          <w:szCs w:val="36"/>
          <w:u w:val="single"/>
        </w:rPr>
        <w:t>简易评标法</w:t>
      </w:r>
    </w:p>
    <w:p w14:paraId="6A518697">
      <w:pPr>
        <w:pStyle w:val="23"/>
        <w:spacing w:line="900" w:lineRule="exact"/>
        <w:ind w:right="-363" w:rightChars="-173" w:firstLine="0"/>
        <w:rPr>
          <w:rFonts w:hint="eastAsia" w:ascii="宋体" w:hAnsi="宋体"/>
          <w:sz w:val="30"/>
          <w:szCs w:val="30"/>
        </w:rPr>
      </w:pPr>
    </w:p>
    <w:p w14:paraId="04002767">
      <w:pPr>
        <w:pStyle w:val="23"/>
        <w:spacing w:line="900" w:lineRule="exact"/>
        <w:ind w:right="-363" w:rightChars="-173" w:firstLine="0"/>
        <w:rPr>
          <w:rFonts w:hint="eastAsia" w:ascii="宋体" w:hAnsi="宋体"/>
          <w:sz w:val="30"/>
          <w:szCs w:val="30"/>
        </w:rPr>
      </w:pPr>
    </w:p>
    <w:p w14:paraId="4D9AF1A8">
      <w:pPr>
        <w:spacing w:before="240" w:line="780" w:lineRule="exact"/>
        <w:ind w:right="-40" w:firstLine="900" w:firstLineChars="300"/>
        <w:rPr>
          <w:rFonts w:hint="eastAsia" w:ascii="宋体" w:hAnsi="宋体"/>
          <w:sz w:val="30"/>
          <w:szCs w:val="30"/>
        </w:rPr>
      </w:pPr>
      <w:r>
        <w:rPr>
          <w:rFonts w:hint="eastAsia" w:ascii="宋体" w:hAnsi="宋体"/>
          <w:sz w:val="30"/>
          <w:szCs w:val="30"/>
        </w:rPr>
        <w:t>项 目 名 称：</w:t>
      </w:r>
      <w:r>
        <w:rPr>
          <w:rFonts w:hint="eastAsia" w:ascii="宋体" w:hAnsi="宋体"/>
          <w:sz w:val="30"/>
          <w:szCs w:val="30"/>
          <w:u w:val="single"/>
        </w:rPr>
        <w:t xml:space="preserve">   </w:t>
      </w:r>
      <w:r>
        <w:rPr>
          <w:rFonts w:hint="eastAsia" w:ascii="宋体" w:hAnsi="宋体"/>
          <w:sz w:val="30"/>
          <w:szCs w:val="30"/>
          <w:u w:val="single"/>
          <w:lang w:eastAsia="zh-CN"/>
        </w:rPr>
        <w:t>2026年度校园零星修缮及改造工程</w:t>
      </w:r>
      <w:r>
        <w:rPr>
          <w:rFonts w:hint="eastAsia" w:ascii="宋体" w:hAnsi="宋体"/>
          <w:sz w:val="30"/>
          <w:szCs w:val="30"/>
          <w:u w:val="single"/>
        </w:rPr>
        <w:t xml:space="preserve">       </w:t>
      </w:r>
    </w:p>
    <w:p w14:paraId="1F0BD0BB">
      <w:pPr>
        <w:pStyle w:val="23"/>
        <w:spacing w:before="240" w:line="780" w:lineRule="exact"/>
        <w:ind w:right="-363" w:rightChars="-173" w:firstLine="870" w:firstLineChars="290"/>
        <w:rPr>
          <w:rFonts w:hint="eastAsia" w:ascii="宋体" w:hAnsi="宋体"/>
          <w:sz w:val="30"/>
          <w:szCs w:val="30"/>
        </w:rPr>
      </w:pPr>
      <w:r>
        <w:rPr>
          <w:rFonts w:hint="eastAsia" w:ascii="宋体" w:hAnsi="宋体"/>
          <w:sz w:val="30"/>
          <w:szCs w:val="30"/>
        </w:rPr>
        <w:t xml:space="preserve">招 标 编 号： </w:t>
      </w:r>
      <w:r>
        <w:rPr>
          <w:rFonts w:hint="eastAsia" w:ascii="宋体" w:hAnsi="宋体"/>
          <w:sz w:val="30"/>
          <w:szCs w:val="30"/>
          <w:u w:val="single"/>
        </w:rPr>
        <w:t xml:space="preserve">  </w:t>
      </w:r>
      <w:r>
        <w:rPr>
          <w:rFonts w:hint="eastAsia" w:ascii="宋体" w:hAnsi="宋体"/>
          <w:sz w:val="30"/>
          <w:szCs w:val="30"/>
          <w:u w:val="single"/>
          <w:lang w:eastAsia="zh-CN"/>
        </w:rPr>
        <w:t>华联</w:t>
      </w:r>
      <w:r>
        <w:rPr>
          <w:rFonts w:hint="eastAsia" w:ascii="宋体" w:hAnsi="宋体"/>
          <w:sz w:val="30"/>
          <w:szCs w:val="30"/>
          <w:u w:val="single"/>
        </w:rPr>
        <w:t>莆招字[202</w:t>
      </w:r>
      <w:r>
        <w:rPr>
          <w:rFonts w:hint="eastAsia" w:ascii="宋体" w:hAnsi="宋体"/>
          <w:sz w:val="30"/>
          <w:szCs w:val="30"/>
          <w:u w:val="single"/>
          <w:lang w:val="en-US" w:eastAsia="zh-CN"/>
        </w:rPr>
        <w:t>6</w:t>
      </w:r>
      <w:r>
        <w:rPr>
          <w:rFonts w:hint="eastAsia" w:ascii="宋体" w:hAnsi="宋体"/>
          <w:sz w:val="30"/>
          <w:szCs w:val="30"/>
          <w:u w:val="single"/>
        </w:rPr>
        <w:t>]00</w:t>
      </w:r>
      <w:r>
        <w:rPr>
          <w:rFonts w:hint="eastAsia" w:ascii="宋体" w:hAnsi="宋体"/>
          <w:sz w:val="30"/>
          <w:szCs w:val="30"/>
          <w:u w:val="single"/>
          <w:lang w:val="en-US" w:eastAsia="zh-CN"/>
        </w:rPr>
        <w:t>2</w:t>
      </w:r>
      <w:r>
        <w:rPr>
          <w:rFonts w:hint="eastAsia" w:ascii="宋体" w:hAnsi="宋体"/>
          <w:sz w:val="30"/>
          <w:szCs w:val="30"/>
          <w:u w:val="single"/>
        </w:rPr>
        <w:t xml:space="preserve">号              </w:t>
      </w:r>
    </w:p>
    <w:p w14:paraId="18BB231B">
      <w:pPr>
        <w:pStyle w:val="23"/>
        <w:spacing w:before="240" w:line="780" w:lineRule="exact"/>
        <w:ind w:right="-363" w:rightChars="-173" w:firstLine="870" w:firstLineChars="290"/>
        <w:rPr>
          <w:rFonts w:hint="eastAsia" w:ascii="宋体" w:hAnsi="宋体"/>
          <w:sz w:val="30"/>
          <w:szCs w:val="30"/>
        </w:rPr>
      </w:pPr>
      <w:r>
        <w:rPr>
          <w:rFonts w:hint="eastAsia" w:ascii="宋体" w:hAnsi="宋体"/>
          <w:sz w:val="30"/>
          <w:szCs w:val="30"/>
        </w:rPr>
        <w:t xml:space="preserve">招   标   人： </w:t>
      </w:r>
      <w:r>
        <w:rPr>
          <w:rFonts w:hint="eastAsia" w:ascii="宋体" w:hAnsi="宋体"/>
          <w:sz w:val="30"/>
          <w:szCs w:val="30"/>
          <w:u w:val="single"/>
        </w:rPr>
        <w:t xml:space="preserve">  湄洲湾职业技术学院        (盖单位章)</w:t>
      </w:r>
    </w:p>
    <w:p w14:paraId="07376129">
      <w:pPr>
        <w:pStyle w:val="23"/>
        <w:spacing w:before="240" w:line="780" w:lineRule="exact"/>
        <w:ind w:right="-363" w:rightChars="-173" w:firstLine="870" w:firstLineChars="290"/>
        <w:rPr>
          <w:rFonts w:hint="eastAsia" w:ascii="宋体" w:hAnsi="宋体"/>
          <w:sz w:val="30"/>
          <w:szCs w:val="30"/>
        </w:rPr>
      </w:pPr>
      <w:r>
        <w:rPr>
          <w:rFonts w:hint="eastAsia" w:ascii="宋体" w:hAnsi="宋体"/>
          <w:sz w:val="30"/>
          <w:szCs w:val="30"/>
        </w:rPr>
        <w:t>招标代理机构：</w:t>
      </w:r>
      <w:r>
        <w:rPr>
          <w:rFonts w:hint="eastAsia" w:ascii="宋体" w:hAnsi="宋体"/>
          <w:sz w:val="30"/>
          <w:szCs w:val="30"/>
          <w:u w:val="single"/>
          <w:lang w:eastAsia="zh-CN"/>
        </w:rPr>
        <w:t>华联世纪工程咨询股份有限公司</w:t>
      </w:r>
      <w:r>
        <w:rPr>
          <w:rFonts w:hint="eastAsia" w:ascii="宋体" w:hAnsi="宋体"/>
          <w:sz w:val="30"/>
          <w:szCs w:val="30"/>
          <w:u w:val="single"/>
        </w:rPr>
        <w:t>(盖单位章)</w:t>
      </w:r>
    </w:p>
    <w:p w14:paraId="088F9F6F">
      <w:pPr>
        <w:pStyle w:val="23"/>
        <w:spacing w:line="240" w:lineRule="auto"/>
        <w:ind w:firstLine="0"/>
        <w:rPr>
          <w:rFonts w:hint="eastAsia" w:ascii="宋体" w:hAnsi="宋体"/>
          <w:sz w:val="28"/>
        </w:rPr>
      </w:pPr>
    </w:p>
    <w:p w14:paraId="355BD602">
      <w:pPr>
        <w:pStyle w:val="23"/>
        <w:spacing w:line="240" w:lineRule="auto"/>
        <w:rPr>
          <w:rFonts w:hint="eastAsia" w:ascii="宋体" w:hAnsi="宋体"/>
          <w:sz w:val="28"/>
        </w:rPr>
      </w:pPr>
    </w:p>
    <w:p w14:paraId="56AE0165">
      <w:pPr>
        <w:pStyle w:val="23"/>
        <w:spacing w:line="240" w:lineRule="auto"/>
        <w:rPr>
          <w:rFonts w:hint="eastAsia" w:ascii="宋体" w:hAnsi="宋体"/>
          <w:sz w:val="28"/>
        </w:rPr>
      </w:pPr>
    </w:p>
    <w:p w14:paraId="56E902DE">
      <w:pPr>
        <w:pStyle w:val="23"/>
        <w:spacing w:line="240" w:lineRule="auto"/>
        <w:ind w:firstLine="2800" w:firstLineChars="1000"/>
        <w:rPr>
          <w:rFonts w:hint="eastAsia" w:ascii="宋体" w:hAnsi="宋体"/>
          <w:sz w:val="28"/>
        </w:rPr>
      </w:pPr>
    </w:p>
    <w:p w14:paraId="30E3FE49">
      <w:pPr>
        <w:pStyle w:val="23"/>
        <w:spacing w:line="240" w:lineRule="auto"/>
        <w:ind w:firstLine="2800" w:firstLineChars="1000"/>
        <w:rPr>
          <w:rFonts w:hint="eastAsia" w:ascii="宋体" w:hAnsi="宋体"/>
          <w:sz w:val="28"/>
        </w:rPr>
      </w:pPr>
      <w:r>
        <w:rPr>
          <w:rFonts w:hint="eastAsia" w:ascii="宋体" w:hAnsi="宋体"/>
          <w:sz w:val="28"/>
        </w:rPr>
        <w:t>发出日期：</w:t>
      </w:r>
      <w:r>
        <w:rPr>
          <w:rFonts w:hint="eastAsia" w:ascii="宋体" w:hAnsi="宋体"/>
          <w:sz w:val="28"/>
          <w:u w:val="single"/>
        </w:rPr>
        <w:t>202</w:t>
      </w:r>
      <w:r>
        <w:rPr>
          <w:rFonts w:hint="eastAsia" w:ascii="宋体" w:hAnsi="宋体"/>
          <w:sz w:val="28"/>
          <w:u w:val="single"/>
          <w:lang w:val="en-US" w:eastAsia="zh-CN"/>
        </w:rPr>
        <w:t>6</w:t>
      </w:r>
      <w:r>
        <w:rPr>
          <w:rFonts w:hint="eastAsia" w:ascii="宋体" w:hAnsi="宋体"/>
          <w:sz w:val="28"/>
        </w:rPr>
        <w:t>年</w:t>
      </w:r>
      <w:r>
        <w:rPr>
          <w:rFonts w:hint="eastAsia" w:ascii="宋体" w:hAnsi="宋体"/>
          <w:sz w:val="28"/>
          <w:u w:val="single"/>
        </w:rPr>
        <w:t>01</w:t>
      </w:r>
      <w:r>
        <w:rPr>
          <w:rFonts w:hint="eastAsia" w:ascii="宋体" w:hAnsi="宋体"/>
          <w:sz w:val="28"/>
        </w:rPr>
        <w:t>月</w:t>
      </w:r>
    </w:p>
    <w:p w14:paraId="53A678FD">
      <w:pPr>
        <w:pStyle w:val="23"/>
        <w:spacing w:line="240" w:lineRule="auto"/>
        <w:ind w:firstLine="0"/>
        <w:rPr>
          <w:rFonts w:hint="eastAsia" w:ascii="宋体" w:hAnsi="宋体"/>
          <w:sz w:val="28"/>
        </w:rPr>
      </w:pPr>
    </w:p>
    <w:p w14:paraId="6D9608ED">
      <w:pPr>
        <w:pStyle w:val="23"/>
        <w:spacing w:line="240" w:lineRule="auto"/>
        <w:ind w:firstLine="0"/>
        <w:rPr>
          <w:rFonts w:hint="eastAsia" w:ascii="宋体" w:hAnsi="宋体"/>
          <w:sz w:val="28"/>
        </w:rPr>
      </w:pPr>
    </w:p>
    <w:p w14:paraId="1409B44D">
      <w:pPr>
        <w:pStyle w:val="23"/>
        <w:spacing w:line="240" w:lineRule="auto"/>
        <w:ind w:firstLine="0"/>
        <w:rPr>
          <w:rFonts w:hint="eastAsia" w:ascii="宋体" w:hAnsi="宋体"/>
          <w:sz w:val="28"/>
        </w:rPr>
      </w:pPr>
    </w:p>
    <w:p w14:paraId="156EBE93">
      <w:pPr>
        <w:pStyle w:val="23"/>
        <w:spacing w:line="240" w:lineRule="auto"/>
        <w:ind w:firstLine="0"/>
        <w:rPr>
          <w:rFonts w:hint="eastAsia" w:ascii="宋体" w:hAnsi="宋体"/>
          <w:sz w:val="28"/>
        </w:rPr>
      </w:pPr>
    </w:p>
    <w:p w14:paraId="4CFDEA9F">
      <w:pPr>
        <w:pStyle w:val="23"/>
        <w:spacing w:line="240" w:lineRule="auto"/>
        <w:ind w:firstLine="0"/>
        <w:rPr>
          <w:rFonts w:hint="eastAsia" w:ascii="宋体" w:hAnsi="宋体"/>
          <w:sz w:val="28"/>
        </w:rPr>
      </w:pPr>
    </w:p>
    <w:p w14:paraId="08223EAF">
      <w:pPr>
        <w:rPr>
          <w:rFonts w:hint="eastAsia" w:ascii="宋体" w:hAnsi="宋体"/>
          <w:sz w:val="44"/>
          <w:szCs w:val="44"/>
        </w:rPr>
      </w:pPr>
    </w:p>
    <w:p w14:paraId="487B171F">
      <w:pPr>
        <w:jc w:val="center"/>
        <w:rPr>
          <w:rFonts w:hint="eastAsia" w:ascii="宋体" w:hAnsi="宋体"/>
          <w:sz w:val="44"/>
          <w:szCs w:val="44"/>
        </w:rPr>
      </w:pPr>
      <w:r>
        <w:rPr>
          <w:rFonts w:hint="eastAsia" w:ascii="宋体" w:hAnsi="宋体"/>
          <w:sz w:val="44"/>
          <w:szCs w:val="44"/>
        </w:rPr>
        <w:t>目 录</w:t>
      </w:r>
    </w:p>
    <w:p w14:paraId="020B7FA1">
      <w:pPr>
        <w:pStyle w:val="36"/>
        <w:rPr>
          <w:rFonts w:hint="eastAsia"/>
        </w:rPr>
      </w:pPr>
    </w:p>
    <w:p w14:paraId="4B95F2C0">
      <w:pPr>
        <w:pStyle w:val="23"/>
        <w:spacing w:line="240" w:lineRule="auto"/>
        <w:ind w:firstLine="1260" w:firstLineChars="450"/>
        <w:rPr>
          <w:rFonts w:hint="eastAsia" w:ascii="宋体" w:hAnsi="宋体"/>
          <w:sz w:val="28"/>
        </w:rPr>
      </w:pPr>
    </w:p>
    <w:p w14:paraId="1BF35A7A">
      <w:pPr>
        <w:spacing w:line="360" w:lineRule="auto"/>
        <w:ind w:firstLine="453" w:firstLineChars="188"/>
        <w:rPr>
          <w:rFonts w:hint="eastAsia" w:ascii="宋体" w:hAnsi="宋体"/>
          <w:b/>
          <w:sz w:val="24"/>
        </w:rPr>
      </w:pPr>
      <w:r>
        <w:rPr>
          <w:rFonts w:hint="eastAsia" w:ascii="宋体" w:hAnsi="宋体"/>
          <w:b/>
          <w:sz w:val="24"/>
        </w:rPr>
        <w:t>第一章  招标公告</w:t>
      </w:r>
    </w:p>
    <w:p w14:paraId="61BA5FCB">
      <w:pPr>
        <w:spacing w:line="360" w:lineRule="auto"/>
        <w:ind w:firstLine="453" w:firstLineChars="188"/>
        <w:rPr>
          <w:rFonts w:hint="eastAsia" w:ascii="宋体" w:hAnsi="宋体"/>
          <w:b/>
          <w:sz w:val="24"/>
        </w:rPr>
      </w:pPr>
      <w:r>
        <w:rPr>
          <w:rFonts w:hint="eastAsia" w:ascii="宋体" w:hAnsi="宋体"/>
          <w:b/>
          <w:sz w:val="24"/>
        </w:rPr>
        <w:t>第二章  投标须知</w:t>
      </w:r>
    </w:p>
    <w:p w14:paraId="7E65FDFD">
      <w:pPr>
        <w:spacing w:line="360" w:lineRule="auto"/>
        <w:ind w:firstLine="451" w:firstLineChars="188"/>
        <w:rPr>
          <w:rFonts w:hint="eastAsia" w:ascii="宋体" w:hAnsi="宋体"/>
          <w:bCs/>
          <w:sz w:val="24"/>
        </w:rPr>
      </w:pPr>
      <w:r>
        <w:rPr>
          <w:rFonts w:hint="eastAsia" w:ascii="宋体" w:hAnsi="宋体"/>
          <w:bCs/>
          <w:sz w:val="24"/>
        </w:rPr>
        <w:t>(一)总则</w:t>
      </w:r>
    </w:p>
    <w:p w14:paraId="7AA35505">
      <w:pPr>
        <w:spacing w:line="360" w:lineRule="auto"/>
        <w:ind w:firstLine="451" w:firstLineChars="188"/>
        <w:rPr>
          <w:rFonts w:hint="eastAsia" w:ascii="宋体" w:hAnsi="宋体"/>
          <w:bCs/>
          <w:sz w:val="24"/>
        </w:rPr>
      </w:pPr>
      <w:r>
        <w:rPr>
          <w:rFonts w:hint="eastAsia" w:ascii="宋体" w:hAnsi="宋体"/>
          <w:bCs/>
          <w:sz w:val="24"/>
        </w:rPr>
        <w:t>(二)招标文件</w:t>
      </w:r>
    </w:p>
    <w:p w14:paraId="5B5B2FAA">
      <w:pPr>
        <w:spacing w:line="360" w:lineRule="auto"/>
        <w:ind w:firstLine="451" w:firstLineChars="188"/>
        <w:rPr>
          <w:rFonts w:hint="eastAsia" w:ascii="宋体" w:hAnsi="宋体"/>
          <w:bCs/>
          <w:sz w:val="24"/>
        </w:rPr>
      </w:pPr>
      <w:r>
        <w:rPr>
          <w:rFonts w:hint="eastAsia" w:ascii="宋体" w:hAnsi="宋体"/>
          <w:bCs/>
          <w:sz w:val="24"/>
        </w:rPr>
        <w:t>(三)投标文件</w:t>
      </w:r>
    </w:p>
    <w:p w14:paraId="46AB5C3D">
      <w:pPr>
        <w:spacing w:line="360" w:lineRule="auto"/>
        <w:ind w:firstLine="451" w:firstLineChars="188"/>
        <w:rPr>
          <w:rFonts w:hint="eastAsia" w:ascii="宋体" w:hAnsi="宋体"/>
          <w:bCs/>
          <w:sz w:val="24"/>
        </w:rPr>
      </w:pPr>
      <w:r>
        <w:rPr>
          <w:rFonts w:hint="eastAsia" w:ascii="宋体" w:hAnsi="宋体"/>
          <w:bCs/>
          <w:sz w:val="24"/>
        </w:rPr>
        <w:t>(四)开标、评标及定标</w:t>
      </w:r>
    </w:p>
    <w:p w14:paraId="3A20CC67">
      <w:pPr>
        <w:spacing w:line="360" w:lineRule="auto"/>
        <w:ind w:firstLine="451" w:firstLineChars="188"/>
        <w:rPr>
          <w:rFonts w:hint="eastAsia" w:ascii="宋体" w:hAnsi="宋体"/>
          <w:bCs/>
          <w:sz w:val="24"/>
        </w:rPr>
      </w:pPr>
      <w:r>
        <w:rPr>
          <w:rFonts w:hint="eastAsia" w:ascii="宋体" w:hAnsi="宋体"/>
          <w:bCs/>
          <w:sz w:val="24"/>
        </w:rPr>
        <w:t>(五)授予合同</w:t>
      </w:r>
    </w:p>
    <w:p w14:paraId="120E08A5">
      <w:pPr>
        <w:spacing w:line="360" w:lineRule="auto"/>
        <w:ind w:firstLine="451" w:firstLineChars="188"/>
        <w:rPr>
          <w:rFonts w:hint="eastAsia" w:ascii="宋体" w:hAnsi="宋体"/>
          <w:bCs/>
          <w:sz w:val="24"/>
        </w:rPr>
      </w:pPr>
      <w:r>
        <w:rPr>
          <w:rFonts w:hint="eastAsia" w:ascii="宋体" w:hAnsi="宋体"/>
          <w:bCs/>
          <w:sz w:val="24"/>
        </w:rPr>
        <w:t>(六)标后管理</w:t>
      </w:r>
    </w:p>
    <w:p w14:paraId="3B9C5E2F">
      <w:pPr>
        <w:spacing w:line="360" w:lineRule="auto"/>
        <w:ind w:firstLine="453" w:firstLineChars="188"/>
        <w:rPr>
          <w:rFonts w:hint="eastAsia" w:ascii="宋体" w:hAnsi="宋体"/>
          <w:b/>
          <w:sz w:val="24"/>
        </w:rPr>
      </w:pPr>
      <w:r>
        <w:rPr>
          <w:rFonts w:hint="eastAsia" w:ascii="宋体" w:hAnsi="宋体"/>
          <w:b/>
          <w:sz w:val="24"/>
        </w:rPr>
        <w:t>第三章  合同条款</w:t>
      </w:r>
    </w:p>
    <w:p w14:paraId="0C0CDB63">
      <w:pPr>
        <w:spacing w:line="360" w:lineRule="auto"/>
        <w:ind w:firstLine="453" w:firstLineChars="188"/>
        <w:rPr>
          <w:rFonts w:hint="eastAsia" w:ascii="宋体" w:hAnsi="宋体"/>
          <w:b/>
          <w:sz w:val="24"/>
        </w:rPr>
      </w:pPr>
      <w:r>
        <w:rPr>
          <w:rFonts w:hint="eastAsia" w:ascii="宋体" w:hAnsi="宋体"/>
          <w:b/>
          <w:sz w:val="24"/>
        </w:rPr>
        <w:t xml:space="preserve">第四章  </w:t>
      </w:r>
      <w:r>
        <w:rPr>
          <w:rFonts w:hint="eastAsia" w:ascii="宋体" w:hAnsi="宋体"/>
          <w:bCs/>
          <w:sz w:val="24"/>
        </w:rPr>
        <w:t>投标文件格式</w:t>
      </w:r>
    </w:p>
    <w:p w14:paraId="6CF57883">
      <w:pPr>
        <w:spacing w:line="360" w:lineRule="auto"/>
        <w:ind w:firstLine="1171" w:firstLineChars="488"/>
        <w:rPr>
          <w:rFonts w:hint="eastAsia" w:ascii="宋体" w:hAnsi="宋体"/>
          <w:bCs/>
          <w:sz w:val="24"/>
        </w:rPr>
      </w:pPr>
      <w:r>
        <w:rPr>
          <w:rFonts w:hint="eastAsia" w:ascii="宋体" w:hAnsi="宋体"/>
          <w:bCs/>
          <w:sz w:val="24"/>
        </w:rPr>
        <w:t xml:space="preserve">  法定代表人资格证明书(格式)</w:t>
      </w:r>
    </w:p>
    <w:p w14:paraId="2A97A2DD">
      <w:pPr>
        <w:spacing w:line="360" w:lineRule="auto"/>
        <w:ind w:firstLine="451" w:firstLineChars="188"/>
        <w:rPr>
          <w:rFonts w:hint="eastAsia" w:ascii="宋体" w:hAnsi="宋体"/>
          <w:bCs/>
          <w:sz w:val="24"/>
        </w:rPr>
      </w:pPr>
      <w:r>
        <w:rPr>
          <w:rFonts w:hint="eastAsia" w:ascii="宋体" w:hAnsi="宋体"/>
          <w:bCs/>
          <w:sz w:val="24"/>
        </w:rPr>
        <w:t xml:space="preserve">        法定代表人授权委托书(格式)</w:t>
      </w:r>
    </w:p>
    <w:p w14:paraId="722C40FD">
      <w:pPr>
        <w:ind w:firstLine="564" w:firstLineChars="188"/>
        <w:rPr>
          <w:rFonts w:hint="eastAsia" w:ascii="宋体" w:hAnsi="宋体"/>
          <w:sz w:val="30"/>
          <w:szCs w:val="30"/>
        </w:rPr>
      </w:pPr>
    </w:p>
    <w:p w14:paraId="44678BEE">
      <w:pPr>
        <w:ind w:firstLine="564" w:firstLineChars="188"/>
        <w:rPr>
          <w:rFonts w:hint="eastAsia" w:ascii="宋体" w:hAnsi="宋体"/>
          <w:sz w:val="30"/>
          <w:szCs w:val="30"/>
        </w:rPr>
      </w:pPr>
    </w:p>
    <w:p w14:paraId="2CFE23D4">
      <w:pPr>
        <w:ind w:firstLine="564" w:firstLineChars="188"/>
        <w:rPr>
          <w:rFonts w:hint="eastAsia" w:ascii="宋体" w:hAnsi="宋体"/>
          <w:sz w:val="30"/>
          <w:szCs w:val="30"/>
        </w:rPr>
      </w:pPr>
    </w:p>
    <w:p w14:paraId="0D64EE5E">
      <w:pPr>
        <w:ind w:firstLine="564" w:firstLineChars="188"/>
        <w:rPr>
          <w:rFonts w:hint="eastAsia" w:ascii="宋体" w:hAnsi="宋体"/>
          <w:sz w:val="30"/>
          <w:szCs w:val="30"/>
        </w:rPr>
      </w:pPr>
    </w:p>
    <w:p w14:paraId="5706CE7B">
      <w:pPr>
        <w:ind w:firstLine="564" w:firstLineChars="188"/>
        <w:rPr>
          <w:rFonts w:hint="eastAsia" w:ascii="宋体" w:hAnsi="宋体"/>
          <w:sz w:val="30"/>
          <w:szCs w:val="30"/>
        </w:rPr>
      </w:pPr>
    </w:p>
    <w:p w14:paraId="28C0732B">
      <w:pPr>
        <w:ind w:firstLine="564" w:firstLineChars="188"/>
        <w:rPr>
          <w:rFonts w:hint="eastAsia" w:ascii="宋体" w:hAnsi="宋体"/>
          <w:sz w:val="30"/>
          <w:szCs w:val="30"/>
        </w:rPr>
      </w:pPr>
    </w:p>
    <w:p w14:paraId="69CB17B6">
      <w:pPr>
        <w:ind w:firstLine="564" w:firstLineChars="188"/>
        <w:rPr>
          <w:rFonts w:hint="eastAsia" w:ascii="宋体" w:hAnsi="宋体"/>
          <w:sz w:val="30"/>
          <w:szCs w:val="30"/>
        </w:rPr>
      </w:pPr>
    </w:p>
    <w:p w14:paraId="141D2AE7">
      <w:pPr>
        <w:ind w:firstLine="564" w:firstLineChars="188"/>
        <w:rPr>
          <w:rFonts w:hint="eastAsia" w:ascii="宋体" w:hAnsi="宋体"/>
          <w:sz w:val="30"/>
          <w:szCs w:val="30"/>
        </w:rPr>
      </w:pPr>
    </w:p>
    <w:p w14:paraId="4AFD66F9">
      <w:pPr>
        <w:ind w:firstLine="564" w:firstLineChars="188"/>
        <w:rPr>
          <w:rFonts w:hint="eastAsia" w:ascii="宋体" w:hAnsi="宋体"/>
          <w:sz w:val="30"/>
          <w:szCs w:val="30"/>
        </w:rPr>
      </w:pPr>
    </w:p>
    <w:p w14:paraId="324574DF">
      <w:pPr>
        <w:ind w:firstLine="564" w:firstLineChars="188"/>
        <w:rPr>
          <w:rFonts w:hint="eastAsia" w:ascii="宋体" w:hAnsi="宋体"/>
          <w:sz w:val="30"/>
          <w:szCs w:val="30"/>
        </w:rPr>
      </w:pPr>
    </w:p>
    <w:p w14:paraId="57FD4DC9">
      <w:pPr>
        <w:ind w:firstLine="564" w:firstLineChars="188"/>
        <w:rPr>
          <w:rFonts w:hint="eastAsia" w:ascii="宋体" w:hAnsi="宋体"/>
          <w:sz w:val="30"/>
          <w:szCs w:val="30"/>
        </w:rPr>
      </w:pPr>
    </w:p>
    <w:p w14:paraId="164A5BA2">
      <w:pPr>
        <w:ind w:firstLine="564" w:firstLineChars="188"/>
        <w:rPr>
          <w:rFonts w:hint="eastAsia" w:ascii="宋体" w:hAnsi="宋体"/>
          <w:sz w:val="30"/>
          <w:szCs w:val="30"/>
        </w:rPr>
      </w:pPr>
    </w:p>
    <w:p w14:paraId="634C8900">
      <w:pPr>
        <w:jc w:val="center"/>
        <w:rPr>
          <w:rFonts w:ascii="宋体" w:hAnsi="宋体"/>
          <w:b/>
          <w:sz w:val="44"/>
          <w:szCs w:val="44"/>
        </w:rPr>
      </w:pPr>
      <w:r>
        <w:rPr>
          <w:rFonts w:ascii="宋体" w:hAnsi="宋体"/>
          <w:b/>
          <w:sz w:val="44"/>
          <w:szCs w:val="44"/>
        </w:rPr>
        <w:br w:type="page"/>
      </w:r>
      <w:r>
        <w:rPr>
          <w:rFonts w:hint="eastAsia" w:ascii="宋体" w:hAnsi="宋体"/>
          <w:b/>
          <w:sz w:val="44"/>
          <w:szCs w:val="44"/>
        </w:rPr>
        <w:t>第一章  招标公告</w:t>
      </w:r>
    </w:p>
    <w:p w14:paraId="4C71DE67">
      <w:pPr>
        <w:widowControl/>
        <w:tabs>
          <w:tab w:val="left" w:pos="360"/>
          <w:tab w:val="left" w:pos="900"/>
          <w:tab w:val="left" w:pos="1100"/>
        </w:tabs>
        <w:spacing w:line="430" w:lineRule="exact"/>
        <w:ind w:left="420"/>
        <w:rPr>
          <w:rFonts w:hint="eastAsia" w:ascii="宋体" w:hAnsi="宋体"/>
          <w:b/>
          <w:sz w:val="24"/>
        </w:rPr>
      </w:pPr>
      <w:r>
        <w:rPr>
          <w:rFonts w:hint="eastAsia" w:ascii="宋体" w:hAnsi="宋体"/>
          <w:b/>
          <w:sz w:val="24"/>
        </w:rPr>
        <w:t>1.招标条件</w:t>
      </w:r>
    </w:p>
    <w:p w14:paraId="41D4EE9B">
      <w:pPr>
        <w:spacing w:line="430" w:lineRule="exact"/>
        <w:ind w:right="-40" w:firstLine="480" w:firstLineChars="200"/>
        <w:rPr>
          <w:rFonts w:hint="eastAsia" w:ascii="宋体" w:hAnsi="宋体"/>
          <w:sz w:val="24"/>
        </w:rPr>
      </w:pPr>
      <w:r>
        <w:rPr>
          <w:rFonts w:hint="eastAsia" w:ascii="宋体" w:hAnsi="宋体"/>
          <w:sz w:val="24"/>
        </w:rPr>
        <w:t>本招标项目</w:t>
      </w:r>
      <w:r>
        <w:rPr>
          <w:rFonts w:hint="eastAsia" w:ascii="宋体" w:hAnsi="宋体"/>
          <w:sz w:val="24"/>
          <w:u w:val="single"/>
          <w:lang w:eastAsia="zh-CN"/>
        </w:rPr>
        <w:t>2026年度校园零星修缮及改造工程</w:t>
      </w:r>
      <w:r>
        <w:rPr>
          <w:rFonts w:hint="eastAsia" w:ascii="宋体" w:hAnsi="宋体"/>
          <w:sz w:val="24"/>
        </w:rPr>
        <w:t>已批准建设，项目业主为</w:t>
      </w:r>
      <w:r>
        <w:rPr>
          <w:rFonts w:hint="eastAsia" w:ascii="宋体" w:hAnsi="宋体"/>
          <w:sz w:val="24"/>
          <w:u w:val="single"/>
        </w:rPr>
        <w:t>湄洲湾职业技术学院</w:t>
      </w:r>
      <w:r>
        <w:rPr>
          <w:rFonts w:hint="eastAsia" w:ascii="宋体" w:hAnsi="宋体"/>
          <w:sz w:val="24"/>
        </w:rPr>
        <w:t>，建设资金来自</w:t>
      </w:r>
      <w:r>
        <w:rPr>
          <w:rFonts w:hint="eastAsia" w:ascii="宋体" w:hAnsi="宋体"/>
          <w:sz w:val="24"/>
          <w:u w:val="single"/>
        </w:rPr>
        <w:t>学院自筹</w:t>
      </w:r>
      <w:r>
        <w:rPr>
          <w:rFonts w:hint="eastAsia" w:ascii="宋体" w:hAnsi="宋体"/>
          <w:sz w:val="24"/>
        </w:rPr>
        <w:t>，招标人为</w:t>
      </w:r>
      <w:r>
        <w:rPr>
          <w:rFonts w:hint="eastAsia" w:ascii="宋体" w:hAnsi="宋体"/>
          <w:sz w:val="24"/>
          <w:u w:val="single"/>
        </w:rPr>
        <w:t>湄洲湾职业技术学院</w:t>
      </w:r>
      <w:r>
        <w:rPr>
          <w:rFonts w:hint="eastAsia" w:ascii="宋体" w:hAnsi="宋体"/>
          <w:sz w:val="24"/>
        </w:rPr>
        <w:t>，委托的招标代理单位为</w:t>
      </w:r>
      <w:r>
        <w:rPr>
          <w:rFonts w:hint="eastAsia" w:ascii="宋体" w:hAnsi="宋体"/>
          <w:sz w:val="24"/>
          <w:u w:val="single"/>
          <w:lang w:eastAsia="zh-CN"/>
        </w:rPr>
        <w:t>华联世纪工程咨询股份有限公司</w:t>
      </w:r>
      <w:r>
        <w:rPr>
          <w:rFonts w:hint="eastAsia" w:ascii="宋体" w:hAnsi="宋体"/>
          <w:sz w:val="24"/>
        </w:rPr>
        <w:t>。项目已具备招标条件，现对该项目的施工进行</w:t>
      </w:r>
      <w:r>
        <w:rPr>
          <w:rFonts w:hint="eastAsia" w:ascii="宋体" w:hAnsi="宋体"/>
          <w:sz w:val="24"/>
          <w:u w:val="single"/>
        </w:rPr>
        <w:t>公开</w:t>
      </w:r>
      <w:r>
        <w:rPr>
          <w:rFonts w:hint="eastAsia" w:ascii="宋体" w:hAnsi="宋体"/>
          <w:sz w:val="24"/>
        </w:rPr>
        <w:t>招标。</w:t>
      </w:r>
    </w:p>
    <w:p w14:paraId="065BFBAE">
      <w:pPr>
        <w:widowControl/>
        <w:tabs>
          <w:tab w:val="left" w:pos="900"/>
          <w:tab w:val="left" w:pos="1100"/>
        </w:tabs>
        <w:spacing w:line="430" w:lineRule="exact"/>
        <w:ind w:firstLine="482" w:firstLineChars="200"/>
        <w:rPr>
          <w:rFonts w:hint="eastAsia" w:ascii="宋体" w:hAnsi="宋体"/>
          <w:b/>
          <w:sz w:val="24"/>
        </w:rPr>
      </w:pPr>
      <w:r>
        <w:rPr>
          <w:rFonts w:hint="eastAsia" w:ascii="宋体" w:hAnsi="宋体"/>
          <w:b/>
          <w:sz w:val="24"/>
        </w:rPr>
        <w:t>2.项目概况和招标范围</w:t>
      </w:r>
    </w:p>
    <w:p w14:paraId="5ACC544E">
      <w:pPr>
        <w:widowControl/>
        <w:spacing w:line="430" w:lineRule="exact"/>
        <w:ind w:left="510"/>
        <w:jc w:val="left"/>
        <w:rPr>
          <w:rFonts w:hint="eastAsia" w:ascii="宋体" w:hAnsi="宋体"/>
          <w:sz w:val="24"/>
        </w:rPr>
      </w:pPr>
      <w:r>
        <w:rPr>
          <w:rFonts w:hint="eastAsia" w:ascii="宋体" w:hAnsi="宋体"/>
          <w:sz w:val="24"/>
        </w:rPr>
        <w:t>1) 建设地点：</w:t>
      </w:r>
      <w:r>
        <w:rPr>
          <w:rFonts w:hint="eastAsia" w:ascii="宋体" w:hAnsi="宋体"/>
          <w:bCs/>
          <w:sz w:val="24"/>
          <w:u w:val="single"/>
        </w:rPr>
        <w:t>莆田市涵江区梧塘镇</w:t>
      </w:r>
      <w:r>
        <w:rPr>
          <w:rFonts w:hint="eastAsia"/>
          <w:bCs/>
          <w:sz w:val="24"/>
          <w:u w:val="single"/>
        </w:rPr>
        <w:t>湄洲湾职业技术学院内</w:t>
      </w:r>
      <w:r>
        <w:rPr>
          <w:rFonts w:hint="eastAsia" w:ascii="宋体" w:hAnsi="宋体"/>
          <w:sz w:val="24"/>
          <w:u w:val="single"/>
        </w:rPr>
        <w:t>；</w:t>
      </w:r>
    </w:p>
    <w:p w14:paraId="69BD6C1F">
      <w:pPr>
        <w:widowControl/>
        <w:spacing w:line="430" w:lineRule="exact"/>
        <w:ind w:left="510"/>
        <w:jc w:val="left"/>
        <w:rPr>
          <w:rFonts w:hint="eastAsia" w:ascii="宋体" w:hAnsi="宋体"/>
          <w:sz w:val="24"/>
        </w:rPr>
      </w:pPr>
      <w:r>
        <w:rPr>
          <w:rFonts w:hint="eastAsia" w:ascii="宋体" w:hAnsi="宋体"/>
          <w:sz w:val="24"/>
        </w:rPr>
        <w:t>2）建设规模：</w:t>
      </w:r>
      <w:r>
        <w:rPr>
          <w:rFonts w:hint="eastAsia" w:ascii="宋体" w:hAnsi="宋体"/>
          <w:sz w:val="24"/>
          <w:u w:val="single"/>
        </w:rPr>
        <w:t>总投资额不超过260万元，单项项目金额不超过3万元</w:t>
      </w:r>
      <w:r>
        <w:rPr>
          <w:rFonts w:hint="eastAsia" w:ascii="宋体" w:hAnsi="宋体"/>
          <w:b/>
          <w:bCs/>
          <w:sz w:val="24"/>
        </w:rPr>
        <w:t>；</w:t>
      </w:r>
    </w:p>
    <w:p w14:paraId="1BCF8BCA">
      <w:pPr>
        <w:spacing w:line="430" w:lineRule="exact"/>
        <w:ind w:firstLine="480" w:firstLineChars="200"/>
        <w:rPr>
          <w:rFonts w:hint="eastAsia" w:ascii="宋体" w:hAnsi="宋体"/>
          <w:sz w:val="24"/>
        </w:rPr>
      </w:pPr>
      <w:r>
        <w:rPr>
          <w:rFonts w:hint="eastAsia" w:ascii="宋体" w:hAnsi="宋体"/>
          <w:sz w:val="24"/>
        </w:rPr>
        <w:t>3）招标范围及内容要求：</w:t>
      </w:r>
      <w:r>
        <w:rPr>
          <w:rFonts w:hint="eastAsia" w:ascii="宋体" w:hAnsi="宋体"/>
          <w:sz w:val="24"/>
          <w:u w:val="single"/>
          <w:lang w:eastAsia="zh-CN"/>
        </w:rPr>
        <w:t>2026年度校园零星修缮及改造工程</w:t>
      </w:r>
      <w:r>
        <w:rPr>
          <w:rFonts w:hint="eastAsia" w:ascii="宋体" w:hAnsi="宋体"/>
          <w:sz w:val="24"/>
          <w:u w:val="single"/>
        </w:rPr>
        <w:t>（不含消防设备维修、防水处理以及配电房年检、高压（10KV）施工等涉及需要电力相关专业资质的项目）；</w:t>
      </w:r>
    </w:p>
    <w:p w14:paraId="0209E5C6">
      <w:pPr>
        <w:spacing w:line="430" w:lineRule="exact"/>
        <w:ind w:firstLine="480" w:firstLineChars="200"/>
        <w:rPr>
          <w:rFonts w:hint="eastAsia" w:ascii="宋体" w:hAnsi="宋体"/>
          <w:sz w:val="24"/>
        </w:rPr>
      </w:pPr>
      <w:r>
        <w:rPr>
          <w:rFonts w:hint="eastAsia" w:ascii="宋体" w:hAnsi="宋体"/>
          <w:sz w:val="24"/>
        </w:rPr>
        <w:t>4) 承包期限：</w:t>
      </w:r>
      <w:r>
        <w:rPr>
          <w:rFonts w:hint="eastAsia" w:ascii="宋体" w:hAnsi="宋体"/>
          <w:sz w:val="24"/>
          <w:u w:val="single"/>
        </w:rPr>
        <w:t>合同签订之日起365天</w:t>
      </w:r>
      <w:r>
        <w:rPr>
          <w:rFonts w:hint="eastAsia" w:ascii="宋体" w:hAnsi="宋体"/>
          <w:sz w:val="24"/>
        </w:rPr>
        <w:t>；</w:t>
      </w:r>
    </w:p>
    <w:p w14:paraId="70004BDF">
      <w:pPr>
        <w:spacing w:line="430" w:lineRule="exact"/>
        <w:ind w:firstLine="480" w:firstLineChars="200"/>
        <w:jc w:val="left"/>
        <w:rPr>
          <w:rFonts w:hint="eastAsia" w:ascii="宋体" w:hAnsi="宋体"/>
          <w:sz w:val="24"/>
        </w:rPr>
      </w:pPr>
      <w:r>
        <w:rPr>
          <w:rFonts w:hint="eastAsia" w:ascii="宋体" w:hAnsi="宋体"/>
          <w:sz w:val="24"/>
        </w:rPr>
        <w:t>5) 质量标准:</w:t>
      </w:r>
      <w:r>
        <w:rPr>
          <w:rFonts w:hint="eastAsia" w:ascii="宋体" w:hAnsi="宋体"/>
          <w:sz w:val="24"/>
          <w:u w:val="single"/>
        </w:rPr>
        <w:t xml:space="preserve">  符合国家现行《工程施工质量验收规范》合格标准 </w:t>
      </w:r>
      <w:r>
        <w:rPr>
          <w:rFonts w:hint="eastAsia" w:ascii="宋体" w:hAnsi="宋体"/>
          <w:sz w:val="24"/>
        </w:rPr>
        <w:t>；</w:t>
      </w:r>
    </w:p>
    <w:p w14:paraId="6FD302C8">
      <w:pPr>
        <w:widowControl/>
        <w:tabs>
          <w:tab w:val="left" w:pos="360"/>
          <w:tab w:val="left" w:pos="900"/>
          <w:tab w:val="left" w:pos="1100"/>
        </w:tabs>
        <w:spacing w:line="430" w:lineRule="exact"/>
        <w:ind w:firstLine="482" w:firstLineChars="200"/>
        <w:rPr>
          <w:rFonts w:hint="eastAsia" w:ascii="宋体" w:hAnsi="宋体"/>
          <w:b/>
          <w:sz w:val="24"/>
        </w:rPr>
      </w:pPr>
      <w:r>
        <w:rPr>
          <w:rFonts w:hint="eastAsia" w:ascii="宋体" w:hAnsi="宋体"/>
          <w:b/>
          <w:sz w:val="24"/>
        </w:rPr>
        <w:t>3.投标人资格要求及审查办法</w:t>
      </w:r>
    </w:p>
    <w:p w14:paraId="338A0F7A">
      <w:pPr>
        <w:widowControl/>
        <w:numPr>
          <w:ilvl w:val="1"/>
          <w:numId w:val="2"/>
        </w:numPr>
        <w:tabs>
          <w:tab w:val="left" w:pos="900"/>
          <w:tab w:val="left" w:pos="1100"/>
        </w:tabs>
        <w:spacing w:line="360" w:lineRule="exact"/>
        <w:rPr>
          <w:rFonts w:hint="eastAsia" w:ascii="宋体" w:hAnsi="宋体"/>
          <w:sz w:val="24"/>
        </w:rPr>
      </w:pPr>
      <w:r>
        <w:rPr>
          <w:rFonts w:hint="eastAsia" w:ascii="宋体" w:hAnsi="宋体"/>
          <w:sz w:val="24"/>
        </w:rPr>
        <w:t>本招标项目要求投标人须具备独立的法人资格，并具备有效的企业营业执照。本招标项目要求投标人同时具备建设行政主管部门核发的</w:t>
      </w:r>
      <w:r>
        <w:rPr>
          <w:rFonts w:hint="eastAsia" w:ascii="宋体" w:hAnsi="宋体"/>
          <w:b/>
          <w:bCs/>
          <w:sz w:val="24"/>
          <w:u w:val="single"/>
        </w:rPr>
        <w:t>建筑工程施工总承包三级及以上资质和市政公用工程施工总承包三级及以上资质</w:t>
      </w:r>
      <w:r>
        <w:rPr>
          <w:rFonts w:hint="eastAsia" w:ascii="宋体" w:hAnsi="宋体"/>
          <w:sz w:val="24"/>
        </w:rPr>
        <w:t xml:space="preserve">和有效的《施工企业安全生产许可证》； </w:t>
      </w:r>
    </w:p>
    <w:p w14:paraId="659FE576">
      <w:pPr>
        <w:widowControl/>
        <w:numPr>
          <w:ilvl w:val="1"/>
          <w:numId w:val="2"/>
        </w:numPr>
        <w:tabs>
          <w:tab w:val="left" w:pos="900"/>
          <w:tab w:val="left" w:pos="1100"/>
        </w:tabs>
        <w:spacing w:line="360" w:lineRule="exact"/>
        <w:rPr>
          <w:rFonts w:hint="eastAsia" w:ascii="宋体" w:hAnsi="宋体"/>
          <w:sz w:val="24"/>
        </w:rPr>
      </w:pPr>
      <w:r>
        <w:rPr>
          <w:rFonts w:hint="eastAsia" w:ascii="宋体" w:hAnsi="宋体"/>
          <w:sz w:val="24"/>
        </w:rPr>
        <w:t>投标人拟担任本招标项目的项目负责人应具备有效的不低于二级</w:t>
      </w:r>
      <w:r>
        <w:rPr>
          <w:rFonts w:hint="eastAsia" w:ascii="宋体" w:hAnsi="宋体"/>
          <w:sz w:val="24"/>
          <w:u w:val="single"/>
        </w:rPr>
        <w:t xml:space="preserve"> 建筑工程或市政公用工程</w:t>
      </w:r>
      <w:r>
        <w:rPr>
          <w:rFonts w:hint="eastAsia" w:ascii="宋体" w:hAnsi="宋体"/>
          <w:sz w:val="24"/>
        </w:rPr>
        <w:t>(专业)注册建造师执业资格，并持有安全生产考核合格证书B证；</w:t>
      </w:r>
    </w:p>
    <w:p w14:paraId="4B2D13CB">
      <w:pPr>
        <w:widowControl/>
        <w:numPr>
          <w:ilvl w:val="1"/>
          <w:numId w:val="2"/>
        </w:numPr>
        <w:tabs>
          <w:tab w:val="left" w:pos="900"/>
          <w:tab w:val="left" w:pos="1100"/>
        </w:tabs>
        <w:wordWrap w:val="0"/>
        <w:spacing w:line="360" w:lineRule="exact"/>
        <w:rPr>
          <w:rFonts w:hint="eastAsia" w:ascii="宋体" w:hAnsi="宋体"/>
          <w:sz w:val="24"/>
        </w:rPr>
      </w:pPr>
      <w:r>
        <w:rPr>
          <w:rFonts w:hint="eastAsia" w:ascii="宋体" w:hAnsi="宋体"/>
          <w:sz w:val="24"/>
        </w:rPr>
        <w:t>本招标项目不接受联合体投标；</w:t>
      </w:r>
    </w:p>
    <w:p w14:paraId="4A817755">
      <w:pPr>
        <w:widowControl/>
        <w:numPr>
          <w:ilvl w:val="1"/>
          <w:numId w:val="2"/>
        </w:numPr>
        <w:tabs>
          <w:tab w:val="left" w:pos="900"/>
          <w:tab w:val="left" w:pos="1100"/>
        </w:tabs>
        <w:spacing w:line="360" w:lineRule="exact"/>
        <w:rPr>
          <w:rFonts w:hint="eastAsia" w:ascii="宋体" w:hAnsi="宋体"/>
          <w:sz w:val="24"/>
        </w:rPr>
      </w:pPr>
      <w:r>
        <w:rPr>
          <w:rFonts w:hint="eastAsia" w:ascii="宋体" w:hAnsi="宋体"/>
          <w:sz w:val="24"/>
        </w:rPr>
        <w:t>非福建省行政区域内注册的投标人应按闽建办筑[2015]13号文件的规定完成入闽信息登记工作；</w:t>
      </w:r>
    </w:p>
    <w:p w14:paraId="49B6B790">
      <w:pPr>
        <w:widowControl/>
        <w:numPr>
          <w:ilvl w:val="1"/>
          <w:numId w:val="2"/>
        </w:numPr>
        <w:tabs>
          <w:tab w:val="left" w:pos="900"/>
          <w:tab w:val="left" w:pos="1100"/>
        </w:tabs>
        <w:spacing w:line="360" w:lineRule="exact"/>
        <w:rPr>
          <w:rStyle w:val="71"/>
          <w:rFonts w:ascii="宋体" w:hAnsi="宋体"/>
          <w:sz w:val="24"/>
        </w:rPr>
      </w:pPr>
      <w:r>
        <w:rPr>
          <w:rStyle w:val="71"/>
          <w:rFonts w:hint="eastAsia" w:ascii="宋体" w:hAnsi="宋体"/>
          <w:sz w:val="24"/>
        </w:rPr>
        <w:t>投标人的企业信息和拟派项目管理人员信息应在福建省建设行业信息公开平台可查询到且查询到的信息完整；</w:t>
      </w:r>
    </w:p>
    <w:p w14:paraId="0AF9C9A0">
      <w:pPr>
        <w:widowControl/>
        <w:numPr>
          <w:ilvl w:val="1"/>
          <w:numId w:val="2"/>
        </w:numPr>
        <w:tabs>
          <w:tab w:val="left" w:pos="900"/>
          <w:tab w:val="left" w:pos="1100"/>
        </w:tabs>
        <w:spacing w:line="360" w:lineRule="exact"/>
        <w:rPr>
          <w:rFonts w:hint="eastAsia" w:ascii="宋体" w:hAnsi="宋体"/>
          <w:sz w:val="24"/>
        </w:rPr>
      </w:pPr>
      <w:r>
        <w:rPr>
          <w:rFonts w:hint="eastAsia" w:ascii="宋体" w:hAnsi="宋体"/>
          <w:sz w:val="24"/>
        </w:rPr>
        <w:t>投标人不得属于被纳入福建省建设工程责任主体不良记录“质量安全黑名单”和“文明施工黑名单”，且在“黑名单”管理有效期内的企业；</w:t>
      </w:r>
    </w:p>
    <w:p w14:paraId="26556CA8">
      <w:pPr>
        <w:widowControl/>
        <w:numPr>
          <w:ilvl w:val="1"/>
          <w:numId w:val="2"/>
        </w:numPr>
        <w:tabs>
          <w:tab w:val="left" w:pos="900"/>
          <w:tab w:val="left" w:pos="1100"/>
        </w:tabs>
        <w:wordWrap w:val="0"/>
        <w:spacing w:line="360" w:lineRule="exact"/>
        <w:jc w:val="left"/>
        <w:rPr>
          <w:rFonts w:hint="eastAsia" w:ascii="宋体" w:hAnsi="宋体"/>
          <w:sz w:val="24"/>
        </w:rPr>
      </w:pPr>
      <w:r>
        <w:rPr>
          <w:rFonts w:hint="eastAsia" w:ascii="宋体" w:hAnsi="宋体"/>
          <w:sz w:val="24"/>
        </w:rPr>
        <w:t>投标人应在人员、设备、资金等方面具有承担本招标项目施工的能力；</w:t>
      </w:r>
    </w:p>
    <w:p w14:paraId="52FA19AC">
      <w:pPr>
        <w:widowControl/>
        <w:numPr>
          <w:ilvl w:val="1"/>
          <w:numId w:val="2"/>
        </w:numPr>
        <w:tabs>
          <w:tab w:val="left" w:pos="900"/>
          <w:tab w:val="left" w:pos="1100"/>
        </w:tabs>
        <w:wordWrap w:val="0"/>
        <w:spacing w:line="360" w:lineRule="exact"/>
        <w:jc w:val="left"/>
        <w:rPr>
          <w:rFonts w:hint="eastAsia" w:ascii="宋体" w:hAnsi="宋体"/>
          <w:sz w:val="24"/>
        </w:rPr>
      </w:pPr>
      <w:r>
        <w:rPr>
          <w:rFonts w:hint="eastAsia" w:ascii="宋体" w:hAnsi="宋体"/>
          <w:sz w:val="24"/>
        </w:rPr>
        <w:t>本招标项目招标人采用资格后审的方式对投标人进行资格审查。</w:t>
      </w:r>
    </w:p>
    <w:p w14:paraId="416EF996">
      <w:pPr>
        <w:widowControl/>
        <w:tabs>
          <w:tab w:val="left" w:pos="360"/>
          <w:tab w:val="left" w:pos="900"/>
          <w:tab w:val="left" w:pos="1100"/>
        </w:tabs>
        <w:spacing w:line="360" w:lineRule="auto"/>
        <w:ind w:firstLine="482" w:firstLineChars="200"/>
        <w:jc w:val="left"/>
        <w:rPr>
          <w:rFonts w:hint="eastAsia" w:ascii="宋体" w:hAnsi="宋体"/>
          <w:b/>
          <w:sz w:val="24"/>
        </w:rPr>
      </w:pPr>
      <w:r>
        <w:rPr>
          <w:rFonts w:hint="eastAsia" w:ascii="宋体" w:hAnsi="宋体"/>
          <w:b/>
          <w:sz w:val="24"/>
        </w:rPr>
        <w:t>4．招标文件的获取</w:t>
      </w:r>
    </w:p>
    <w:p w14:paraId="0D6235DA">
      <w:pPr>
        <w:wordWrap w:val="0"/>
        <w:spacing w:line="360" w:lineRule="auto"/>
        <w:ind w:firstLine="480" w:firstLineChars="200"/>
        <w:rPr>
          <w:rFonts w:hint="eastAsia" w:ascii="宋体" w:hAnsi="宋体"/>
          <w:sz w:val="24"/>
        </w:rPr>
      </w:pPr>
      <w:r>
        <w:rPr>
          <w:rFonts w:hint="eastAsia" w:ascii="宋体" w:hAnsi="宋体"/>
          <w:sz w:val="24"/>
        </w:rPr>
        <w:t>1）招标人自</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rPr>
        <w:t>年</w:t>
      </w:r>
      <w:r>
        <w:rPr>
          <w:rFonts w:hint="eastAsia" w:ascii="宋体" w:hAnsi="宋体"/>
          <w:sz w:val="24"/>
          <w:u w:val="single"/>
          <w:lang w:val="en-US" w:eastAsia="zh-CN"/>
        </w:rPr>
        <w:t xml:space="preserve"> 1 </w:t>
      </w:r>
      <w:r>
        <w:rPr>
          <w:rFonts w:hint="eastAsia" w:ascii="宋体" w:hAnsi="宋体"/>
          <w:sz w:val="24"/>
        </w:rPr>
        <w:t>月</w:t>
      </w:r>
      <w:r>
        <w:rPr>
          <w:rFonts w:hint="eastAsia" w:ascii="宋体" w:hAnsi="宋体"/>
          <w:sz w:val="24"/>
          <w:u w:val="single"/>
          <w:lang w:val="en-US" w:eastAsia="zh-CN"/>
        </w:rPr>
        <w:t xml:space="preserve"> 9 </w:t>
      </w:r>
      <w:r>
        <w:rPr>
          <w:rFonts w:hint="eastAsia" w:ascii="宋体" w:hAnsi="宋体"/>
          <w:sz w:val="24"/>
        </w:rPr>
        <w:t>日起在湄洲湾职业技术学院网(http://www.fjmzw.com/)和</w:t>
      </w:r>
      <w:r>
        <w:rPr>
          <w:rFonts w:hint="eastAsia" w:ascii="宋体" w:hAnsi="宋体"/>
          <w:sz w:val="24"/>
          <w:lang w:eastAsia="zh-CN"/>
        </w:rPr>
        <w:t>新点电子交易平台-福建专区</w:t>
      </w:r>
      <w:r>
        <w:rPr>
          <w:rFonts w:hint="eastAsia" w:ascii="宋体" w:hAnsi="宋体"/>
          <w:sz w:val="24"/>
        </w:rPr>
        <w:t>（</w:t>
      </w:r>
      <w:r>
        <w:rPr>
          <w:rFonts w:hint="eastAsia" w:ascii="宋体" w:hAnsi="宋体"/>
          <w:sz w:val="24"/>
          <w:lang w:eastAsia="zh-CN"/>
        </w:rPr>
        <w:t>https://fujian.etrading.cn/</w:t>
      </w:r>
      <w:r>
        <w:rPr>
          <w:rFonts w:hint="eastAsia" w:ascii="宋体" w:hAnsi="宋体"/>
          <w:sz w:val="24"/>
        </w:rPr>
        <w:t>)发布招标文件，投标人可登录网站自行下载招标文件。</w:t>
      </w:r>
    </w:p>
    <w:p w14:paraId="38B054C3">
      <w:pPr>
        <w:widowControl/>
        <w:tabs>
          <w:tab w:val="left" w:pos="360"/>
          <w:tab w:val="left" w:pos="900"/>
          <w:tab w:val="left" w:pos="1100"/>
        </w:tabs>
        <w:spacing w:line="360" w:lineRule="auto"/>
        <w:ind w:firstLine="482" w:firstLineChars="200"/>
        <w:rPr>
          <w:rFonts w:hint="eastAsia" w:ascii="宋体" w:hAnsi="宋体"/>
          <w:b/>
          <w:sz w:val="24"/>
        </w:rPr>
      </w:pPr>
      <w:r>
        <w:rPr>
          <w:rFonts w:hint="eastAsia" w:ascii="宋体" w:hAnsi="宋体"/>
          <w:b/>
          <w:sz w:val="24"/>
        </w:rPr>
        <w:t>5．评标办法</w:t>
      </w:r>
    </w:p>
    <w:p w14:paraId="67CFFF9D">
      <w:pPr>
        <w:widowControl/>
        <w:tabs>
          <w:tab w:val="left" w:pos="360"/>
          <w:tab w:val="left" w:pos="900"/>
          <w:tab w:val="left" w:pos="1100"/>
        </w:tabs>
        <w:spacing w:line="360" w:lineRule="auto"/>
        <w:rPr>
          <w:rFonts w:hint="eastAsia" w:ascii="宋体" w:hAnsi="宋体"/>
          <w:sz w:val="24"/>
        </w:rPr>
      </w:pPr>
      <w:r>
        <w:rPr>
          <w:rFonts w:hint="eastAsia" w:ascii="宋体" w:hAnsi="宋体"/>
          <w:sz w:val="24"/>
        </w:rPr>
        <w:t xml:space="preserve">    本招标项目</w:t>
      </w:r>
      <w:r>
        <w:rPr>
          <w:rFonts w:hint="eastAsia"/>
          <w:sz w:val="24"/>
        </w:rPr>
        <w:t>采用</w:t>
      </w:r>
      <w:r>
        <w:rPr>
          <w:rFonts w:hint="eastAsia" w:ascii="宋体" w:hAnsi="宋体"/>
          <w:sz w:val="24"/>
        </w:rPr>
        <w:t>的评标办法：</w:t>
      </w:r>
      <w:r>
        <w:rPr>
          <w:rFonts w:hint="eastAsia" w:ascii="宋体" w:hAnsi="宋体"/>
          <w:sz w:val="24"/>
          <w:u w:val="single"/>
        </w:rPr>
        <w:t>简易评标</w:t>
      </w:r>
      <w:r>
        <w:rPr>
          <w:rFonts w:hint="eastAsia" w:ascii="宋体" w:hAnsi="宋体"/>
          <w:b/>
          <w:sz w:val="24"/>
          <w:u w:val="single"/>
        </w:rPr>
        <w:t>法。</w:t>
      </w:r>
    </w:p>
    <w:p w14:paraId="2FFFB19A">
      <w:pPr>
        <w:widowControl/>
        <w:tabs>
          <w:tab w:val="left" w:pos="900"/>
          <w:tab w:val="left" w:pos="1100"/>
        </w:tabs>
        <w:spacing w:line="360" w:lineRule="auto"/>
        <w:ind w:firstLine="482" w:firstLineChars="200"/>
        <w:jc w:val="left"/>
        <w:rPr>
          <w:rFonts w:hint="eastAsia" w:ascii="宋体" w:hAnsi="宋体"/>
          <w:b/>
          <w:sz w:val="24"/>
        </w:rPr>
      </w:pPr>
      <w:r>
        <w:rPr>
          <w:rFonts w:hint="eastAsia" w:ascii="宋体" w:hAnsi="宋体"/>
          <w:b/>
          <w:sz w:val="24"/>
        </w:rPr>
        <w:t>6. 投标保证金的递交</w:t>
      </w:r>
    </w:p>
    <w:p w14:paraId="0C87C91F">
      <w:pPr>
        <w:widowControl/>
        <w:tabs>
          <w:tab w:val="left" w:pos="360"/>
          <w:tab w:val="left" w:pos="900"/>
          <w:tab w:val="left" w:pos="1100"/>
        </w:tabs>
        <w:spacing w:before="120" w:line="360" w:lineRule="auto"/>
        <w:ind w:firstLine="480" w:firstLineChars="200"/>
        <w:jc w:val="left"/>
        <w:rPr>
          <w:rStyle w:val="71"/>
          <w:rFonts w:ascii="宋体" w:hAnsi="宋体"/>
          <w:bCs/>
          <w:sz w:val="24"/>
        </w:rPr>
      </w:pPr>
      <w:r>
        <w:rPr>
          <w:rStyle w:val="71"/>
          <w:rFonts w:ascii="宋体" w:hAnsi="宋体"/>
          <w:bCs/>
          <w:sz w:val="24"/>
        </w:rPr>
        <w:t>本招标项目的投标保证金为</w:t>
      </w:r>
      <w:r>
        <w:rPr>
          <w:rStyle w:val="71"/>
          <w:rFonts w:ascii="宋体" w:hAnsi="宋体"/>
          <w:bCs/>
          <w:sz w:val="24"/>
          <w:u w:val="single"/>
        </w:rPr>
        <w:t>人民币</w:t>
      </w:r>
      <w:r>
        <w:rPr>
          <w:rFonts w:hint="eastAsia" w:ascii="宋体" w:hAnsi="宋体"/>
          <w:sz w:val="24"/>
          <w:u w:val="single"/>
        </w:rPr>
        <w:t>肆万元整(¥ 40000元整)</w:t>
      </w:r>
      <w:r>
        <w:rPr>
          <w:rStyle w:val="71"/>
          <w:rFonts w:ascii="宋体" w:hAnsi="宋体"/>
          <w:bCs/>
          <w:sz w:val="24"/>
        </w:rPr>
        <w:t>,具体缴交办法见投标须知第</w:t>
      </w:r>
      <w:r>
        <w:rPr>
          <w:rStyle w:val="71"/>
          <w:rFonts w:hint="eastAsia" w:ascii="宋体" w:hAnsi="宋体"/>
          <w:bCs/>
          <w:sz w:val="24"/>
        </w:rPr>
        <w:t>20</w:t>
      </w:r>
      <w:r>
        <w:rPr>
          <w:rStyle w:val="71"/>
          <w:rFonts w:ascii="宋体" w:hAnsi="宋体"/>
          <w:bCs/>
          <w:sz w:val="24"/>
        </w:rPr>
        <w:t>项</w:t>
      </w:r>
      <w:r>
        <w:rPr>
          <w:rStyle w:val="71"/>
          <w:rFonts w:hint="eastAsia" w:ascii="宋体" w:hAnsi="宋体"/>
          <w:bCs/>
          <w:sz w:val="24"/>
        </w:rPr>
        <w:t>。</w:t>
      </w:r>
    </w:p>
    <w:p w14:paraId="2EE29909">
      <w:pPr>
        <w:widowControl/>
        <w:tabs>
          <w:tab w:val="left" w:pos="360"/>
          <w:tab w:val="left" w:pos="900"/>
          <w:tab w:val="left" w:pos="1100"/>
        </w:tabs>
        <w:spacing w:before="120" w:line="360" w:lineRule="auto"/>
        <w:ind w:firstLine="482" w:firstLineChars="200"/>
        <w:jc w:val="left"/>
        <w:rPr>
          <w:rFonts w:hint="eastAsia" w:ascii="宋体" w:hAnsi="宋体"/>
          <w:b/>
          <w:sz w:val="24"/>
        </w:rPr>
      </w:pPr>
      <w:r>
        <w:rPr>
          <w:rFonts w:hint="eastAsia" w:ascii="宋体" w:hAnsi="宋体"/>
          <w:b/>
          <w:sz w:val="24"/>
        </w:rPr>
        <w:t>7. 投标文件的递交</w:t>
      </w:r>
    </w:p>
    <w:p w14:paraId="7C42020F">
      <w:pPr>
        <w:pStyle w:val="2"/>
        <w:keepNext w:val="0"/>
        <w:keepLines w:val="0"/>
        <w:widowControl/>
        <w:suppressLineNumbers w:val="0"/>
        <w:spacing w:before="496" w:beforeAutospacing="0" w:after="0" w:afterAutospacing="0" w:line="23" w:lineRule="atLeast"/>
        <w:ind w:left="0" w:right="0" w:firstLine="482"/>
        <w:jc w:val="left"/>
        <w:rPr>
          <w:rStyle w:val="71"/>
          <w:rFonts w:ascii="宋体" w:hAnsi="宋体"/>
          <w:sz w:val="24"/>
        </w:rPr>
      </w:pPr>
      <w:r>
        <w:rPr>
          <w:rStyle w:val="71"/>
          <w:rFonts w:ascii="宋体" w:hAnsi="宋体"/>
          <w:sz w:val="24"/>
        </w:rPr>
        <w:t>投标文件递交的截止时间(投标截止时间)：</w:t>
      </w:r>
      <w:r>
        <w:rPr>
          <w:rStyle w:val="71"/>
          <w:rFonts w:ascii="宋体" w:hAnsi="宋体"/>
          <w:sz w:val="24"/>
          <w:u w:val="single"/>
        </w:rPr>
        <w:t xml:space="preserve"> 202</w:t>
      </w:r>
      <w:r>
        <w:rPr>
          <w:rStyle w:val="71"/>
          <w:rFonts w:hint="eastAsia" w:ascii="宋体" w:hAnsi="宋体"/>
          <w:sz w:val="24"/>
          <w:u w:val="single"/>
          <w:lang w:val="en-US" w:eastAsia="zh-CN"/>
        </w:rPr>
        <w:t>6</w:t>
      </w:r>
      <w:r>
        <w:rPr>
          <w:rStyle w:val="71"/>
          <w:rFonts w:ascii="宋体" w:hAnsi="宋体"/>
          <w:sz w:val="24"/>
        </w:rPr>
        <w:t>年</w:t>
      </w:r>
      <w:r>
        <w:rPr>
          <w:rStyle w:val="71"/>
          <w:rFonts w:hint="eastAsia" w:ascii="宋体" w:hAnsi="宋体"/>
          <w:sz w:val="24"/>
          <w:u w:val="single"/>
          <w:lang w:val="en-US" w:eastAsia="zh-CN"/>
        </w:rPr>
        <w:t xml:space="preserve"> 1 </w:t>
      </w:r>
      <w:r>
        <w:rPr>
          <w:rStyle w:val="71"/>
          <w:rFonts w:ascii="宋体" w:hAnsi="宋体"/>
          <w:sz w:val="24"/>
        </w:rPr>
        <w:t>月</w:t>
      </w:r>
      <w:r>
        <w:rPr>
          <w:rStyle w:val="71"/>
          <w:rFonts w:hint="eastAsia" w:ascii="宋体" w:hAnsi="宋体"/>
          <w:sz w:val="24"/>
          <w:u w:val="single"/>
          <w:lang w:val="en-US" w:eastAsia="zh-CN"/>
        </w:rPr>
        <w:t xml:space="preserve"> 20 </w:t>
      </w:r>
      <w:r>
        <w:rPr>
          <w:rStyle w:val="71"/>
          <w:rFonts w:ascii="宋体" w:hAnsi="宋体"/>
          <w:sz w:val="24"/>
        </w:rPr>
        <w:t>日</w:t>
      </w:r>
      <w:r>
        <w:rPr>
          <w:rStyle w:val="71"/>
          <w:rFonts w:hint="eastAsia" w:ascii="宋体" w:hAnsi="宋体"/>
          <w:sz w:val="24"/>
        </w:rPr>
        <w:t>09</w:t>
      </w:r>
      <w:r>
        <w:rPr>
          <w:rStyle w:val="71"/>
          <w:rFonts w:ascii="宋体" w:hAnsi="宋体"/>
          <w:sz w:val="24"/>
        </w:rPr>
        <w:t>:</w:t>
      </w:r>
      <w:r>
        <w:rPr>
          <w:rStyle w:val="71"/>
          <w:rFonts w:hint="eastAsia" w:ascii="宋体" w:hAnsi="宋体"/>
          <w:sz w:val="24"/>
        </w:rPr>
        <w:t>00</w:t>
      </w:r>
      <w:r>
        <w:rPr>
          <w:rStyle w:val="71"/>
          <w:rFonts w:ascii="宋体" w:hAnsi="宋体"/>
          <w:sz w:val="24"/>
        </w:rPr>
        <w:t>时，在</w:t>
      </w:r>
      <w:r>
        <w:rPr>
          <w:rStyle w:val="71"/>
          <w:rFonts w:ascii="宋体" w:hAnsi="宋体"/>
          <w:sz w:val="24"/>
          <w:u w:val="single"/>
        </w:rPr>
        <w:t xml:space="preserve"> </w:t>
      </w:r>
      <w:r>
        <w:rPr>
          <w:rFonts w:hint="eastAsia" w:ascii="宋体" w:hAnsi="宋体" w:eastAsia="宋体" w:cs="宋体"/>
          <w:b w:val="0"/>
          <w:bCs w:val="0"/>
          <w:color w:val="333333"/>
          <w:sz w:val="24"/>
          <w:szCs w:val="24"/>
          <w:u w:val="single"/>
        </w:rPr>
        <w:t>莆田市城厢区龙桥街道荔城中大道龙兴路（路口）二楼（莆田市数字城市电子交易服务平台）</w:t>
      </w:r>
      <w:r>
        <w:rPr>
          <w:rStyle w:val="71"/>
          <w:rFonts w:ascii="宋体" w:hAnsi="宋体"/>
          <w:sz w:val="24"/>
          <w:u w:val="single"/>
        </w:rPr>
        <w:t>进行</w:t>
      </w:r>
      <w:r>
        <w:rPr>
          <w:rStyle w:val="71"/>
          <w:rFonts w:ascii="宋体" w:hAnsi="宋体"/>
          <w:i/>
          <w:sz w:val="24"/>
        </w:rPr>
        <w:t>，</w:t>
      </w:r>
      <w:r>
        <w:rPr>
          <w:rStyle w:val="71"/>
          <w:rFonts w:ascii="宋体" w:hAnsi="宋体"/>
          <w:sz w:val="24"/>
        </w:rPr>
        <w:t>投标人应在截止时间前通过</w:t>
      </w:r>
      <w:r>
        <w:rPr>
          <w:rFonts w:hint="eastAsia" w:ascii="宋体" w:hAnsi="宋体" w:eastAsia="宋体" w:cs="宋体"/>
          <w:color w:val="333333"/>
          <w:sz w:val="24"/>
          <w:szCs w:val="24"/>
          <w:u w:val="single"/>
        </w:rPr>
        <w:t>新点电子交易平台-福建专区（http://fujian.etrading.cn/）</w:t>
      </w:r>
      <w:r>
        <w:rPr>
          <w:rStyle w:val="71"/>
          <w:rFonts w:ascii="宋体" w:hAnsi="宋体"/>
          <w:sz w:val="24"/>
        </w:rPr>
        <w:t>递交电子投标文件。投标人必须通过已激活的企业CA网上提交，本招标项目采用远程解密投标文件。</w:t>
      </w:r>
      <w:r>
        <w:rPr>
          <w:rStyle w:val="71"/>
          <w:rFonts w:hint="eastAsia" w:ascii="宋体" w:hAnsi="宋体"/>
          <w:sz w:val="24"/>
        </w:rPr>
        <w:t>如有技术疑问，请咨询平台电话：4009280095-5或0594-2221219</w:t>
      </w:r>
      <w:r>
        <w:rPr>
          <w:rStyle w:val="71"/>
          <w:rFonts w:ascii="宋体" w:hAnsi="宋体"/>
          <w:sz w:val="24"/>
        </w:rPr>
        <w:t>。</w:t>
      </w:r>
    </w:p>
    <w:p w14:paraId="5434D7DC">
      <w:pPr>
        <w:widowControl/>
        <w:tabs>
          <w:tab w:val="left" w:pos="360"/>
          <w:tab w:val="left" w:pos="900"/>
          <w:tab w:val="left" w:pos="1100"/>
        </w:tabs>
        <w:spacing w:line="360" w:lineRule="auto"/>
        <w:ind w:firstLine="482" w:firstLineChars="200"/>
        <w:jc w:val="left"/>
        <w:rPr>
          <w:rFonts w:hint="eastAsia" w:ascii="宋体" w:hAnsi="宋体"/>
          <w:b/>
          <w:sz w:val="24"/>
        </w:rPr>
      </w:pPr>
      <w:r>
        <w:rPr>
          <w:rFonts w:hint="eastAsia" w:ascii="宋体" w:hAnsi="宋体"/>
          <w:b/>
          <w:sz w:val="24"/>
        </w:rPr>
        <w:t>逾期提交的网上投标文件、逾期送达或未送达指定地点的电子版投标文件，招标人将拒绝接收。</w:t>
      </w:r>
    </w:p>
    <w:p w14:paraId="4387DA37">
      <w:pPr>
        <w:widowControl/>
        <w:tabs>
          <w:tab w:val="left" w:pos="360"/>
          <w:tab w:val="left" w:pos="900"/>
          <w:tab w:val="left" w:pos="1100"/>
        </w:tabs>
        <w:spacing w:line="360" w:lineRule="auto"/>
        <w:ind w:firstLine="482" w:firstLineChars="200"/>
        <w:jc w:val="left"/>
        <w:rPr>
          <w:rFonts w:hint="eastAsia" w:ascii="宋体" w:hAnsi="宋体"/>
          <w:b/>
          <w:sz w:val="24"/>
        </w:rPr>
      </w:pPr>
      <w:r>
        <w:rPr>
          <w:rFonts w:hint="eastAsia" w:ascii="宋体" w:hAnsi="宋体"/>
          <w:b/>
          <w:sz w:val="24"/>
        </w:rPr>
        <w:t>8. 发布公告的媒介</w:t>
      </w:r>
    </w:p>
    <w:p w14:paraId="51E79962">
      <w:pPr>
        <w:widowControl/>
        <w:tabs>
          <w:tab w:val="left" w:pos="360"/>
          <w:tab w:val="left" w:pos="900"/>
          <w:tab w:val="left" w:pos="1100"/>
        </w:tabs>
        <w:spacing w:line="360" w:lineRule="auto"/>
        <w:jc w:val="left"/>
        <w:rPr>
          <w:rFonts w:hint="eastAsia" w:ascii="宋体" w:hAnsi="宋体"/>
          <w:sz w:val="24"/>
        </w:rPr>
      </w:pPr>
      <w:r>
        <w:rPr>
          <w:rFonts w:hint="eastAsia" w:ascii="宋体" w:hAnsi="宋体"/>
          <w:sz w:val="24"/>
        </w:rPr>
        <w:t xml:space="preserve">   招标人在湄洲湾职业技术学院网(http://www.fjmzw.com/)和</w:t>
      </w:r>
      <w:r>
        <w:rPr>
          <w:rFonts w:hint="eastAsia" w:ascii="宋体" w:hAnsi="宋体"/>
          <w:sz w:val="24"/>
          <w:lang w:eastAsia="zh-CN"/>
        </w:rPr>
        <w:t>新点电子交易平台-福建专区</w:t>
      </w:r>
      <w:r>
        <w:rPr>
          <w:rFonts w:hint="eastAsia" w:ascii="宋体" w:hAnsi="宋体"/>
          <w:sz w:val="24"/>
        </w:rPr>
        <w:t>（</w:t>
      </w:r>
      <w:r>
        <w:rPr>
          <w:rFonts w:hint="eastAsia" w:ascii="宋体" w:hAnsi="宋体"/>
          <w:sz w:val="24"/>
          <w:lang w:eastAsia="zh-CN"/>
        </w:rPr>
        <w:t>https://fujian.etrading.cn/</w:t>
      </w:r>
      <w:r>
        <w:rPr>
          <w:rFonts w:hint="eastAsia" w:ascii="宋体" w:hAnsi="宋体"/>
          <w:sz w:val="24"/>
        </w:rPr>
        <w:t>)发布招标公告。</w:t>
      </w:r>
    </w:p>
    <w:p w14:paraId="62ABB41B">
      <w:pPr>
        <w:widowControl/>
        <w:tabs>
          <w:tab w:val="left" w:pos="900"/>
          <w:tab w:val="left" w:pos="1100"/>
        </w:tabs>
        <w:spacing w:line="400" w:lineRule="exact"/>
        <w:ind w:firstLine="482" w:firstLineChars="200"/>
        <w:jc w:val="left"/>
        <w:rPr>
          <w:rFonts w:hint="eastAsia" w:ascii="宋体" w:hAnsi="宋体"/>
          <w:b/>
          <w:sz w:val="24"/>
        </w:rPr>
      </w:pPr>
      <w:r>
        <w:rPr>
          <w:rFonts w:hint="eastAsia" w:ascii="宋体" w:hAnsi="宋体"/>
          <w:b/>
          <w:sz w:val="24"/>
        </w:rPr>
        <w:t>9.联系方式</w:t>
      </w:r>
    </w:p>
    <w:p w14:paraId="32529C05">
      <w:pPr>
        <w:widowControl/>
        <w:tabs>
          <w:tab w:val="left" w:pos="360"/>
          <w:tab w:val="left" w:pos="900"/>
          <w:tab w:val="left" w:pos="1100"/>
        </w:tabs>
        <w:spacing w:line="400" w:lineRule="exact"/>
        <w:ind w:firstLine="480" w:firstLineChars="200"/>
        <w:jc w:val="left"/>
        <w:rPr>
          <w:rFonts w:hint="eastAsia" w:ascii="宋体" w:hAnsi="宋体"/>
          <w:bCs/>
          <w:sz w:val="24"/>
        </w:rPr>
      </w:pPr>
      <w:r>
        <w:rPr>
          <w:rFonts w:hint="eastAsia" w:ascii="宋体" w:hAnsi="宋体"/>
          <w:bCs/>
          <w:sz w:val="24"/>
        </w:rPr>
        <w:t>招标人：</w:t>
      </w:r>
      <w:r>
        <w:rPr>
          <w:rFonts w:hint="eastAsia" w:ascii="宋体" w:hAnsi="宋体"/>
          <w:bCs/>
          <w:sz w:val="24"/>
          <w:u w:val="single"/>
        </w:rPr>
        <w:t>湄洲湾职业技术学院</w:t>
      </w:r>
      <w:r>
        <w:rPr>
          <w:rFonts w:hint="eastAsia" w:ascii="宋体" w:hAnsi="宋体"/>
          <w:bCs/>
          <w:sz w:val="24"/>
        </w:rPr>
        <w:t>；</w:t>
      </w:r>
    </w:p>
    <w:p w14:paraId="2CC7605E">
      <w:pPr>
        <w:widowControl/>
        <w:tabs>
          <w:tab w:val="left" w:pos="360"/>
          <w:tab w:val="left" w:pos="900"/>
          <w:tab w:val="left" w:pos="1100"/>
        </w:tabs>
        <w:spacing w:line="400" w:lineRule="exact"/>
        <w:ind w:firstLine="480" w:firstLineChars="200"/>
        <w:jc w:val="left"/>
        <w:rPr>
          <w:rFonts w:hint="eastAsia" w:ascii="宋体" w:hAnsi="宋体"/>
          <w:bCs/>
          <w:sz w:val="24"/>
        </w:rPr>
      </w:pPr>
      <w:r>
        <w:rPr>
          <w:rFonts w:hint="eastAsia" w:ascii="宋体" w:hAnsi="宋体"/>
          <w:bCs/>
          <w:sz w:val="24"/>
        </w:rPr>
        <w:t>地址：</w:t>
      </w:r>
      <w:r>
        <w:rPr>
          <w:rFonts w:hint="eastAsia" w:ascii="宋体" w:hAnsi="宋体"/>
          <w:bCs/>
          <w:sz w:val="24"/>
          <w:u w:val="single"/>
        </w:rPr>
        <w:t>莆田市涵江区梧塘镇荔涵东大道1001号</w:t>
      </w:r>
      <w:r>
        <w:rPr>
          <w:rFonts w:hint="eastAsia" w:ascii="宋体" w:hAnsi="宋体"/>
          <w:bCs/>
          <w:sz w:val="24"/>
        </w:rPr>
        <w:t>，</w:t>
      </w:r>
    </w:p>
    <w:p w14:paraId="451EAAC9">
      <w:pPr>
        <w:widowControl/>
        <w:tabs>
          <w:tab w:val="left" w:pos="360"/>
          <w:tab w:val="left" w:pos="900"/>
          <w:tab w:val="left" w:pos="1100"/>
        </w:tabs>
        <w:spacing w:line="400" w:lineRule="exact"/>
        <w:ind w:firstLine="480" w:firstLineChars="200"/>
        <w:jc w:val="left"/>
        <w:rPr>
          <w:rFonts w:hint="eastAsia" w:ascii="宋体" w:hAnsi="宋体"/>
          <w:bCs/>
          <w:sz w:val="24"/>
        </w:rPr>
      </w:pPr>
      <w:r>
        <w:rPr>
          <w:rFonts w:hint="eastAsia" w:ascii="宋体" w:hAnsi="宋体"/>
          <w:bCs/>
          <w:sz w:val="24"/>
        </w:rPr>
        <w:t xml:space="preserve">电话： </w:t>
      </w:r>
      <w:r>
        <w:rPr>
          <w:rFonts w:hint="eastAsia" w:ascii="宋体" w:hAnsi="宋体"/>
          <w:bCs/>
          <w:sz w:val="24"/>
          <w:u w:val="single"/>
        </w:rPr>
        <w:t xml:space="preserve"> 13607521909</w:t>
      </w:r>
      <w:r>
        <w:rPr>
          <w:rFonts w:hint="eastAsia" w:ascii="宋体" w:hAnsi="宋体"/>
          <w:bCs/>
          <w:sz w:val="24"/>
        </w:rPr>
        <w:t>；</w:t>
      </w:r>
    </w:p>
    <w:p w14:paraId="3829EB75">
      <w:pPr>
        <w:widowControl/>
        <w:tabs>
          <w:tab w:val="left" w:pos="360"/>
          <w:tab w:val="left" w:pos="900"/>
          <w:tab w:val="left" w:pos="1100"/>
        </w:tabs>
        <w:spacing w:line="400" w:lineRule="exact"/>
        <w:ind w:firstLine="480" w:firstLineChars="200"/>
        <w:jc w:val="left"/>
        <w:rPr>
          <w:rFonts w:hint="eastAsia" w:ascii="宋体" w:hAnsi="宋体"/>
          <w:bCs/>
          <w:sz w:val="24"/>
        </w:rPr>
      </w:pPr>
      <w:r>
        <w:rPr>
          <w:rFonts w:hint="eastAsia" w:ascii="宋体" w:hAnsi="宋体"/>
          <w:bCs/>
          <w:sz w:val="24"/>
        </w:rPr>
        <w:t>联系人：</w:t>
      </w:r>
      <w:r>
        <w:rPr>
          <w:rFonts w:hint="eastAsia" w:ascii="宋体" w:hAnsi="宋体"/>
          <w:bCs/>
          <w:sz w:val="24"/>
          <w:u w:val="single"/>
        </w:rPr>
        <w:t xml:space="preserve"> </w:t>
      </w:r>
      <w:r>
        <w:rPr>
          <w:rFonts w:hint="eastAsia" w:ascii="宋体" w:hAnsi="宋体"/>
          <w:bCs/>
          <w:sz w:val="24"/>
          <w:u w:val="single"/>
          <w:lang w:eastAsia="zh-CN"/>
        </w:rPr>
        <w:t>林</w:t>
      </w:r>
      <w:r>
        <w:rPr>
          <w:rFonts w:hint="eastAsia" w:ascii="宋体" w:hAnsi="宋体"/>
          <w:bCs/>
          <w:sz w:val="24"/>
          <w:u w:val="single"/>
        </w:rPr>
        <w:t>先生</w:t>
      </w:r>
      <w:r>
        <w:rPr>
          <w:rFonts w:hint="eastAsia" w:ascii="宋体" w:hAnsi="宋体"/>
          <w:bCs/>
          <w:sz w:val="24"/>
        </w:rPr>
        <w:t>。</w:t>
      </w:r>
    </w:p>
    <w:p w14:paraId="4CB038B0">
      <w:pPr>
        <w:widowControl/>
        <w:tabs>
          <w:tab w:val="left" w:pos="360"/>
          <w:tab w:val="left" w:pos="900"/>
          <w:tab w:val="left" w:pos="1100"/>
        </w:tabs>
        <w:spacing w:line="400" w:lineRule="exact"/>
        <w:ind w:firstLine="480" w:firstLineChars="200"/>
        <w:jc w:val="left"/>
        <w:rPr>
          <w:rFonts w:hint="eastAsia" w:ascii="宋体" w:hAnsi="宋体"/>
          <w:bCs/>
          <w:sz w:val="24"/>
        </w:rPr>
      </w:pPr>
    </w:p>
    <w:p w14:paraId="545A911A">
      <w:pPr>
        <w:widowControl/>
        <w:tabs>
          <w:tab w:val="left" w:pos="360"/>
          <w:tab w:val="left" w:pos="900"/>
          <w:tab w:val="left" w:pos="1100"/>
        </w:tabs>
        <w:spacing w:line="400" w:lineRule="exact"/>
        <w:ind w:firstLine="480" w:firstLineChars="200"/>
        <w:jc w:val="left"/>
        <w:rPr>
          <w:rFonts w:hint="eastAsia" w:ascii="宋体" w:hAnsi="宋体"/>
          <w:bCs/>
          <w:sz w:val="24"/>
        </w:rPr>
      </w:pPr>
      <w:r>
        <w:rPr>
          <w:rFonts w:hint="eastAsia" w:ascii="宋体" w:hAnsi="宋体"/>
          <w:bCs/>
          <w:sz w:val="24"/>
        </w:rPr>
        <w:t xml:space="preserve">招标代理机构： </w:t>
      </w:r>
      <w:r>
        <w:rPr>
          <w:rFonts w:hint="eastAsia" w:ascii="宋体" w:hAnsi="宋体"/>
          <w:bCs/>
          <w:sz w:val="24"/>
          <w:u w:val="single"/>
          <w:lang w:eastAsia="zh-CN"/>
        </w:rPr>
        <w:t>华联世纪工程咨询股份有限公司</w:t>
      </w:r>
      <w:r>
        <w:rPr>
          <w:rFonts w:hint="eastAsia" w:ascii="宋体" w:hAnsi="宋体"/>
          <w:bCs/>
          <w:sz w:val="24"/>
        </w:rPr>
        <w:t xml:space="preserve">； </w:t>
      </w:r>
    </w:p>
    <w:p w14:paraId="59FB2ADB">
      <w:pPr>
        <w:widowControl/>
        <w:tabs>
          <w:tab w:val="left" w:pos="360"/>
          <w:tab w:val="left" w:pos="900"/>
          <w:tab w:val="left" w:pos="1100"/>
        </w:tabs>
        <w:spacing w:line="400" w:lineRule="exact"/>
        <w:ind w:firstLine="480" w:firstLineChars="200"/>
        <w:jc w:val="left"/>
        <w:rPr>
          <w:rFonts w:hint="eastAsia" w:ascii="宋体" w:hAnsi="宋体"/>
          <w:bCs/>
          <w:sz w:val="24"/>
        </w:rPr>
      </w:pPr>
      <w:r>
        <w:rPr>
          <w:rFonts w:hint="eastAsia" w:ascii="宋体" w:hAnsi="宋体"/>
          <w:bCs/>
          <w:sz w:val="24"/>
        </w:rPr>
        <w:t xml:space="preserve">地址：  </w:t>
      </w:r>
      <w:r>
        <w:rPr>
          <w:rFonts w:hint="eastAsia" w:ascii="宋体" w:hAnsi="宋体"/>
          <w:bCs/>
          <w:sz w:val="24"/>
          <w:u w:val="single"/>
        </w:rPr>
        <w:t>莆田市</w:t>
      </w:r>
      <w:r>
        <w:rPr>
          <w:rFonts w:hint="eastAsia" w:ascii="宋体" w:hAnsi="宋体"/>
          <w:bCs/>
          <w:sz w:val="24"/>
          <w:u w:val="single"/>
          <w:lang w:eastAsia="zh-CN"/>
        </w:rPr>
        <w:t>涵江</w:t>
      </w:r>
      <w:r>
        <w:rPr>
          <w:rFonts w:hint="eastAsia" w:ascii="宋体" w:hAnsi="宋体"/>
          <w:bCs/>
          <w:sz w:val="24"/>
          <w:u w:val="single"/>
        </w:rPr>
        <w:t>区</w:t>
      </w:r>
      <w:r>
        <w:rPr>
          <w:rFonts w:hint="eastAsia" w:ascii="宋体" w:hAnsi="宋体"/>
          <w:bCs/>
          <w:sz w:val="24"/>
        </w:rPr>
        <w:t>；</w:t>
      </w:r>
    </w:p>
    <w:p w14:paraId="69016E90">
      <w:pPr>
        <w:widowControl/>
        <w:tabs>
          <w:tab w:val="left" w:pos="360"/>
          <w:tab w:val="left" w:pos="900"/>
          <w:tab w:val="left" w:pos="1100"/>
        </w:tabs>
        <w:spacing w:line="400" w:lineRule="exact"/>
        <w:ind w:firstLine="480" w:firstLineChars="200"/>
        <w:jc w:val="left"/>
        <w:rPr>
          <w:rFonts w:hint="eastAsia" w:ascii="宋体" w:hAnsi="宋体"/>
          <w:bCs/>
          <w:sz w:val="24"/>
        </w:rPr>
      </w:pPr>
      <w:r>
        <w:rPr>
          <w:rFonts w:hint="eastAsia" w:ascii="宋体" w:hAnsi="宋体"/>
          <w:bCs/>
          <w:sz w:val="24"/>
        </w:rPr>
        <w:t xml:space="preserve">电话： </w:t>
      </w:r>
      <w:r>
        <w:rPr>
          <w:rFonts w:hint="eastAsia" w:ascii="宋体" w:hAnsi="宋体"/>
          <w:bCs/>
          <w:sz w:val="24"/>
          <w:u w:val="single"/>
          <w:lang w:val="en-US" w:eastAsia="zh-CN"/>
        </w:rPr>
        <w:t>15860007177</w:t>
      </w:r>
      <w:r>
        <w:rPr>
          <w:rFonts w:hint="eastAsia" w:ascii="宋体" w:hAnsi="宋体"/>
          <w:bCs/>
          <w:sz w:val="24"/>
        </w:rPr>
        <w:t>；</w:t>
      </w:r>
    </w:p>
    <w:p w14:paraId="102A7219">
      <w:pPr>
        <w:widowControl/>
        <w:tabs>
          <w:tab w:val="left" w:pos="360"/>
          <w:tab w:val="left" w:pos="900"/>
          <w:tab w:val="left" w:pos="1100"/>
        </w:tabs>
        <w:spacing w:line="400" w:lineRule="exact"/>
        <w:ind w:firstLine="480" w:firstLineChars="200"/>
        <w:jc w:val="left"/>
        <w:rPr>
          <w:rFonts w:hint="eastAsia" w:ascii="宋体" w:hAnsi="宋体"/>
          <w:bCs/>
          <w:sz w:val="24"/>
        </w:rPr>
      </w:pPr>
      <w:r>
        <w:rPr>
          <w:rFonts w:hint="eastAsia" w:ascii="宋体" w:hAnsi="宋体"/>
          <w:bCs/>
          <w:sz w:val="24"/>
        </w:rPr>
        <w:t xml:space="preserve">联系人： </w:t>
      </w:r>
      <w:r>
        <w:rPr>
          <w:rFonts w:hint="eastAsia" w:ascii="宋体" w:hAnsi="宋体"/>
          <w:bCs/>
          <w:sz w:val="24"/>
          <w:u w:val="single"/>
        </w:rPr>
        <w:t>小</w:t>
      </w:r>
      <w:r>
        <w:rPr>
          <w:rFonts w:hint="eastAsia" w:ascii="宋体" w:hAnsi="宋体"/>
          <w:bCs/>
          <w:sz w:val="24"/>
          <w:u w:val="single"/>
          <w:lang w:eastAsia="zh-CN"/>
        </w:rPr>
        <w:t>温</w:t>
      </w:r>
      <w:r>
        <w:rPr>
          <w:rFonts w:hint="eastAsia" w:ascii="宋体" w:hAnsi="宋体"/>
          <w:bCs/>
          <w:sz w:val="24"/>
        </w:rPr>
        <w:t xml:space="preserve"> 。</w:t>
      </w:r>
    </w:p>
    <w:p w14:paraId="48BF4D30">
      <w:pPr>
        <w:rPr>
          <w:rFonts w:hint="eastAsia" w:ascii="宋体" w:hAnsi="宋体"/>
          <w:sz w:val="24"/>
        </w:rPr>
      </w:pPr>
    </w:p>
    <w:p w14:paraId="3D09C235">
      <w:pPr>
        <w:jc w:val="center"/>
        <w:rPr>
          <w:rFonts w:hint="eastAsia" w:ascii="宋体" w:hAnsi="宋体"/>
          <w:b/>
          <w:sz w:val="44"/>
          <w:szCs w:val="44"/>
        </w:rPr>
      </w:pPr>
    </w:p>
    <w:p w14:paraId="4011D815">
      <w:pPr>
        <w:pageBreakBefore/>
        <w:jc w:val="center"/>
        <w:rPr>
          <w:rFonts w:hint="eastAsia" w:ascii="宋体" w:hAnsi="宋体"/>
          <w:b/>
          <w:sz w:val="44"/>
          <w:szCs w:val="44"/>
        </w:rPr>
      </w:pPr>
      <w:r>
        <w:rPr>
          <w:rFonts w:hint="eastAsia" w:ascii="宋体" w:hAnsi="宋体"/>
          <w:b/>
          <w:sz w:val="44"/>
          <w:szCs w:val="44"/>
        </w:rPr>
        <w:t>第二章  投标须知</w:t>
      </w:r>
    </w:p>
    <w:p w14:paraId="12F516C8">
      <w:pPr>
        <w:spacing w:line="460" w:lineRule="atLeast"/>
        <w:jc w:val="center"/>
        <w:rPr>
          <w:rFonts w:hint="eastAsia" w:ascii="宋体" w:hAnsi="宋体"/>
          <w:b/>
          <w:sz w:val="30"/>
          <w:szCs w:val="30"/>
        </w:rPr>
      </w:pPr>
      <w:r>
        <w:rPr>
          <w:rFonts w:hint="eastAsia" w:ascii="宋体" w:hAnsi="宋体"/>
          <w:b/>
          <w:sz w:val="30"/>
          <w:szCs w:val="30"/>
        </w:rPr>
        <w:t xml:space="preserve"> (一)总  则</w:t>
      </w:r>
    </w:p>
    <w:p w14:paraId="5D8A07BC">
      <w:pPr>
        <w:spacing w:line="440" w:lineRule="exact"/>
        <w:ind w:firstLine="482" w:firstLineChars="200"/>
        <w:jc w:val="left"/>
        <w:rPr>
          <w:rFonts w:hint="eastAsia" w:ascii="宋体" w:hAnsi="宋体"/>
          <w:b/>
          <w:bCs/>
          <w:sz w:val="24"/>
        </w:rPr>
      </w:pPr>
      <w:r>
        <w:rPr>
          <w:rFonts w:hint="eastAsia" w:ascii="宋体" w:hAnsi="宋体"/>
          <w:b/>
          <w:bCs/>
          <w:sz w:val="24"/>
        </w:rPr>
        <w:t>1.招标项目说明</w:t>
      </w:r>
    </w:p>
    <w:p w14:paraId="357FC46B">
      <w:pPr>
        <w:spacing w:line="440" w:lineRule="exact"/>
        <w:ind w:left="479" w:leftChars="228"/>
        <w:jc w:val="left"/>
        <w:rPr>
          <w:rFonts w:hint="eastAsia" w:ascii="宋体" w:hAnsi="宋体"/>
          <w:sz w:val="24"/>
        </w:rPr>
      </w:pPr>
      <w:r>
        <w:rPr>
          <w:rFonts w:hint="eastAsia" w:ascii="宋体" w:hAnsi="宋体"/>
          <w:sz w:val="24"/>
        </w:rPr>
        <w:t>1.1 项目名称：</w:t>
      </w:r>
      <w:r>
        <w:rPr>
          <w:rFonts w:hint="eastAsia" w:ascii="宋体" w:hAnsi="宋体"/>
          <w:sz w:val="24"/>
          <w:u w:val="single"/>
          <w:lang w:eastAsia="zh-CN"/>
        </w:rPr>
        <w:t>2026年度校园零星修缮及改造工程</w:t>
      </w:r>
      <w:r>
        <w:rPr>
          <w:rFonts w:hint="eastAsia" w:ascii="宋体" w:hAnsi="宋体"/>
          <w:sz w:val="24"/>
          <w:u w:val="single"/>
        </w:rPr>
        <w:t>；</w:t>
      </w:r>
    </w:p>
    <w:p w14:paraId="1717B6EA">
      <w:pPr>
        <w:spacing w:line="440" w:lineRule="exact"/>
        <w:ind w:left="479" w:leftChars="228"/>
        <w:jc w:val="left"/>
        <w:rPr>
          <w:rFonts w:hint="eastAsia" w:ascii="宋体" w:hAnsi="宋体"/>
          <w:sz w:val="24"/>
        </w:rPr>
      </w:pPr>
      <w:r>
        <w:rPr>
          <w:rFonts w:hint="eastAsia" w:ascii="宋体" w:hAnsi="宋体"/>
          <w:sz w:val="24"/>
        </w:rPr>
        <w:t>1.2 建设地点：</w:t>
      </w:r>
      <w:r>
        <w:rPr>
          <w:rFonts w:hint="eastAsia" w:ascii="宋体" w:hAnsi="宋体"/>
          <w:bCs/>
          <w:sz w:val="24"/>
          <w:u w:val="single"/>
        </w:rPr>
        <w:t>莆田市涵江区梧塘镇</w:t>
      </w:r>
      <w:r>
        <w:rPr>
          <w:rFonts w:hint="eastAsia"/>
          <w:bCs/>
          <w:sz w:val="24"/>
          <w:u w:val="single"/>
        </w:rPr>
        <w:t>湄洲湾职业技术学院内</w:t>
      </w:r>
      <w:r>
        <w:rPr>
          <w:rFonts w:hint="eastAsia" w:ascii="宋体" w:hAnsi="宋体"/>
          <w:sz w:val="24"/>
          <w:u w:val="single"/>
        </w:rPr>
        <w:t>；</w:t>
      </w:r>
    </w:p>
    <w:p w14:paraId="312F47E4">
      <w:pPr>
        <w:widowControl/>
        <w:spacing w:line="440" w:lineRule="exact"/>
        <w:ind w:left="510"/>
        <w:jc w:val="left"/>
        <w:rPr>
          <w:rFonts w:hint="eastAsia" w:ascii="宋体" w:hAnsi="宋体"/>
          <w:sz w:val="24"/>
        </w:rPr>
      </w:pPr>
      <w:r>
        <w:rPr>
          <w:rFonts w:hint="eastAsia" w:ascii="宋体" w:hAnsi="宋体"/>
          <w:sz w:val="24"/>
        </w:rPr>
        <w:t>1.3建设规模：</w:t>
      </w:r>
      <w:r>
        <w:rPr>
          <w:rFonts w:hint="eastAsia" w:ascii="宋体" w:hAnsi="宋体"/>
          <w:sz w:val="24"/>
          <w:u w:val="single"/>
        </w:rPr>
        <w:t>总投资额不超过260万元，单项项目金额不超过3万元</w:t>
      </w:r>
      <w:r>
        <w:rPr>
          <w:rFonts w:hint="eastAsia" w:ascii="宋体" w:hAnsi="宋体"/>
          <w:sz w:val="24"/>
        </w:rPr>
        <w:t>；</w:t>
      </w:r>
    </w:p>
    <w:p w14:paraId="783A2818">
      <w:pPr>
        <w:spacing w:line="440" w:lineRule="exact"/>
        <w:ind w:firstLine="480" w:firstLineChars="200"/>
        <w:rPr>
          <w:rFonts w:hint="eastAsia" w:ascii="宋体" w:hAnsi="宋体"/>
          <w:sz w:val="24"/>
        </w:rPr>
      </w:pPr>
      <w:r>
        <w:rPr>
          <w:rFonts w:hint="eastAsia" w:ascii="宋体" w:hAnsi="宋体"/>
          <w:sz w:val="24"/>
        </w:rPr>
        <w:t>1.4 资金来源：</w:t>
      </w:r>
      <w:r>
        <w:rPr>
          <w:rFonts w:hint="eastAsia" w:ascii="宋体" w:hAnsi="宋体"/>
          <w:sz w:val="24"/>
          <w:u w:val="single"/>
        </w:rPr>
        <w:t>学院自筹</w:t>
      </w:r>
      <w:r>
        <w:rPr>
          <w:rFonts w:hint="eastAsia" w:ascii="宋体" w:hAnsi="宋体"/>
          <w:sz w:val="24"/>
        </w:rPr>
        <w:t>；</w:t>
      </w:r>
    </w:p>
    <w:p w14:paraId="4D53B187">
      <w:pPr>
        <w:spacing w:line="430" w:lineRule="exact"/>
        <w:ind w:firstLine="480" w:firstLineChars="200"/>
        <w:rPr>
          <w:rFonts w:hint="eastAsia" w:ascii="宋体" w:hAnsi="宋体"/>
          <w:sz w:val="24"/>
        </w:rPr>
      </w:pPr>
      <w:r>
        <w:rPr>
          <w:rFonts w:hint="eastAsia" w:ascii="宋体" w:hAnsi="宋体"/>
          <w:sz w:val="24"/>
        </w:rPr>
        <w:t>1.5招标范围及内容要求：</w:t>
      </w:r>
      <w:r>
        <w:rPr>
          <w:rFonts w:hint="eastAsia" w:ascii="宋体" w:hAnsi="宋体"/>
          <w:sz w:val="24"/>
          <w:u w:val="single"/>
          <w:lang w:eastAsia="zh-CN"/>
        </w:rPr>
        <w:t>2026年度校园零星修缮及改造工程</w:t>
      </w:r>
      <w:r>
        <w:rPr>
          <w:rFonts w:hint="eastAsia" w:ascii="宋体" w:hAnsi="宋体"/>
          <w:sz w:val="24"/>
          <w:u w:val="single"/>
        </w:rPr>
        <w:t>（不含消防设备维修、防水处理以及配电房年检、高压（10KV）施工等涉及需要电力相关专业资质的项目）；</w:t>
      </w:r>
    </w:p>
    <w:p w14:paraId="0CFB7C0A">
      <w:pPr>
        <w:spacing w:line="440" w:lineRule="exact"/>
        <w:ind w:firstLine="480" w:firstLineChars="200"/>
        <w:rPr>
          <w:rFonts w:hint="eastAsia" w:ascii="宋体" w:hAnsi="宋体"/>
          <w:sz w:val="24"/>
        </w:rPr>
      </w:pPr>
      <w:r>
        <w:rPr>
          <w:rFonts w:hint="eastAsia" w:ascii="宋体" w:hAnsi="宋体"/>
          <w:sz w:val="24"/>
        </w:rPr>
        <w:t>1.6质量标准:</w:t>
      </w:r>
      <w:r>
        <w:rPr>
          <w:rFonts w:hint="eastAsia" w:ascii="宋体" w:hAnsi="宋体"/>
          <w:sz w:val="24"/>
          <w:u w:val="single"/>
        </w:rPr>
        <w:t xml:space="preserve"> 符合国家现行《工程施工质量验收规范》合格标准</w:t>
      </w:r>
      <w:r>
        <w:rPr>
          <w:rFonts w:hint="eastAsia" w:ascii="宋体" w:hAnsi="宋体"/>
          <w:sz w:val="24"/>
        </w:rPr>
        <w:t>；</w:t>
      </w:r>
    </w:p>
    <w:p w14:paraId="62C1CCC2">
      <w:pPr>
        <w:spacing w:line="440" w:lineRule="exact"/>
        <w:ind w:firstLine="482" w:firstLineChars="200"/>
        <w:jc w:val="left"/>
        <w:rPr>
          <w:rFonts w:hint="eastAsia" w:ascii="宋体" w:hAnsi="宋体"/>
          <w:b/>
          <w:sz w:val="24"/>
        </w:rPr>
      </w:pPr>
      <w:r>
        <w:rPr>
          <w:rFonts w:hint="eastAsia" w:ascii="宋体" w:hAnsi="宋体"/>
          <w:b/>
          <w:sz w:val="24"/>
        </w:rPr>
        <w:t>2.</w:t>
      </w:r>
      <w:r>
        <w:rPr>
          <w:rFonts w:hint="eastAsia" w:ascii="宋体" w:hAnsi="宋体"/>
          <w:b/>
          <w:bCs/>
          <w:sz w:val="24"/>
        </w:rPr>
        <w:t>招标项目的工期和质量标准</w:t>
      </w:r>
    </w:p>
    <w:p w14:paraId="5D716E71">
      <w:pPr>
        <w:spacing w:line="440" w:lineRule="exact"/>
        <w:ind w:firstLine="480" w:firstLineChars="200"/>
        <w:rPr>
          <w:rFonts w:hint="eastAsia" w:ascii="宋体" w:hAnsi="宋体"/>
          <w:sz w:val="24"/>
        </w:rPr>
      </w:pPr>
      <w:r>
        <w:rPr>
          <w:rFonts w:hint="eastAsia" w:ascii="宋体" w:hAnsi="宋体"/>
          <w:sz w:val="24"/>
        </w:rPr>
        <w:t>2.1承包期限：</w:t>
      </w:r>
      <w:r>
        <w:rPr>
          <w:rFonts w:hint="eastAsia" w:ascii="宋体" w:hAnsi="宋体"/>
          <w:sz w:val="24"/>
          <w:u w:val="single"/>
        </w:rPr>
        <w:t>合同签订之日起365天；</w:t>
      </w:r>
    </w:p>
    <w:p w14:paraId="716A4F5D">
      <w:pPr>
        <w:spacing w:line="440" w:lineRule="exact"/>
        <w:ind w:firstLine="480" w:firstLineChars="200"/>
        <w:rPr>
          <w:rFonts w:hint="eastAsia" w:ascii="宋体" w:hAnsi="宋体"/>
          <w:sz w:val="24"/>
        </w:rPr>
      </w:pPr>
      <w:r>
        <w:rPr>
          <w:rFonts w:hint="eastAsia" w:ascii="宋体" w:hAnsi="宋体"/>
          <w:sz w:val="24"/>
        </w:rPr>
        <w:t>2.2工期要求：</w:t>
      </w:r>
      <w:r>
        <w:rPr>
          <w:rFonts w:hint="eastAsia" w:ascii="宋体" w:hAnsi="宋体"/>
          <w:sz w:val="24"/>
          <w:u w:val="single"/>
        </w:rPr>
        <w:t>根据招标人的实际项目情况和进度安排，由招标人确定工期</w:t>
      </w:r>
      <w:r>
        <w:rPr>
          <w:rFonts w:hint="eastAsia" w:ascii="宋体" w:hAnsi="宋体"/>
          <w:sz w:val="24"/>
        </w:rPr>
        <w:t>；</w:t>
      </w:r>
    </w:p>
    <w:p w14:paraId="04F68ADE">
      <w:pPr>
        <w:spacing w:line="440" w:lineRule="exact"/>
        <w:ind w:firstLine="480" w:firstLineChars="200"/>
        <w:jc w:val="left"/>
        <w:rPr>
          <w:rFonts w:hint="eastAsia" w:ascii="宋体" w:hAnsi="宋体"/>
          <w:sz w:val="24"/>
        </w:rPr>
      </w:pPr>
      <w:r>
        <w:rPr>
          <w:rFonts w:hint="eastAsia" w:ascii="宋体" w:hAnsi="宋体"/>
          <w:sz w:val="24"/>
        </w:rPr>
        <w:t>2.3招标项目质量标准:</w:t>
      </w:r>
      <w:r>
        <w:rPr>
          <w:rFonts w:hint="eastAsia"/>
        </w:rPr>
        <w:t xml:space="preserve"> </w:t>
      </w:r>
      <w:r>
        <w:rPr>
          <w:rFonts w:hint="eastAsia" w:ascii="宋体" w:hAnsi="宋体"/>
          <w:sz w:val="24"/>
          <w:u w:val="single"/>
        </w:rPr>
        <w:t>符合国家现行《工程施工质量验收规范》合格标准</w:t>
      </w:r>
      <w:r>
        <w:rPr>
          <w:rFonts w:hint="eastAsia" w:ascii="宋体" w:hAnsi="宋体"/>
          <w:sz w:val="24"/>
        </w:rPr>
        <w:t>。</w:t>
      </w:r>
    </w:p>
    <w:p w14:paraId="49C6200D">
      <w:pPr>
        <w:spacing w:line="440" w:lineRule="exact"/>
        <w:ind w:firstLine="480" w:firstLineChars="200"/>
        <w:jc w:val="left"/>
        <w:rPr>
          <w:rFonts w:hint="eastAsia" w:ascii="宋体" w:hAnsi="宋体"/>
          <w:sz w:val="24"/>
        </w:rPr>
      </w:pPr>
      <w:r>
        <w:rPr>
          <w:rFonts w:hint="eastAsia" w:ascii="宋体" w:hAnsi="宋体"/>
          <w:sz w:val="24"/>
        </w:rPr>
        <w:t>2.4人员派驻要求:</w:t>
      </w:r>
      <w:r>
        <w:rPr>
          <w:rFonts w:hint="eastAsia"/>
        </w:rPr>
        <w:t xml:space="preserve"> </w:t>
      </w:r>
      <w:r>
        <w:rPr>
          <w:rFonts w:hint="eastAsia" w:ascii="宋体" w:hAnsi="宋体"/>
          <w:sz w:val="24"/>
        </w:rPr>
        <w:t xml:space="preserve">合同期内，要求中标单位安排至少1人常驻校内，负责应急处置、协调联络、内业整理等相关事宜。 </w:t>
      </w:r>
    </w:p>
    <w:p w14:paraId="5F02A4EE">
      <w:pPr>
        <w:spacing w:line="440" w:lineRule="exact"/>
        <w:ind w:firstLine="480" w:firstLineChars="200"/>
        <w:jc w:val="left"/>
        <w:rPr>
          <w:rFonts w:hint="eastAsia" w:ascii="宋体" w:hAnsi="宋体"/>
          <w:sz w:val="24"/>
        </w:rPr>
      </w:pPr>
      <w:r>
        <w:rPr>
          <w:rFonts w:hint="eastAsia" w:ascii="宋体" w:hAnsi="宋体"/>
          <w:sz w:val="24"/>
        </w:rPr>
        <w:t>2.6</w:t>
      </w:r>
      <w:r>
        <w:rPr>
          <w:rFonts w:ascii="宋体" w:hAnsi="宋体"/>
          <w:sz w:val="24"/>
        </w:rPr>
        <w:t>、发包方式：</w:t>
      </w:r>
      <w:r>
        <w:rPr>
          <w:rFonts w:hint="eastAsia" w:ascii="宋体" w:hAnsi="宋体"/>
          <w:sz w:val="24"/>
        </w:rPr>
        <w:t>本次将公开随机抽取三家单位作为本项目中标候选单位，本项目</w:t>
      </w:r>
      <w:r>
        <w:rPr>
          <w:rFonts w:ascii="宋体" w:hAnsi="宋体"/>
          <w:sz w:val="24"/>
        </w:rPr>
        <w:t>原则上按时间分为3个标段，每个标段施工承包的工期各为四个月，通过随机抽签方式进行排序</w:t>
      </w:r>
      <w:r>
        <w:rPr>
          <w:rFonts w:hint="eastAsia" w:ascii="宋体" w:hAnsi="宋体"/>
          <w:sz w:val="24"/>
        </w:rPr>
        <w:t>（即一家中标候选单位中选一个施工时间段，具体抽取时间以建设单位通知为准）</w:t>
      </w:r>
      <w:r>
        <w:rPr>
          <w:rFonts w:ascii="宋体" w:hAnsi="宋体"/>
          <w:sz w:val="24"/>
        </w:rPr>
        <w:t>。工程量待每个标段竣工验收后进行汇总，最终工程造价以经学院审计科审核的工程结算价为准，按实进行结算。</w:t>
      </w:r>
    </w:p>
    <w:p w14:paraId="37501A96">
      <w:pPr>
        <w:spacing w:line="440" w:lineRule="exact"/>
        <w:ind w:firstLine="482" w:firstLineChars="200"/>
        <w:jc w:val="left"/>
        <w:rPr>
          <w:rFonts w:hint="eastAsia" w:ascii="宋体" w:hAnsi="宋体"/>
          <w:b/>
          <w:bCs/>
          <w:sz w:val="24"/>
        </w:rPr>
      </w:pPr>
      <w:r>
        <w:rPr>
          <w:rFonts w:hint="eastAsia" w:ascii="宋体" w:hAnsi="宋体"/>
          <w:b/>
          <w:bCs/>
          <w:sz w:val="24"/>
        </w:rPr>
        <w:t>3.投标人的资格及资质要求</w:t>
      </w:r>
    </w:p>
    <w:p w14:paraId="3FFCB8B4">
      <w:pPr>
        <w:widowControl/>
        <w:tabs>
          <w:tab w:val="left" w:pos="900"/>
          <w:tab w:val="left" w:pos="1100"/>
        </w:tabs>
        <w:spacing w:line="360" w:lineRule="exact"/>
        <w:ind w:firstLine="480" w:firstLineChars="200"/>
        <w:rPr>
          <w:rFonts w:hint="eastAsia" w:ascii="宋体" w:hAnsi="宋体"/>
          <w:sz w:val="24"/>
        </w:rPr>
      </w:pPr>
      <w:r>
        <w:rPr>
          <w:rFonts w:hint="eastAsia" w:ascii="宋体" w:hAnsi="宋体"/>
          <w:sz w:val="24"/>
        </w:rPr>
        <w:t>3.1本招标项目要求投标人须具备独立的法人资格，并具备有效的企业营业执照。本招标项目要求投标人具备建设行政主管部门核发的</w:t>
      </w:r>
      <w:r>
        <w:rPr>
          <w:rFonts w:hint="eastAsia" w:ascii="宋体" w:hAnsi="宋体"/>
          <w:b/>
          <w:bCs/>
          <w:sz w:val="24"/>
          <w:u w:val="single"/>
        </w:rPr>
        <w:t>建筑工程施工总承包三级及以上资质和市政公用工程施工总承包三级及以上资质</w:t>
      </w:r>
      <w:r>
        <w:rPr>
          <w:rFonts w:hint="eastAsia" w:ascii="宋体" w:hAnsi="宋体"/>
          <w:sz w:val="24"/>
        </w:rPr>
        <w:t xml:space="preserve">和有效的《施工企业安全生产许可证》； </w:t>
      </w:r>
    </w:p>
    <w:p w14:paraId="5BFEB05C">
      <w:pPr>
        <w:widowControl/>
        <w:tabs>
          <w:tab w:val="left" w:pos="900"/>
          <w:tab w:val="left" w:pos="1100"/>
        </w:tabs>
        <w:spacing w:line="360" w:lineRule="exact"/>
        <w:ind w:firstLine="480" w:firstLineChars="200"/>
        <w:rPr>
          <w:rFonts w:hint="eastAsia" w:ascii="宋体" w:hAnsi="宋体"/>
          <w:sz w:val="24"/>
        </w:rPr>
      </w:pPr>
      <w:r>
        <w:rPr>
          <w:rFonts w:hint="eastAsia" w:ascii="宋体" w:hAnsi="宋体"/>
          <w:sz w:val="24"/>
        </w:rPr>
        <w:t>3.2投标人拟担任本招标项目的项目负责人应具备有效的不低于二级</w:t>
      </w:r>
      <w:r>
        <w:rPr>
          <w:rFonts w:hint="eastAsia" w:ascii="宋体" w:hAnsi="宋体"/>
          <w:sz w:val="24"/>
          <w:u w:val="single"/>
        </w:rPr>
        <w:t xml:space="preserve"> 建筑工程或市政公用工程</w:t>
      </w:r>
      <w:r>
        <w:rPr>
          <w:rFonts w:hint="eastAsia" w:ascii="宋体" w:hAnsi="宋体"/>
          <w:sz w:val="24"/>
        </w:rPr>
        <w:t>(专业)注册建造师执业资格，并持有安全生产考核合格证书B证；</w:t>
      </w:r>
    </w:p>
    <w:p w14:paraId="6B1C373C">
      <w:pPr>
        <w:widowControl/>
        <w:tabs>
          <w:tab w:val="left" w:pos="900"/>
          <w:tab w:val="left" w:pos="1100"/>
        </w:tabs>
        <w:wordWrap w:val="0"/>
        <w:spacing w:line="360" w:lineRule="exact"/>
        <w:ind w:firstLine="480" w:firstLineChars="200"/>
        <w:rPr>
          <w:rFonts w:hint="eastAsia" w:ascii="宋体" w:hAnsi="宋体"/>
          <w:sz w:val="24"/>
        </w:rPr>
      </w:pPr>
      <w:r>
        <w:rPr>
          <w:rFonts w:hint="eastAsia" w:ascii="宋体" w:hAnsi="宋体"/>
          <w:sz w:val="24"/>
        </w:rPr>
        <w:t>3.3本招标项目不接受联合体投标；</w:t>
      </w:r>
    </w:p>
    <w:p w14:paraId="7CFFCF1B">
      <w:pPr>
        <w:widowControl/>
        <w:tabs>
          <w:tab w:val="left" w:pos="900"/>
          <w:tab w:val="left" w:pos="1100"/>
        </w:tabs>
        <w:spacing w:line="360" w:lineRule="exact"/>
        <w:ind w:firstLine="480" w:firstLineChars="200"/>
        <w:rPr>
          <w:rFonts w:hint="eastAsia" w:ascii="宋体" w:hAnsi="宋体"/>
          <w:sz w:val="24"/>
        </w:rPr>
      </w:pPr>
      <w:r>
        <w:rPr>
          <w:rFonts w:hint="eastAsia" w:ascii="宋体" w:hAnsi="宋体"/>
          <w:sz w:val="24"/>
        </w:rPr>
        <w:t>3.4非福建省行政区域内注册的投标人应按闽建办筑[2015]13号文件的规定完成入闽信息登记工作；</w:t>
      </w:r>
    </w:p>
    <w:p w14:paraId="2116B7A3">
      <w:pPr>
        <w:widowControl/>
        <w:tabs>
          <w:tab w:val="left" w:pos="900"/>
          <w:tab w:val="left" w:pos="1100"/>
        </w:tabs>
        <w:spacing w:line="360" w:lineRule="exact"/>
        <w:ind w:firstLine="480" w:firstLineChars="200"/>
        <w:rPr>
          <w:rFonts w:hint="eastAsia" w:ascii="宋体" w:hAnsi="宋体"/>
          <w:sz w:val="24"/>
        </w:rPr>
      </w:pPr>
      <w:r>
        <w:rPr>
          <w:rFonts w:hint="eastAsia" w:ascii="宋体" w:hAnsi="宋体"/>
          <w:sz w:val="24"/>
        </w:rPr>
        <w:t>3.5</w:t>
      </w:r>
      <w:r>
        <w:rPr>
          <w:rStyle w:val="71"/>
          <w:rFonts w:hint="eastAsia" w:ascii="宋体" w:hAnsi="宋体"/>
          <w:sz w:val="24"/>
        </w:rPr>
        <w:t>投标人的企业信息和拟派项目管理人员信息应在福建省建设行业信息公开平台可查询到且查询到的信息完整</w:t>
      </w:r>
      <w:r>
        <w:rPr>
          <w:rFonts w:hint="eastAsia" w:ascii="宋体" w:hAnsi="宋体"/>
          <w:sz w:val="24"/>
        </w:rPr>
        <w:t>；</w:t>
      </w:r>
    </w:p>
    <w:p w14:paraId="446FAAF3">
      <w:pPr>
        <w:widowControl/>
        <w:tabs>
          <w:tab w:val="left" w:pos="900"/>
          <w:tab w:val="left" w:pos="1100"/>
        </w:tabs>
        <w:spacing w:line="360" w:lineRule="exact"/>
        <w:ind w:firstLine="480" w:firstLineChars="200"/>
        <w:rPr>
          <w:rFonts w:hint="eastAsia" w:ascii="宋体" w:hAnsi="宋体"/>
          <w:sz w:val="24"/>
        </w:rPr>
      </w:pPr>
      <w:r>
        <w:rPr>
          <w:rFonts w:hint="eastAsia" w:ascii="宋体" w:hAnsi="宋体"/>
          <w:sz w:val="24"/>
        </w:rPr>
        <w:t>3.6</w:t>
      </w:r>
      <w:r>
        <w:rPr>
          <w:rFonts w:hint="eastAsia" w:ascii="宋体" w:hAnsi="宋体"/>
          <w:sz w:val="24"/>
          <w:lang w:val="en-US" w:eastAsia="zh-CN"/>
        </w:rPr>
        <w:t xml:space="preserve"> </w:t>
      </w:r>
      <w:r>
        <w:rPr>
          <w:rFonts w:hint="eastAsia" w:ascii="宋体" w:hAnsi="宋体"/>
          <w:sz w:val="24"/>
        </w:rPr>
        <w:t>投标人不得属于被纳入福建省建设工程责任主体不良记录“质量安全黑名单”和“文明施工黑名单”，且在“黑名单”管理有效期内的企业；</w:t>
      </w:r>
    </w:p>
    <w:p w14:paraId="00F07C4C">
      <w:pPr>
        <w:widowControl/>
        <w:tabs>
          <w:tab w:val="left" w:pos="900"/>
          <w:tab w:val="left" w:pos="1100"/>
        </w:tabs>
        <w:wordWrap w:val="0"/>
        <w:spacing w:line="360" w:lineRule="exact"/>
        <w:ind w:left="510"/>
        <w:jc w:val="left"/>
        <w:rPr>
          <w:rFonts w:hint="eastAsia" w:ascii="宋体" w:hAnsi="宋体"/>
          <w:sz w:val="24"/>
        </w:rPr>
      </w:pPr>
      <w:r>
        <w:rPr>
          <w:rFonts w:hint="eastAsia" w:ascii="宋体" w:hAnsi="宋体"/>
          <w:sz w:val="24"/>
        </w:rPr>
        <w:t>3.7投标人应在人员、设备、资金等方面具有承担本招标项目施工的能力；</w:t>
      </w:r>
    </w:p>
    <w:p w14:paraId="640E2D87">
      <w:pPr>
        <w:spacing w:line="440" w:lineRule="exact"/>
        <w:ind w:firstLine="480" w:firstLineChars="200"/>
        <w:jc w:val="left"/>
        <w:rPr>
          <w:rFonts w:hint="eastAsia" w:ascii="宋体" w:hAnsi="宋体"/>
          <w:sz w:val="24"/>
        </w:rPr>
      </w:pPr>
      <w:r>
        <w:rPr>
          <w:rFonts w:hint="eastAsia" w:ascii="宋体" w:hAnsi="宋体"/>
          <w:sz w:val="24"/>
        </w:rPr>
        <w:t>3.8本招标项目招标人采用资格后审的方式对投标人进行资格审查。</w:t>
      </w:r>
    </w:p>
    <w:p w14:paraId="4659ACF7">
      <w:pPr>
        <w:spacing w:line="440" w:lineRule="exact"/>
        <w:ind w:firstLine="480" w:firstLineChars="200"/>
        <w:jc w:val="left"/>
        <w:rPr>
          <w:rFonts w:hint="eastAsia" w:ascii="宋体" w:hAnsi="宋体"/>
          <w:sz w:val="24"/>
        </w:rPr>
      </w:pPr>
      <w:r>
        <w:rPr>
          <w:rFonts w:hint="eastAsia" w:ascii="宋体" w:hAnsi="宋体"/>
          <w:sz w:val="24"/>
        </w:rPr>
        <w:t>3.9投标人不得存在下列情形之一:</w:t>
      </w:r>
    </w:p>
    <w:p w14:paraId="5BE3FE95">
      <w:pPr>
        <w:snapToGrid w:val="0"/>
        <w:spacing w:line="360" w:lineRule="exact"/>
        <w:ind w:firstLine="482" w:firstLineChars="200"/>
        <w:jc w:val="left"/>
        <w:rPr>
          <w:rStyle w:val="71"/>
          <w:rFonts w:ascii="宋体" w:hAnsi="宋体"/>
          <w:b/>
          <w:sz w:val="24"/>
        </w:rPr>
      </w:pPr>
      <w:r>
        <w:rPr>
          <w:rStyle w:val="71"/>
          <w:rFonts w:ascii="宋体" w:hAnsi="宋体"/>
          <w:b/>
          <w:sz w:val="24"/>
        </w:rPr>
        <w:t xml:space="preserve">(1)为招标人不具有独立法人资格的附属机构(单位)； </w:t>
      </w:r>
    </w:p>
    <w:p w14:paraId="475E8D40">
      <w:pPr>
        <w:snapToGrid w:val="0"/>
        <w:spacing w:line="360" w:lineRule="exact"/>
        <w:ind w:firstLine="482" w:firstLineChars="200"/>
        <w:jc w:val="left"/>
        <w:rPr>
          <w:rStyle w:val="71"/>
          <w:rFonts w:ascii="宋体" w:hAnsi="宋体"/>
          <w:b/>
          <w:sz w:val="24"/>
        </w:rPr>
      </w:pPr>
      <w:r>
        <w:rPr>
          <w:rStyle w:val="71"/>
          <w:rFonts w:ascii="宋体" w:hAnsi="宋体"/>
          <w:b/>
          <w:sz w:val="24"/>
        </w:rPr>
        <w:t>(2)为本项目(标段)前期准备提供设计、咨询服务的，但装修、幕墙、智能化、钢结构、消防、环境等专项工程的除外；</w:t>
      </w:r>
    </w:p>
    <w:p w14:paraId="25EBFE3E">
      <w:pPr>
        <w:snapToGrid w:val="0"/>
        <w:spacing w:line="360" w:lineRule="exact"/>
        <w:ind w:firstLine="482" w:firstLineChars="200"/>
        <w:jc w:val="left"/>
        <w:rPr>
          <w:rStyle w:val="71"/>
          <w:rFonts w:ascii="宋体" w:hAnsi="宋体"/>
          <w:b/>
          <w:sz w:val="24"/>
        </w:rPr>
      </w:pPr>
      <w:r>
        <w:rPr>
          <w:rStyle w:val="71"/>
          <w:rFonts w:ascii="宋体" w:hAnsi="宋体"/>
          <w:b/>
          <w:sz w:val="24"/>
        </w:rPr>
        <w:t>(3)为本项目(标段)的监理人；</w:t>
      </w:r>
    </w:p>
    <w:p w14:paraId="43B03B06">
      <w:pPr>
        <w:snapToGrid w:val="0"/>
        <w:spacing w:line="360" w:lineRule="exact"/>
        <w:ind w:firstLine="482" w:firstLineChars="200"/>
        <w:jc w:val="left"/>
        <w:rPr>
          <w:rStyle w:val="71"/>
          <w:rFonts w:ascii="宋体" w:hAnsi="宋体"/>
          <w:b/>
          <w:sz w:val="24"/>
        </w:rPr>
      </w:pPr>
      <w:r>
        <w:rPr>
          <w:rStyle w:val="71"/>
          <w:rFonts w:ascii="宋体" w:hAnsi="宋体"/>
          <w:b/>
          <w:sz w:val="24"/>
        </w:rPr>
        <w:t>(4)为本项目(标段)的代建人；</w:t>
      </w:r>
    </w:p>
    <w:p w14:paraId="3DB7F4E0">
      <w:pPr>
        <w:snapToGrid w:val="0"/>
        <w:spacing w:line="360" w:lineRule="exact"/>
        <w:ind w:firstLine="482" w:firstLineChars="200"/>
        <w:jc w:val="left"/>
        <w:rPr>
          <w:rStyle w:val="71"/>
          <w:rFonts w:ascii="宋体" w:hAnsi="宋体"/>
          <w:b/>
          <w:sz w:val="24"/>
        </w:rPr>
      </w:pPr>
      <w:r>
        <w:rPr>
          <w:rStyle w:val="71"/>
          <w:rFonts w:ascii="宋体" w:hAnsi="宋体"/>
          <w:b/>
          <w:sz w:val="24"/>
        </w:rPr>
        <w:t>(5)为本项目(标段)提供招标代理服务的；</w:t>
      </w:r>
    </w:p>
    <w:p w14:paraId="43A7D35D">
      <w:pPr>
        <w:snapToGrid w:val="0"/>
        <w:spacing w:line="360" w:lineRule="exact"/>
        <w:ind w:firstLine="482" w:firstLineChars="200"/>
        <w:jc w:val="left"/>
        <w:rPr>
          <w:rStyle w:val="71"/>
          <w:rFonts w:ascii="宋体" w:hAnsi="宋体"/>
          <w:b/>
          <w:sz w:val="24"/>
        </w:rPr>
      </w:pPr>
      <w:r>
        <w:rPr>
          <w:rStyle w:val="71"/>
          <w:rFonts w:ascii="宋体" w:hAnsi="宋体"/>
          <w:b/>
          <w:sz w:val="24"/>
        </w:rPr>
        <w:t>(6)与本项目(标段)的监理人或代建人或招标代理机构或其他投标人同为一个法定代表人的；</w:t>
      </w:r>
    </w:p>
    <w:p w14:paraId="3E78C644">
      <w:pPr>
        <w:snapToGrid w:val="0"/>
        <w:spacing w:line="360" w:lineRule="exact"/>
        <w:ind w:firstLine="482" w:firstLineChars="200"/>
        <w:jc w:val="left"/>
        <w:rPr>
          <w:rStyle w:val="71"/>
          <w:rFonts w:ascii="宋体" w:hAnsi="宋体"/>
          <w:b/>
          <w:sz w:val="24"/>
        </w:rPr>
      </w:pPr>
      <w:r>
        <w:rPr>
          <w:rStyle w:val="71"/>
          <w:rFonts w:ascii="宋体" w:hAnsi="宋体"/>
          <w:b/>
          <w:sz w:val="24"/>
        </w:rPr>
        <w:t>(7)与本项目(标段)的监理人或代建人或招标代理机构相互控股或参股的或有隶属关系的；</w:t>
      </w:r>
    </w:p>
    <w:p w14:paraId="629807EC">
      <w:pPr>
        <w:snapToGrid w:val="0"/>
        <w:spacing w:line="360" w:lineRule="exact"/>
        <w:ind w:firstLine="482" w:firstLineChars="200"/>
        <w:jc w:val="left"/>
        <w:rPr>
          <w:rStyle w:val="71"/>
          <w:rFonts w:ascii="宋体" w:hAnsi="宋体"/>
          <w:b/>
          <w:sz w:val="24"/>
        </w:rPr>
      </w:pPr>
      <w:r>
        <w:rPr>
          <w:rStyle w:val="71"/>
          <w:rFonts w:ascii="宋体" w:hAnsi="宋体"/>
          <w:b/>
          <w:sz w:val="24"/>
        </w:rPr>
        <w:t>(8)公司级领导与本项目(标段)的监理人或代建人或招标代理机构公司级领导相互任职或工作的；</w:t>
      </w:r>
    </w:p>
    <w:p w14:paraId="23649DFC">
      <w:pPr>
        <w:snapToGrid w:val="0"/>
        <w:spacing w:line="360" w:lineRule="exact"/>
        <w:ind w:firstLine="482" w:firstLineChars="200"/>
        <w:jc w:val="left"/>
        <w:rPr>
          <w:rStyle w:val="71"/>
          <w:rFonts w:ascii="宋体" w:hAnsi="宋体"/>
          <w:b/>
          <w:sz w:val="24"/>
        </w:rPr>
      </w:pPr>
      <w:r>
        <w:rPr>
          <w:rStyle w:val="71"/>
          <w:rFonts w:ascii="宋体" w:hAnsi="宋体"/>
          <w:b/>
          <w:sz w:val="24"/>
        </w:rPr>
        <w:t>(9)被责令停业的；</w:t>
      </w:r>
    </w:p>
    <w:p w14:paraId="512F8928">
      <w:pPr>
        <w:snapToGrid w:val="0"/>
        <w:spacing w:line="360" w:lineRule="exact"/>
        <w:ind w:firstLine="482" w:firstLineChars="200"/>
        <w:jc w:val="left"/>
        <w:rPr>
          <w:rStyle w:val="71"/>
          <w:rFonts w:ascii="宋体" w:hAnsi="宋体"/>
          <w:b/>
          <w:sz w:val="24"/>
        </w:rPr>
      </w:pPr>
      <w:r>
        <w:rPr>
          <w:rStyle w:val="71"/>
          <w:rFonts w:ascii="宋体" w:hAnsi="宋体"/>
          <w:b/>
          <w:sz w:val="24"/>
        </w:rPr>
        <w:t>(10)被暂停或取消投标资格的；</w:t>
      </w:r>
    </w:p>
    <w:p w14:paraId="664F7AF7">
      <w:pPr>
        <w:snapToGrid w:val="0"/>
        <w:spacing w:line="360" w:lineRule="exact"/>
        <w:ind w:firstLine="482" w:firstLineChars="200"/>
        <w:jc w:val="left"/>
        <w:rPr>
          <w:rStyle w:val="71"/>
          <w:rFonts w:ascii="宋体" w:hAnsi="宋体"/>
          <w:b/>
          <w:sz w:val="24"/>
        </w:rPr>
      </w:pPr>
      <w:r>
        <w:rPr>
          <w:rStyle w:val="71"/>
          <w:rFonts w:ascii="宋体" w:hAnsi="宋体"/>
          <w:b/>
          <w:sz w:val="24"/>
        </w:rPr>
        <w:t>(11)财产被接管或冻结的；</w:t>
      </w:r>
    </w:p>
    <w:p w14:paraId="0895A17A">
      <w:pPr>
        <w:snapToGrid w:val="0"/>
        <w:spacing w:line="360" w:lineRule="exact"/>
        <w:ind w:firstLine="482" w:firstLineChars="200"/>
        <w:jc w:val="left"/>
        <w:rPr>
          <w:rStyle w:val="71"/>
          <w:rFonts w:ascii="宋体" w:hAnsi="宋体"/>
          <w:b/>
          <w:sz w:val="24"/>
        </w:rPr>
      </w:pPr>
      <w:r>
        <w:rPr>
          <w:rStyle w:val="71"/>
          <w:rFonts w:ascii="宋体" w:hAnsi="宋体"/>
          <w:b/>
          <w:sz w:val="24"/>
        </w:rPr>
        <w:t>（12）在最近三年内有骗取中标或严重违约或重大工程质量问题的；</w:t>
      </w:r>
    </w:p>
    <w:p w14:paraId="75A8EBE8">
      <w:pPr>
        <w:snapToGrid w:val="0"/>
        <w:spacing w:line="360" w:lineRule="exact"/>
        <w:ind w:firstLine="482" w:firstLineChars="200"/>
        <w:jc w:val="left"/>
        <w:rPr>
          <w:rStyle w:val="71"/>
          <w:rFonts w:ascii="宋体" w:hAnsi="宋体"/>
          <w:b/>
          <w:sz w:val="24"/>
        </w:rPr>
      </w:pPr>
      <w:r>
        <w:rPr>
          <w:rStyle w:val="71"/>
          <w:rFonts w:ascii="宋体" w:hAnsi="宋体"/>
          <w:b/>
          <w:sz w:val="24"/>
        </w:rPr>
        <w:t>（13）投标人的投标文件存在下列情形，视为投标文件雷同：</w:t>
      </w:r>
    </w:p>
    <w:p w14:paraId="22F796C7">
      <w:pPr>
        <w:snapToGrid w:val="0"/>
        <w:spacing w:line="360" w:lineRule="exact"/>
        <w:ind w:firstLine="472" w:firstLineChars="196"/>
        <w:jc w:val="left"/>
        <w:rPr>
          <w:rStyle w:val="71"/>
          <w:rFonts w:ascii="宋体" w:hAnsi="宋体"/>
          <w:b/>
          <w:sz w:val="24"/>
          <w:u w:val="single"/>
        </w:rPr>
      </w:pPr>
      <w:r>
        <w:rPr>
          <w:rStyle w:val="71"/>
          <w:rFonts w:ascii="宋体" w:hAnsi="宋体"/>
          <w:b/>
          <w:sz w:val="24"/>
          <w:u w:val="single"/>
        </w:rPr>
        <w:t xml:space="preserve"> 1）不同投标人的电子投标文件上传计算机的网卡MAC地址、CPU序列号和硬盘序列号等硬件信息均相同的,开标现场上传电子投标文件的除外。</w:t>
      </w:r>
    </w:p>
    <w:p w14:paraId="5AAAFC4A">
      <w:pPr>
        <w:snapToGrid w:val="0"/>
        <w:spacing w:line="360" w:lineRule="exact"/>
        <w:ind w:firstLine="472" w:firstLineChars="196"/>
        <w:jc w:val="left"/>
        <w:rPr>
          <w:rStyle w:val="71"/>
          <w:rFonts w:ascii="宋体" w:hAnsi="宋体"/>
          <w:b/>
          <w:sz w:val="24"/>
          <w:u w:val="single"/>
        </w:rPr>
      </w:pPr>
      <w:r>
        <w:rPr>
          <w:rStyle w:val="71"/>
          <w:rFonts w:ascii="宋体" w:hAnsi="宋体"/>
          <w:b/>
          <w:sz w:val="24"/>
          <w:u w:val="single"/>
        </w:rPr>
        <w:t xml:space="preserve"> 2）不同投标人的已标价工程量清单XML电子文档记录的计价软件加密锁序列号信息有一条及以上相同，或者记录的硬件信息中存在一条及以上的计算机网卡MAC地址（如有）、CPU序列号和硬盘序列号均相同的（招标控制价的XML格式文件或计价软件版成果文件发布之前的软硬件信息相同的除外），或者不同投标人的电子投标文件（已标价工程量清单XML电子文档除外）编制时的计算机硬件信息中存在一条及以上的计算机网卡MAC地址（如有）、CPU序列号和硬盘序列号均相同的。</w:t>
      </w:r>
    </w:p>
    <w:p w14:paraId="52605517">
      <w:pPr>
        <w:snapToGrid w:val="0"/>
        <w:spacing w:line="360" w:lineRule="exact"/>
        <w:ind w:firstLine="472" w:firstLineChars="196"/>
        <w:jc w:val="left"/>
        <w:rPr>
          <w:rStyle w:val="71"/>
          <w:rFonts w:ascii="宋体" w:hAnsi="宋体"/>
          <w:b/>
          <w:sz w:val="24"/>
          <w:u w:val="single"/>
        </w:rPr>
      </w:pPr>
      <w:r>
        <w:rPr>
          <w:rStyle w:val="71"/>
          <w:rFonts w:ascii="宋体" w:hAnsi="宋体"/>
          <w:b/>
          <w:sz w:val="24"/>
          <w:u w:val="single"/>
        </w:rPr>
        <w:t xml:space="preserve"> 3）不同投标人的技术文件经电子招标投标交易平台查重分析，内容异常一致或者实质性相同的。</w:t>
      </w:r>
    </w:p>
    <w:p w14:paraId="604891C4">
      <w:pPr>
        <w:spacing w:line="440" w:lineRule="exact"/>
        <w:ind w:firstLine="482" w:firstLineChars="200"/>
        <w:jc w:val="left"/>
        <w:rPr>
          <w:rFonts w:hint="eastAsia" w:ascii="宋体" w:hAnsi="宋体"/>
          <w:b/>
          <w:sz w:val="24"/>
        </w:rPr>
      </w:pPr>
      <w:r>
        <w:rPr>
          <w:rFonts w:hint="eastAsia" w:ascii="宋体" w:hAnsi="宋体"/>
          <w:b/>
          <w:sz w:val="24"/>
        </w:rPr>
        <w:t>4.资格审查方式</w:t>
      </w:r>
    </w:p>
    <w:p w14:paraId="6CF576B2">
      <w:pPr>
        <w:spacing w:line="440" w:lineRule="exact"/>
        <w:ind w:firstLine="480" w:firstLineChars="200"/>
        <w:jc w:val="left"/>
        <w:rPr>
          <w:rFonts w:hint="eastAsia" w:ascii="宋体" w:hAnsi="宋体"/>
          <w:sz w:val="24"/>
        </w:rPr>
      </w:pPr>
      <w:r>
        <w:rPr>
          <w:rFonts w:hint="eastAsia" w:ascii="宋体" w:hAnsi="宋体"/>
          <w:sz w:val="24"/>
        </w:rPr>
        <w:t>本招标项目对投标人的资格审查采用资格后审方式。经资格审查合格的投标人才能有资格成为中标人。</w:t>
      </w:r>
    </w:p>
    <w:p w14:paraId="7E1AD31A">
      <w:pPr>
        <w:tabs>
          <w:tab w:val="left" w:pos="0"/>
        </w:tabs>
        <w:spacing w:line="440" w:lineRule="exact"/>
        <w:ind w:firstLine="482" w:firstLineChars="200"/>
        <w:jc w:val="left"/>
        <w:rPr>
          <w:rFonts w:hint="eastAsia" w:ascii="宋体" w:hAnsi="宋体"/>
          <w:b/>
          <w:bCs/>
          <w:sz w:val="24"/>
        </w:rPr>
      </w:pPr>
      <w:r>
        <w:rPr>
          <w:rFonts w:hint="eastAsia" w:ascii="宋体" w:hAnsi="宋体"/>
          <w:b/>
          <w:bCs/>
          <w:sz w:val="24"/>
        </w:rPr>
        <w:t>5.投标费用</w:t>
      </w:r>
    </w:p>
    <w:p w14:paraId="66878D96">
      <w:pPr>
        <w:spacing w:line="440" w:lineRule="exact"/>
        <w:ind w:firstLine="480" w:firstLineChars="200"/>
        <w:jc w:val="left"/>
        <w:rPr>
          <w:rFonts w:hint="eastAsia" w:ascii="宋体" w:hAnsi="宋体"/>
          <w:sz w:val="24"/>
        </w:rPr>
      </w:pPr>
      <w:r>
        <w:rPr>
          <w:rFonts w:hint="eastAsia" w:ascii="宋体" w:hAnsi="宋体"/>
          <w:sz w:val="24"/>
        </w:rPr>
        <w:t>投标人应承担其编制投标文件与递交投标文件所涉及的一切费用，不管投标结果如何，招标人和招标代理机构不承担上述费用。</w:t>
      </w:r>
    </w:p>
    <w:p w14:paraId="52496DB0">
      <w:pPr>
        <w:spacing w:line="440" w:lineRule="exact"/>
        <w:ind w:firstLine="482" w:firstLineChars="200"/>
        <w:jc w:val="left"/>
        <w:rPr>
          <w:rFonts w:hint="eastAsia" w:ascii="宋体" w:hAnsi="宋体"/>
          <w:b/>
          <w:bCs/>
          <w:sz w:val="24"/>
        </w:rPr>
      </w:pPr>
      <w:r>
        <w:rPr>
          <w:rFonts w:hint="eastAsia" w:ascii="宋体" w:hAnsi="宋体"/>
          <w:b/>
          <w:bCs/>
          <w:sz w:val="24"/>
        </w:rPr>
        <w:t>6.现场踏勘</w:t>
      </w:r>
    </w:p>
    <w:p w14:paraId="76CB2533">
      <w:pPr>
        <w:spacing w:line="440" w:lineRule="exact"/>
        <w:ind w:firstLine="480" w:firstLineChars="200"/>
        <w:jc w:val="left"/>
        <w:rPr>
          <w:rFonts w:hint="eastAsia" w:ascii="宋体" w:hAnsi="宋体"/>
          <w:sz w:val="24"/>
        </w:rPr>
      </w:pPr>
      <w:r>
        <w:rPr>
          <w:rFonts w:hint="eastAsia" w:ascii="宋体" w:hAnsi="宋体"/>
          <w:sz w:val="24"/>
        </w:rPr>
        <w:t>6.1招标人不组织现场勘察和</w:t>
      </w:r>
      <w:r>
        <w:rPr>
          <w:rFonts w:hint="eastAsia" w:ascii="宋体" w:hAnsi="宋体"/>
          <w:bCs/>
          <w:sz w:val="24"/>
        </w:rPr>
        <w:t>投标预备会</w:t>
      </w:r>
      <w:r>
        <w:rPr>
          <w:rFonts w:hint="eastAsia" w:ascii="宋体" w:hAnsi="宋体"/>
          <w:sz w:val="24"/>
        </w:rPr>
        <w:t>。招标人在本招标文件中介绍的招标项目相关情况，是招标人现有的能被投标人利用的资料，招标人对投标人作出的任何推论、理解和结论均不负责任。</w:t>
      </w:r>
    </w:p>
    <w:p w14:paraId="56ED6088">
      <w:pPr>
        <w:spacing w:line="440" w:lineRule="exact"/>
        <w:ind w:firstLine="480" w:firstLineChars="200"/>
        <w:jc w:val="left"/>
        <w:rPr>
          <w:rFonts w:hint="eastAsia" w:ascii="宋体" w:hAnsi="宋体"/>
          <w:sz w:val="24"/>
        </w:rPr>
      </w:pPr>
      <w:r>
        <w:rPr>
          <w:rFonts w:hint="eastAsia" w:ascii="宋体" w:hAnsi="宋体"/>
          <w:sz w:val="24"/>
        </w:rPr>
        <w:t>6.2投标人可为踏勘目的进入招标人的招标项目现场，但投标人不得因此使招标人承担与之有关的责任和蒙受损失。投标人应承担踏勘现场的费用、责任和风险。</w:t>
      </w:r>
    </w:p>
    <w:p w14:paraId="095CF161">
      <w:pPr>
        <w:spacing w:line="440" w:lineRule="exact"/>
        <w:ind w:firstLine="482" w:firstLineChars="200"/>
        <w:jc w:val="left"/>
        <w:rPr>
          <w:rFonts w:hint="eastAsia" w:ascii="宋体" w:hAnsi="宋体"/>
          <w:b/>
          <w:bCs/>
          <w:sz w:val="24"/>
        </w:rPr>
      </w:pPr>
      <w:r>
        <w:rPr>
          <w:rFonts w:hint="eastAsia" w:ascii="宋体" w:hAnsi="宋体"/>
          <w:b/>
          <w:bCs/>
          <w:sz w:val="24"/>
        </w:rPr>
        <w:t>7.分包</w:t>
      </w:r>
    </w:p>
    <w:p w14:paraId="6ADBD155">
      <w:pPr>
        <w:spacing w:line="440" w:lineRule="exact"/>
        <w:ind w:firstLine="480" w:firstLineChars="200"/>
        <w:jc w:val="left"/>
        <w:rPr>
          <w:rFonts w:hint="eastAsia" w:ascii="宋体" w:hAnsi="宋体"/>
          <w:sz w:val="24"/>
        </w:rPr>
      </w:pPr>
      <w:r>
        <w:rPr>
          <w:rFonts w:hint="eastAsia" w:ascii="宋体" w:hAnsi="宋体"/>
          <w:sz w:val="24"/>
        </w:rPr>
        <w:t>本招标项目不允许违法转包、分包。中标人确需将部分非主体、非关键性工作分包的，应符合有关法律、法规的规定并经招标人同意。</w:t>
      </w:r>
    </w:p>
    <w:p w14:paraId="4B4B3055">
      <w:pPr>
        <w:spacing w:line="440" w:lineRule="exact"/>
        <w:jc w:val="center"/>
        <w:rPr>
          <w:rFonts w:hint="eastAsia" w:ascii="宋体" w:hAnsi="宋体"/>
          <w:b/>
          <w:sz w:val="30"/>
          <w:szCs w:val="30"/>
        </w:rPr>
      </w:pPr>
      <w:r>
        <w:rPr>
          <w:rFonts w:hint="eastAsia" w:ascii="宋体" w:hAnsi="宋体"/>
          <w:b/>
          <w:sz w:val="30"/>
          <w:szCs w:val="30"/>
        </w:rPr>
        <w:t>(二)招标文件</w:t>
      </w:r>
    </w:p>
    <w:p w14:paraId="169262F2">
      <w:pPr>
        <w:spacing w:line="440" w:lineRule="exact"/>
        <w:ind w:firstLine="482" w:firstLineChars="200"/>
        <w:jc w:val="left"/>
        <w:rPr>
          <w:rFonts w:hint="eastAsia" w:ascii="宋体" w:hAnsi="宋体"/>
          <w:b/>
          <w:bCs/>
          <w:sz w:val="24"/>
        </w:rPr>
      </w:pPr>
      <w:r>
        <w:rPr>
          <w:rFonts w:hint="eastAsia" w:ascii="宋体" w:hAnsi="宋体"/>
          <w:b/>
          <w:bCs/>
          <w:sz w:val="24"/>
        </w:rPr>
        <w:t>8.招标文件</w:t>
      </w:r>
      <w:r>
        <w:rPr>
          <w:rFonts w:hint="eastAsia" w:ascii="宋体" w:hAnsi="宋体"/>
          <w:b/>
          <w:sz w:val="24"/>
        </w:rPr>
        <w:t>的组成内容</w:t>
      </w:r>
    </w:p>
    <w:p w14:paraId="180212E5">
      <w:pPr>
        <w:spacing w:line="440" w:lineRule="exact"/>
        <w:ind w:firstLine="480" w:firstLineChars="200"/>
        <w:jc w:val="left"/>
        <w:rPr>
          <w:rFonts w:hint="eastAsia" w:ascii="宋体" w:hAnsi="宋体"/>
          <w:sz w:val="24"/>
        </w:rPr>
      </w:pPr>
      <w:r>
        <w:rPr>
          <w:rFonts w:hint="eastAsia" w:ascii="宋体" w:hAnsi="宋体"/>
          <w:sz w:val="24"/>
        </w:rPr>
        <w:t>本招标文件由投标人须知、合同主要条款、投标文件 (格式)、招标文件的答疑、澄清、修改和补充文件组成。</w:t>
      </w:r>
    </w:p>
    <w:p w14:paraId="5298133B">
      <w:pPr>
        <w:spacing w:line="440" w:lineRule="exact"/>
        <w:ind w:firstLine="482" w:firstLineChars="200"/>
        <w:jc w:val="left"/>
        <w:rPr>
          <w:rFonts w:hint="eastAsia" w:ascii="宋体" w:hAnsi="宋体"/>
          <w:b/>
          <w:sz w:val="24"/>
        </w:rPr>
      </w:pPr>
      <w:r>
        <w:rPr>
          <w:rFonts w:hint="eastAsia" w:ascii="宋体" w:hAnsi="宋体"/>
          <w:b/>
          <w:sz w:val="24"/>
        </w:rPr>
        <w:t>9.获取招标文件方式</w:t>
      </w:r>
    </w:p>
    <w:p w14:paraId="16B75B8E">
      <w:pPr>
        <w:wordWrap w:val="0"/>
        <w:spacing w:line="500" w:lineRule="atLeast"/>
        <w:ind w:firstLine="480" w:firstLineChars="200"/>
        <w:rPr>
          <w:rFonts w:hint="eastAsia" w:ascii="宋体" w:hAnsi="宋体"/>
          <w:sz w:val="24"/>
        </w:rPr>
      </w:pPr>
      <w:r>
        <w:rPr>
          <w:rFonts w:hint="eastAsia" w:ascii="宋体" w:hAnsi="宋体"/>
          <w:sz w:val="24"/>
        </w:rPr>
        <w:t>招标人自</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1 </w:t>
      </w:r>
      <w:r>
        <w:rPr>
          <w:rFonts w:hint="eastAsia" w:ascii="宋体" w:hAnsi="宋体"/>
          <w:sz w:val="24"/>
        </w:rPr>
        <w:t>月</w:t>
      </w:r>
      <w:r>
        <w:rPr>
          <w:rFonts w:hint="eastAsia" w:ascii="宋体" w:hAnsi="宋体"/>
          <w:sz w:val="24"/>
          <w:u w:val="single"/>
          <w:lang w:val="en-US" w:eastAsia="zh-CN"/>
        </w:rPr>
        <w:t xml:space="preserve"> 9 </w:t>
      </w:r>
      <w:r>
        <w:rPr>
          <w:rFonts w:hint="eastAsia" w:ascii="宋体" w:hAnsi="宋体"/>
          <w:sz w:val="24"/>
        </w:rPr>
        <w:t>日起在湄洲湾职业技术学院网(http://www.fjmzw.com/)和</w:t>
      </w:r>
      <w:r>
        <w:rPr>
          <w:rFonts w:hint="eastAsia" w:ascii="宋体" w:hAnsi="宋体"/>
          <w:sz w:val="24"/>
          <w:lang w:eastAsia="zh-CN"/>
        </w:rPr>
        <w:t>新点电子交易平台-福建专区</w:t>
      </w:r>
      <w:r>
        <w:rPr>
          <w:rFonts w:hint="eastAsia" w:ascii="宋体" w:hAnsi="宋体"/>
          <w:sz w:val="24"/>
        </w:rPr>
        <w:t>（</w:t>
      </w:r>
      <w:r>
        <w:rPr>
          <w:rFonts w:hint="eastAsia" w:ascii="宋体" w:hAnsi="宋体"/>
          <w:sz w:val="24"/>
          <w:lang w:eastAsia="zh-CN"/>
        </w:rPr>
        <w:t>https://fujian.etrading.cn/</w:t>
      </w:r>
      <w:r>
        <w:rPr>
          <w:rFonts w:hint="eastAsia" w:ascii="宋体" w:hAnsi="宋体"/>
          <w:sz w:val="24"/>
        </w:rPr>
        <w:t xml:space="preserve">)发布招标文件，投标人可登录湄洲湾职业技术学院网自行下载招标文件。 </w:t>
      </w:r>
    </w:p>
    <w:p w14:paraId="4909691B">
      <w:pPr>
        <w:spacing w:line="440" w:lineRule="exact"/>
        <w:ind w:firstLine="482" w:firstLineChars="200"/>
        <w:jc w:val="left"/>
        <w:rPr>
          <w:rFonts w:hint="eastAsia" w:ascii="宋体" w:hAnsi="宋体"/>
          <w:b/>
          <w:bCs/>
          <w:sz w:val="24"/>
        </w:rPr>
      </w:pPr>
      <w:r>
        <w:rPr>
          <w:rFonts w:hint="eastAsia" w:ascii="宋体" w:hAnsi="宋体"/>
          <w:b/>
          <w:bCs/>
          <w:sz w:val="24"/>
        </w:rPr>
        <w:t>10.招标文件的制定依据</w:t>
      </w:r>
    </w:p>
    <w:p w14:paraId="44BA8E42">
      <w:pPr>
        <w:spacing w:line="440" w:lineRule="exact"/>
        <w:ind w:firstLine="480" w:firstLineChars="200"/>
        <w:jc w:val="left"/>
        <w:rPr>
          <w:rFonts w:hint="eastAsia" w:ascii="宋体" w:hAnsi="宋体"/>
          <w:sz w:val="24"/>
        </w:rPr>
      </w:pPr>
      <w:r>
        <w:rPr>
          <w:rFonts w:hint="eastAsia" w:ascii="宋体" w:hAnsi="宋体"/>
          <w:sz w:val="24"/>
        </w:rPr>
        <w:t>本招标文件根据现行法律、法规、行政规章和莆田市人民政府及其授权的工程招投标行政监督部门颁发的规范性文件制定。</w:t>
      </w:r>
    </w:p>
    <w:p w14:paraId="14715F15">
      <w:pPr>
        <w:spacing w:line="440" w:lineRule="exact"/>
        <w:ind w:firstLine="482" w:firstLineChars="200"/>
        <w:jc w:val="left"/>
        <w:rPr>
          <w:rFonts w:hint="eastAsia" w:ascii="宋体" w:hAnsi="宋体"/>
          <w:b/>
          <w:bCs/>
          <w:sz w:val="24"/>
        </w:rPr>
      </w:pPr>
      <w:r>
        <w:rPr>
          <w:rFonts w:hint="eastAsia" w:ascii="宋体" w:hAnsi="宋体"/>
          <w:b/>
          <w:bCs/>
          <w:sz w:val="24"/>
        </w:rPr>
        <w:t>11.招标文件的答疑、澄清、修改或补充</w:t>
      </w:r>
    </w:p>
    <w:p w14:paraId="1EE28C6F">
      <w:pPr>
        <w:spacing w:line="440" w:lineRule="exact"/>
        <w:ind w:firstLine="480" w:firstLineChars="200"/>
        <w:jc w:val="left"/>
        <w:rPr>
          <w:rFonts w:hint="eastAsia" w:ascii="宋体" w:hAnsi="宋体"/>
          <w:sz w:val="24"/>
        </w:rPr>
      </w:pPr>
      <w:r>
        <w:rPr>
          <w:rFonts w:hint="eastAsia" w:ascii="宋体" w:hAnsi="宋体"/>
          <w:sz w:val="24"/>
        </w:rPr>
        <w:t>投标人对工程情况和招标文件有疑问的可于</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rPr>
        <w:t>年</w:t>
      </w:r>
      <w:r>
        <w:rPr>
          <w:rFonts w:hint="eastAsia" w:ascii="宋体" w:hAnsi="宋体"/>
          <w:sz w:val="24"/>
          <w:u w:val="single"/>
          <w:lang w:val="en-US" w:eastAsia="zh-CN"/>
        </w:rPr>
        <w:t xml:space="preserve"> 1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15 </w:t>
      </w:r>
      <w:r>
        <w:rPr>
          <w:rFonts w:hint="eastAsia" w:ascii="宋体" w:hAnsi="宋体"/>
          <w:sz w:val="24"/>
        </w:rPr>
        <w:t>日11：30前直接以书面形式向招标人提出（应列明招标项目名称和编号）。招标人将于</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rPr>
        <w:t>年</w:t>
      </w:r>
      <w:r>
        <w:rPr>
          <w:rFonts w:hint="eastAsia" w:ascii="宋体" w:hAnsi="宋体"/>
          <w:sz w:val="24"/>
          <w:u w:val="single"/>
          <w:lang w:val="en-US" w:eastAsia="zh-CN"/>
        </w:rPr>
        <w:t xml:space="preserve"> 1 </w:t>
      </w:r>
      <w:r>
        <w:rPr>
          <w:rFonts w:hint="eastAsia" w:ascii="宋体" w:hAnsi="宋体"/>
          <w:sz w:val="24"/>
        </w:rPr>
        <w:t>月</w:t>
      </w:r>
      <w:r>
        <w:rPr>
          <w:rFonts w:hint="eastAsia" w:ascii="宋体" w:hAnsi="宋体"/>
          <w:sz w:val="24"/>
          <w:u w:val="single"/>
          <w:lang w:val="en-US" w:eastAsia="zh-CN"/>
        </w:rPr>
        <w:t xml:space="preserve"> 16</w:t>
      </w:r>
      <w:r>
        <w:rPr>
          <w:rFonts w:hint="eastAsia" w:ascii="宋体" w:hAnsi="宋体"/>
          <w:sz w:val="24"/>
          <w:u w:val="single"/>
        </w:rPr>
        <w:t xml:space="preserve"> </w:t>
      </w:r>
      <w:r>
        <w:rPr>
          <w:rFonts w:hint="eastAsia" w:ascii="宋体" w:hAnsi="宋体"/>
          <w:sz w:val="24"/>
        </w:rPr>
        <w:t>日17：00前在湄洲湾职业技术学院网(http://www.fjmzw.com/)和</w:t>
      </w:r>
      <w:r>
        <w:rPr>
          <w:rFonts w:hint="eastAsia" w:ascii="宋体" w:hAnsi="宋体"/>
          <w:sz w:val="24"/>
          <w:lang w:eastAsia="zh-CN"/>
        </w:rPr>
        <w:t>新点电子交易平台-福建专区</w:t>
      </w:r>
      <w:r>
        <w:rPr>
          <w:rFonts w:hint="eastAsia" w:ascii="宋体" w:hAnsi="宋体"/>
          <w:sz w:val="24"/>
        </w:rPr>
        <w:t>（</w:t>
      </w:r>
      <w:r>
        <w:rPr>
          <w:rFonts w:hint="eastAsia" w:ascii="宋体" w:hAnsi="宋体"/>
          <w:sz w:val="24"/>
          <w:lang w:eastAsia="zh-CN"/>
        </w:rPr>
        <w:t>https://fujian.etrading.cn/</w:t>
      </w:r>
      <w:r>
        <w:rPr>
          <w:rFonts w:hint="eastAsia" w:ascii="宋体" w:hAnsi="宋体"/>
          <w:sz w:val="24"/>
        </w:rPr>
        <w:t>)上公布澄清及修改的答疑内容。</w:t>
      </w:r>
    </w:p>
    <w:p w14:paraId="619BF3E0">
      <w:pPr>
        <w:spacing w:line="440" w:lineRule="exact"/>
        <w:ind w:firstLine="482" w:firstLineChars="200"/>
        <w:jc w:val="left"/>
        <w:rPr>
          <w:rFonts w:hint="eastAsia" w:ascii="宋体" w:hAnsi="宋体"/>
          <w:b/>
          <w:bCs/>
          <w:sz w:val="24"/>
        </w:rPr>
      </w:pPr>
      <w:r>
        <w:rPr>
          <w:rFonts w:hint="eastAsia" w:ascii="宋体" w:hAnsi="宋体"/>
          <w:b/>
          <w:bCs/>
          <w:sz w:val="24"/>
        </w:rPr>
        <w:t>12.工程发包价</w:t>
      </w:r>
    </w:p>
    <w:p w14:paraId="0CEF2E9B">
      <w:pPr>
        <w:spacing w:line="440" w:lineRule="exact"/>
        <w:ind w:firstLine="480" w:firstLineChars="200"/>
        <w:jc w:val="left"/>
        <w:rPr>
          <w:rFonts w:hint="eastAsia" w:ascii="宋体" w:hAnsi="宋体"/>
          <w:bCs/>
          <w:sz w:val="24"/>
        </w:rPr>
      </w:pPr>
      <w:r>
        <w:rPr>
          <w:rFonts w:hint="eastAsia" w:ascii="宋体" w:hAnsi="宋体"/>
          <w:bCs/>
          <w:sz w:val="24"/>
        </w:rPr>
        <w:t>12.1每单项项目工程发包价</w:t>
      </w:r>
    </w:p>
    <w:p w14:paraId="02DBB69B">
      <w:pPr>
        <w:spacing w:line="440" w:lineRule="exact"/>
        <w:ind w:firstLine="480" w:firstLineChars="200"/>
        <w:jc w:val="left"/>
        <w:rPr>
          <w:rFonts w:hint="eastAsia" w:ascii="宋体" w:hAnsi="宋体"/>
          <w:sz w:val="24"/>
        </w:rPr>
      </w:pPr>
      <w:r>
        <w:rPr>
          <w:rFonts w:hint="eastAsia" w:ascii="宋体" w:hAnsi="宋体"/>
          <w:sz w:val="24"/>
        </w:rPr>
        <w:t>工程发包价按以下公式计算：</w:t>
      </w:r>
    </w:p>
    <w:p w14:paraId="0D740686">
      <w:pPr>
        <w:spacing w:line="440" w:lineRule="exact"/>
        <w:ind w:firstLine="480" w:firstLineChars="200"/>
        <w:jc w:val="left"/>
        <w:rPr>
          <w:rFonts w:hint="eastAsia" w:ascii="宋体" w:hAnsi="宋体"/>
          <w:sz w:val="24"/>
        </w:rPr>
      </w:pPr>
      <w:r>
        <w:rPr>
          <w:rFonts w:hint="eastAsia" w:ascii="宋体" w:hAnsi="宋体"/>
          <w:sz w:val="24"/>
        </w:rPr>
        <w:t>工程发包价=工程定额预算价×(1-下浮率),工程下浮率为</w:t>
      </w:r>
      <w:r>
        <w:rPr>
          <w:rFonts w:hint="eastAsia" w:ascii="宋体" w:hAnsi="宋体"/>
          <w:sz w:val="24"/>
          <w:u w:val="single"/>
        </w:rPr>
        <w:t>1</w:t>
      </w:r>
      <w:r>
        <w:rPr>
          <w:rFonts w:hint="eastAsia" w:ascii="宋体" w:hAnsi="宋体"/>
          <w:sz w:val="24"/>
          <w:u w:val="single"/>
          <w:lang w:val="en-US" w:eastAsia="zh-CN"/>
        </w:rPr>
        <w:t>2</w:t>
      </w:r>
      <w:r>
        <w:rPr>
          <w:rFonts w:hint="eastAsia" w:ascii="宋体" w:hAnsi="宋体"/>
          <w:sz w:val="24"/>
          <w:u w:val="single"/>
        </w:rPr>
        <w:t>%</w:t>
      </w:r>
      <w:r>
        <w:rPr>
          <w:rFonts w:hint="eastAsia" w:ascii="宋体" w:hAnsi="宋体"/>
          <w:sz w:val="24"/>
        </w:rPr>
        <w:t>。</w:t>
      </w:r>
    </w:p>
    <w:p w14:paraId="5602B481">
      <w:pPr>
        <w:spacing w:line="440" w:lineRule="exact"/>
        <w:ind w:firstLine="482" w:firstLineChars="200"/>
        <w:jc w:val="left"/>
        <w:rPr>
          <w:rFonts w:hint="eastAsia" w:ascii="宋体" w:hAnsi="宋体"/>
          <w:b/>
          <w:bCs/>
          <w:sz w:val="24"/>
        </w:rPr>
      </w:pPr>
      <w:r>
        <w:rPr>
          <w:rFonts w:hint="eastAsia" w:ascii="宋体" w:hAnsi="宋体"/>
          <w:b/>
          <w:bCs/>
          <w:sz w:val="24"/>
        </w:rPr>
        <w:t>13工程预算的编制</w:t>
      </w:r>
    </w:p>
    <w:p w14:paraId="656B696E">
      <w:pPr>
        <w:wordWrap w:val="0"/>
        <w:spacing w:line="460" w:lineRule="atLeast"/>
        <w:ind w:left="120" w:leftChars="57" w:firstLine="360" w:firstLineChars="150"/>
        <w:jc w:val="left"/>
        <w:rPr>
          <w:rFonts w:hint="eastAsia" w:ascii="宋体" w:hAnsi="宋体"/>
          <w:sz w:val="24"/>
        </w:rPr>
      </w:pPr>
      <w:r>
        <w:rPr>
          <w:rFonts w:hint="eastAsia" w:ascii="宋体" w:hAnsi="宋体"/>
          <w:sz w:val="24"/>
        </w:rPr>
        <w:t>13.1承包期间单项零星修缮改造工程工程预算价（不含甲供材料）在3万元以下的项目，按标段进行汇总，其预算编制时套用施工当月省造价部门发布的月份信息价。工程量每标段按现场签证汇总一次性结算（按工程下浮率进行下浮）。</w:t>
      </w:r>
    </w:p>
    <w:p w14:paraId="2CC675DA">
      <w:pPr>
        <w:tabs>
          <w:tab w:val="left" w:pos="1260"/>
        </w:tabs>
        <w:spacing w:line="460" w:lineRule="atLeast"/>
        <w:ind w:firstLine="480" w:firstLineChars="200"/>
        <w:jc w:val="left"/>
        <w:rPr>
          <w:rFonts w:hint="eastAsia" w:ascii="宋体" w:hAnsi="宋体"/>
          <w:sz w:val="24"/>
        </w:rPr>
      </w:pPr>
      <w:r>
        <w:rPr>
          <w:rFonts w:hint="eastAsia" w:ascii="宋体" w:hAnsi="宋体"/>
          <w:sz w:val="24"/>
        </w:rPr>
        <w:t>13.2不可竞争费用（包括文明施工费、安全施工费、临时设施费、规费、税金等）计入工程预算价时应列明。</w:t>
      </w:r>
    </w:p>
    <w:p w14:paraId="189F2E9C">
      <w:pPr>
        <w:tabs>
          <w:tab w:val="left" w:pos="1260"/>
        </w:tabs>
        <w:spacing w:line="460" w:lineRule="atLeast"/>
        <w:ind w:firstLine="480" w:firstLineChars="200"/>
        <w:jc w:val="left"/>
        <w:rPr>
          <w:rFonts w:hint="eastAsia" w:ascii="宋体" w:hAnsi="宋体"/>
          <w:sz w:val="24"/>
        </w:rPr>
      </w:pPr>
      <w:r>
        <w:rPr>
          <w:rFonts w:hint="eastAsia" w:ascii="宋体" w:hAnsi="宋体"/>
          <w:sz w:val="24"/>
        </w:rPr>
        <w:t>13.7工程税率按9％计取。</w:t>
      </w:r>
    </w:p>
    <w:p w14:paraId="7D781D4C">
      <w:pPr>
        <w:pStyle w:val="36"/>
        <w:spacing w:after="0" w:line="460" w:lineRule="atLeast"/>
        <w:ind w:left="0" w:leftChars="0" w:firstLine="480" w:firstLineChars="200"/>
        <w:rPr>
          <w:rFonts w:hint="eastAsia" w:ascii="宋体" w:hAnsi="宋体"/>
          <w:sz w:val="24"/>
        </w:rPr>
      </w:pPr>
      <w:r>
        <w:rPr>
          <w:rFonts w:hint="eastAsia" w:ascii="宋体" w:hAnsi="宋体"/>
          <w:sz w:val="24"/>
        </w:rPr>
        <w:t>14.</w:t>
      </w:r>
      <w:r>
        <w:rPr>
          <w:rFonts w:hint="eastAsia" w:ascii="宋体" w:hAnsi="宋体"/>
          <w:b/>
          <w:bCs/>
          <w:sz w:val="24"/>
        </w:rPr>
        <w:t>工程合同价控制</w:t>
      </w:r>
    </w:p>
    <w:p w14:paraId="297F7AAB">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14.1本工程竣工结算的工程量以招标人和投标人双方认可的工程竣工图纸（可由设计施工图和设计变更资料组成）、内业资料（抢维修工程需附现场及其周边参照物图片资料），以及双方现场代表的现场签证资料为准。</w:t>
      </w:r>
    </w:p>
    <w:p w14:paraId="6EDF40F6">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14.2风险因素包括下列范围：</w:t>
      </w:r>
    </w:p>
    <w:p w14:paraId="76EAE2DF">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14.2.1工程量清单核对澄清之后，仍有错、漏，导致工程预算不准确的（指在中标通知书发出的一个月内，招标人和中标人双方进行核对工程量清单的）；</w:t>
      </w:r>
    </w:p>
    <w:p w14:paraId="0EA50409">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14.2.2市场变化，政策性调整导致主要材料（设备）价格与编制预算价是采用的信息价相比，上涨或下跌幅度在10%以内（含10%）的；</w:t>
      </w:r>
    </w:p>
    <w:p w14:paraId="3EF47B25">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14.2.3施工期间出主要材料以外的其他材料价格变化的（主要材料指招标人工程预算价的主要材料项目表中所列的材料）；</w:t>
      </w:r>
    </w:p>
    <w:p w14:paraId="1777DCC0">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14.2.4天气、地形、地质等自然条件（不可抗力的除外）变化而采取的临时措施的；</w:t>
      </w:r>
    </w:p>
    <w:p w14:paraId="042828F7">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14.2.5人工、机械费价格变化的。</w:t>
      </w:r>
    </w:p>
    <w:p w14:paraId="1992E2AE">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14.3材料价格风险控制</w:t>
      </w:r>
    </w:p>
    <w:p w14:paraId="49DD91FA">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因招标人原因造成工期拖延的，在拖延期间的材料上涨价差有招标人承担；因投标人原因造成拖延的，在拖延期间的材料上涨价差有投标人承担。</w:t>
      </w:r>
    </w:p>
    <w:p w14:paraId="2B2F4037">
      <w:pPr>
        <w:tabs>
          <w:tab w:val="left" w:pos="1260"/>
        </w:tabs>
        <w:spacing w:line="480" w:lineRule="exact"/>
        <w:ind w:firstLine="480" w:firstLineChars="200"/>
        <w:jc w:val="left"/>
        <w:rPr>
          <w:rFonts w:hint="eastAsia"/>
          <w:sz w:val="24"/>
        </w:rPr>
      </w:pPr>
      <w:r>
        <w:rPr>
          <w:rFonts w:hint="eastAsia"/>
          <w:sz w:val="24"/>
        </w:rPr>
        <w:t>14.4设计变更控制</w:t>
      </w:r>
    </w:p>
    <w:p w14:paraId="7E1E7740">
      <w:pPr>
        <w:tabs>
          <w:tab w:val="left" w:pos="1260"/>
        </w:tabs>
        <w:spacing w:line="480" w:lineRule="exact"/>
        <w:ind w:firstLine="480" w:firstLineChars="200"/>
        <w:jc w:val="left"/>
        <w:rPr>
          <w:rFonts w:hint="eastAsia"/>
          <w:sz w:val="24"/>
        </w:rPr>
      </w:pPr>
      <w:r>
        <w:rPr>
          <w:rFonts w:hint="eastAsia"/>
          <w:sz w:val="24"/>
        </w:rPr>
        <w:t>各单项工程变更类别累计增加造价在4万（含4万元）以下的，由招标人加强管理；各单项工程变更类别累计增加造价在4-40万元（含40万元）到行政主管部门进行备案，不以比例控制，各单项工程变更后结算总价不得超过400万元。</w:t>
      </w:r>
    </w:p>
    <w:p w14:paraId="149A16BD">
      <w:pPr>
        <w:tabs>
          <w:tab w:val="left" w:pos="1260"/>
        </w:tabs>
        <w:spacing w:line="480" w:lineRule="exact"/>
        <w:ind w:firstLine="480" w:firstLineChars="200"/>
        <w:jc w:val="left"/>
        <w:rPr>
          <w:rFonts w:hint="eastAsia"/>
          <w:sz w:val="24"/>
        </w:rPr>
      </w:pPr>
      <w:r>
        <w:rPr>
          <w:rFonts w:hint="eastAsia"/>
          <w:sz w:val="24"/>
        </w:rPr>
        <w:t>各单项工程变更类别累计超过40万元和合同价达400万元及以上的工程，变更类别按累计增加合同价比例和金额共同确定，从严控制。</w:t>
      </w:r>
    </w:p>
    <w:p w14:paraId="068909AA">
      <w:pPr>
        <w:tabs>
          <w:tab w:val="left" w:pos="1260"/>
        </w:tabs>
        <w:spacing w:line="480" w:lineRule="exact"/>
        <w:ind w:firstLine="480" w:firstLineChars="200"/>
        <w:jc w:val="left"/>
        <w:rPr>
          <w:rFonts w:hint="eastAsia"/>
          <w:sz w:val="24"/>
        </w:rPr>
      </w:pPr>
      <w:r>
        <w:rPr>
          <w:rFonts w:hint="eastAsia"/>
          <w:sz w:val="24"/>
        </w:rPr>
        <w:t>14.5发生工程量增减，按下列办法计算相关费用：</w:t>
      </w:r>
    </w:p>
    <w:p w14:paraId="2AA65C00">
      <w:pPr>
        <w:tabs>
          <w:tab w:val="left" w:pos="1260"/>
        </w:tabs>
        <w:spacing w:line="480" w:lineRule="exact"/>
        <w:ind w:firstLine="480" w:firstLineChars="200"/>
        <w:jc w:val="left"/>
        <w:rPr>
          <w:rFonts w:hint="eastAsia"/>
          <w:sz w:val="24"/>
        </w:rPr>
      </w:pPr>
      <w:r>
        <w:rPr>
          <w:rFonts w:hint="eastAsia"/>
          <w:sz w:val="24"/>
        </w:rPr>
        <w:t>14.5.1增减工程量的单价确定</w:t>
      </w:r>
    </w:p>
    <w:p w14:paraId="7F2A2927">
      <w:pPr>
        <w:tabs>
          <w:tab w:val="left" w:pos="1260"/>
        </w:tabs>
        <w:spacing w:line="480" w:lineRule="exact"/>
        <w:ind w:firstLine="480" w:firstLineChars="200"/>
        <w:jc w:val="left"/>
        <w:rPr>
          <w:rFonts w:hint="eastAsia"/>
          <w:sz w:val="24"/>
        </w:rPr>
      </w:pPr>
      <w:r>
        <w:rPr>
          <w:rFonts w:hint="eastAsia"/>
          <w:sz w:val="24"/>
        </w:rPr>
        <w:t>（1）在工程预算内的项目综合单价，按预算内相应项目的综合单价及下浮率计算。</w:t>
      </w:r>
    </w:p>
    <w:p w14:paraId="099657BE">
      <w:pPr>
        <w:tabs>
          <w:tab w:val="left" w:pos="1260"/>
        </w:tabs>
        <w:spacing w:line="480" w:lineRule="exact"/>
        <w:ind w:firstLine="480" w:firstLineChars="200"/>
        <w:jc w:val="left"/>
        <w:rPr>
          <w:rFonts w:hint="eastAsia"/>
          <w:sz w:val="24"/>
        </w:rPr>
      </w:pPr>
      <w:r>
        <w:rPr>
          <w:rFonts w:hint="eastAsia"/>
          <w:sz w:val="24"/>
        </w:rPr>
        <w:t>工程预算内的项目综合单价=预算内相应项目的综合单价×（1-下浮率）</w:t>
      </w:r>
    </w:p>
    <w:p w14:paraId="6461ECE4">
      <w:pPr>
        <w:tabs>
          <w:tab w:val="left" w:pos="1260"/>
        </w:tabs>
        <w:spacing w:line="480" w:lineRule="exact"/>
        <w:ind w:firstLine="480" w:firstLineChars="200"/>
        <w:jc w:val="left"/>
        <w:rPr>
          <w:rFonts w:hint="eastAsia"/>
          <w:sz w:val="24"/>
        </w:rPr>
      </w:pPr>
      <w:r>
        <w:rPr>
          <w:rFonts w:hint="eastAsia"/>
          <w:sz w:val="24"/>
        </w:rPr>
        <w:t>（2）不在工程预算内的项目综合单价，按照市相关部门造价管理机构颁布的施工期间的消耗量定额、费用定额、材料（设备）信息价及下浮率计算。即：</w:t>
      </w:r>
    </w:p>
    <w:p w14:paraId="283E0E6B">
      <w:pPr>
        <w:tabs>
          <w:tab w:val="left" w:pos="1260"/>
        </w:tabs>
        <w:spacing w:line="480" w:lineRule="exact"/>
        <w:ind w:firstLine="480" w:firstLineChars="200"/>
        <w:jc w:val="left"/>
        <w:rPr>
          <w:rFonts w:hint="eastAsia"/>
          <w:sz w:val="24"/>
        </w:rPr>
      </w:pPr>
      <w:r>
        <w:rPr>
          <w:rFonts w:hint="eastAsia"/>
          <w:sz w:val="24"/>
        </w:rPr>
        <w:t>不在工程预算内的项目综合单价=按本项规定计算的综合单价×（1-下浮率）</w:t>
      </w:r>
    </w:p>
    <w:p w14:paraId="087ABF9E">
      <w:pPr>
        <w:tabs>
          <w:tab w:val="left" w:pos="1260"/>
        </w:tabs>
        <w:spacing w:line="480" w:lineRule="exact"/>
        <w:ind w:firstLine="480" w:firstLineChars="200"/>
        <w:jc w:val="left"/>
        <w:rPr>
          <w:rFonts w:hint="eastAsia"/>
          <w:sz w:val="24"/>
        </w:rPr>
      </w:pPr>
      <w:r>
        <w:rPr>
          <w:rFonts w:hint="eastAsia"/>
          <w:sz w:val="24"/>
        </w:rPr>
        <w:t>（3）若定额缺项的，有中标人提出不错定额，经招标人会同工程预（决）算编制单位审核确定，报市相关部门造价管理机构备案。</w:t>
      </w:r>
    </w:p>
    <w:p w14:paraId="322EF09A">
      <w:pPr>
        <w:tabs>
          <w:tab w:val="left" w:pos="1260"/>
        </w:tabs>
        <w:spacing w:line="480" w:lineRule="exact"/>
        <w:ind w:firstLine="480" w:firstLineChars="200"/>
        <w:jc w:val="left"/>
        <w:rPr>
          <w:rFonts w:hint="eastAsia"/>
          <w:sz w:val="24"/>
        </w:rPr>
      </w:pPr>
      <w:r>
        <w:rPr>
          <w:rFonts w:hint="eastAsia"/>
          <w:sz w:val="24"/>
        </w:rPr>
        <w:t xml:space="preserve">  如双方不能达成一致的，双方可提请工程所在地工程造价管理机构进行咨询或按合同约定的争议或纠纷解决程序办理。</w:t>
      </w:r>
    </w:p>
    <w:p w14:paraId="63B4FCD1">
      <w:pPr>
        <w:tabs>
          <w:tab w:val="left" w:pos="1260"/>
        </w:tabs>
        <w:spacing w:line="480" w:lineRule="exact"/>
        <w:ind w:firstLine="480" w:firstLineChars="200"/>
        <w:jc w:val="left"/>
        <w:rPr>
          <w:rFonts w:hint="eastAsia"/>
          <w:sz w:val="24"/>
        </w:rPr>
      </w:pPr>
      <w:r>
        <w:rPr>
          <w:rFonts w:hint="eastAsia"/>
          <w:sz w:val="24"/>
        </w:rPr>
        <w:t xml:space="preserve"> 14.5.2材料变更的价格确定</w:t>
      </w:r>
    </w:p>
    <w:p w14:paraId="61BB17AC">
      <w:pPr>
        <w:tabs>
          <w:tab w:val="left" w:pos="1260"/>
        </w:tabs>
        <w:spacing w:line="480" w:lineRule="exact"/>
        <w:ind w:firstLine="480" w:firstLineChars="200"/>
        <w:jc w:val="left"/>
        <w:rPr>
          <w:rFonts w:hint="eastAsia"/>
          <w:sz w:val="24"/>
        </w:rPr>
      </w:pPr>
      <w:r>
        <w:rPr>
          <w:rFonts w:hint="eastAsia"/>
          <w:sz w:val="24"/>
        </w:rPr>
        <w:t>（1）工程预算的材料价格明细总中没有的材料，按照相关行政主管部门指定的信息发布媒介公布的建设工程施工期间材料单价及下浮率计算。即：</w:t>
      </w:r>
    </w:p>
    <w:p w14:paraId="6BB63755">
      <w:pPr>
        <w:tabs>
          <w:tab w:val="left" w:pos="1260"/>
        </w:tabs>
        <w:spacing w:line="480" w:lineRule="exact"/>
        <w:ind w:firstLine="480" w:firstLineChars="200"/>
        <w:jc w:val="left"/>
        <w:rPr>
          <w:rFonts w:hint="eastAsia"/>
          <w:sz w:val="24"/>
        </w:rPr>
      </w:pPr>
      <w:r>
        <w:rPr>
          <w:rFonts w:hint="eastAsia"/>
          <w:sz w:val="24"/>
        </w:rPr>
        <w:t>材料价格明细表中没有的材料价格+信息价×（1-下浮率）</w:t>
      </w:r>
    </w:p>
    <w:p w14:paraId="1A368FE3">
      <w:pPr>
        <w:numPr>
          <w:ilvl w:val="0"/>
          <w:numId w:val="3"/>
        </w:numPr>
        <w:tabs>
          <w:tab w:val="left" w:pos="1260"/>
        </w:tabs>
        <w:spacing w:line="480" w:lineRule="exact"/>
        <w:ind w:firstLine="480" w:firstLineChars="200"/>
        <w:jc w:val="left"/>
        <w:rPr>
          <w:rFonts w:hint="eastAsia"/>
          <w:sz w:val="24"/>
        </w:rPr>
      </w:pPr>
      <w:r>
        <w:rPr>
          <w:rFonts w:hint="eastAsia"/>
          <w:sz w:val="24"/>
        </w:rPr>
        <w:t>上述发布媒介没有公布的材料单价，由中标人提出适当的价格，经招标人会同工程预（决）算编制单位审核确定，报市相关部门造价管理机构备案，</w:t>
      </w:r>
    </w:p>
    <w:p w14:paraId="79EA4B52">
      <w:pPr>
        <w:numPr>
          <w:ilvl w:val="0"/>
          <w:numId w:val="4"/>
        </w:numPr>
        <w:spacing w:line="480" w:lineRule="exact"/>
        <w:ind w:firstLine="482" w:firstLineChars="200"/>
        <w:rPr>
          <w:rFonts w:hint="eastAsia"/>
          <w:b/>
          <w:sz w:val="24"/>
        </w:rPr>
      </w:pPr>
      <w:r>
        <w:rPr>
          <w:rFonts w:hint="eastAsia"/>
          <w:b/>
          <w:sz w:val="24"/>
        </w:rPr>
        <w:t>结算方式及付款方式</w:t>
      </w:r>
    </w:p>
    <w:p w14:paraId="1443C28C">
      <w:pPr>
        <w:spacing w:line="480" w:lineRule="exact"/>
        <w:ind w:firstLine="480" w:firstLineChars="200"/>
        <w:rPr>
          <w:rFonts w:hint="eastAsia"/>
          <w:sz w:val="24"/>
        </w:rPr>
      </w:pPr>
      <w:r>
        <w:rPr>
          <w:rFonts w:hint="eastAsia"/>
          <w:sz w:val="24"/>
        </w:rPr>
        <w:t>15.1工程量待每个标段竣工验收后进行汇总，最终工程造价以经学院审计科审核的工程结算价为准，按实进行结算。</w:t>
      </w:r>
    </w:p>
    <w:p w14:paraId="5B355270">
      <w:pPr>
        <w:spacing w:line="480" w:lineRule="exact"/>
        <w:ind w:firstLine="480" w:firstLineChars="200"/>
        <w:rPr>
          <w:rFonts w:hint="eastAsia"/>
          <w:sz w:val="24"/>
        </w:rPr>
      </w:pPr>
      <w:r>
        <w:rPr>
          <w:rFonts w:hint="eastAsia"/>
          <w:sz w:val="24"/>
        </w:rPr>
        <w:t>15.2每个标段竣工验收结算、通过造价咨询单位第三方审核结算后，</w:t>
      </w:r>
      <w:r>
        <w:rPr>
          <w:rFonts w:hint="eastAsia" w:ascii="宋体" w:hAnsi="宋体"/>
          <w:sz w:val="24"/>
        </w:rPr>
        <w:t>招标人收到中标人送达的材料，并对材料进行审查，在材料齐全并且审查合格后，</w:t>
      </w:r>
      <w:r>
        <w:rPr>
          <w:rFonts w:hint="eastAsia"/>
          <w:sz w:val="24"/>
        </w:rPr>
        <w:t>招标人在收到中标人开具的税务发票</w:t>
      </w:r>
      <w:r>
        <w:rPr>
          <w:rFonts w:hint="eastAsia" w:ascii="宋体" w:hAnsi="宋体"/>
          <w:sz w:val="24"/>
        </w:rPr>
        <w:t>后</w:t>
      </w:r>
      <w:r>
        <w:rPr>
          <w:rFonts w:hint="eastAsia"/>
          <w:sz w:val="24"/>
        </w:rPr>
        <w:t>支付工程结算审核后总价的97%，余下的3 %作为保修金，保修金待保修期满后，无工程质量问题，一个月内无息返还。</w:t>
      </w:r>
    </w:p>
    <w:p w14:paraId="0969739C">
      <w:pPr>
        <w:spacing w:line="400" w:lineRule="exact"/>
        <w:ind w:firstLine="480" w:firstLineChars="200"/>
        <w:rPr>
          <w:rFonts w:hint="eastAsia" w:ascii="宋体" w:hAnsi="宋体"/>
          <w:color w:val="0000FF"/>
          <w:sz w:val="24"/>
        </w:rPr>
      </w:pPr>
      <w:r>
        <w:rPr>
          <w:rFonts w:hint="eastAsia" w:ascii="宋体" w:hAnsi="宋体"/>
          <w:color w:val="0000FF"/>
          <w:sz w:val="24"/>
        </w:rPr>
        <w:t>备注：招标人在工程款支付时，原预算书中要求提供税率为9%的增值税发票，但中标人实际提供的发票票面税率与要求的税率不同时，则招标人实际付款金额=结算价/1.09*（1+票面税率），例如：若开票税率为3%，则招标人实际付款金额=结算价/1.09*（1+3%）。若国家出台新的税收政策，则按新政策执行。</w:t>
      </w:r>
    </w:p>
    <w:p w14:paraId="75369D34">
      <w:pPr>
        <w:spacing w:line="400" w:lineRule="exact"/>
        <w:ind w:firstLine="480" w:firstLineChars="200"/>
        <w:rPr>
          <w:rFonts w:hint="eastAsia" w:ascii="宋体" w:hAnsi="宋体"/>
          <w:sz w:val="24"/>
        </w:rPr>
      </w:pPr>
      <w:r>
        <w:rPr>
          <w:rFonts w:hint="eastAsia" w:ascii="宋体" w:hAnsi="宋体"/>
          <w:sz w:val="24"/>
        </w:rPr>
        <w:t>15.3投标人中标后，本项目工程款由招标人依照双方施工合同关于支付进度及支付方式的约定，与中标人进行结算，并向招标人开具等额正式发票。</w:t>
      </w:r>
    </w:p>
    <w:p w14:paraId="0CC39F56">
      <w:pPr>
        <w:numPr>
          <w:ilvl w:val="0"/>
          <w:numId w:val="4"/>
        </w:numPr>
        <w:spacing w:line="480" w:lineRule="exact"/>
        <w:ind w:firstLine="482" w:firstLineChars="200"/>
        <w:rPr>
          <w:rFonts w:hint="eastAsia"/>
          <w:b/>
          <w:sz w:val="24"/>
        </w:rPr>
      </w:pPr>
      <w:r>
        <w:rPr>
          <w:rFonts w:hint="eastAsia"/>
          <w:b/>
          <w:sz w:val="24"/>
        </w:rPr>
        <w:t>零星修缮改造工程要求施工任务</w:t>
      </w:r>
    </w:p>
    <w:p w14:paraId="6FF5AF59">
      <w:pPr>
        <w:spacing w:line="400" w:lineRule="exact"/>
        <w:ind w:firstLine="420" w:firstLineChars="200"/>
        <w:rPr>
          <w:rFonts w:hint="eastAsia"/>
        </w:rPr>
      </w:pPr>
      <w:r>
        <w:rPr>
          <w:rFonts w:hint="eastAsia"/>
        </w:rPr>
        <w:t xml:space="preserve"> 16.1</w:t>
      </w:r>
      <w:r>
        <w:rPr>
          <w:rFonts w:hint="eastAsia" w:ascii="宋体" w:hAnsi="宋体"/>
          <w:sz w:val="24"/>
        </w:rPr>
        <w:t>中标单位承担承包区域内单项工程预算价（不含甲供材料）在3万元以下的施工任务，且年度汇总造价不超过260万元。中标人按照招标人的要求进行实施。擅自施工及超范围施工的招标人不予以认定。</w:t>
      </w:r>
    </w:p>
    <w:p w14:paraId="3249448E">
      <w:pPr>
        <w:spacing w:line="400" w:lineRule="exact"/>
        <w:ind w:firstLine="480" w:firstLineChars="200"/>
        <w:rPr>
          <w:rFonts w:hint="eastAsia" w:ascii="宋体" w:hAnsi="宋体"/>
          <w:sz w:val="24"/>
        </w:rPr>
      </w:pPr>
      <w:r>
        <w:rPr>
          <w:rFonts w:hint="eastAsia" w:ascii="宋体" w:hAnsi="宋体"/>
          <w:sz w:val="24"/>
        </w:rPr>
        <w:t>16.2中标人未能在招标人要求，规范和规定时限内施工的，未能按照有关作业安全防护的，产生的质量问题、安全事故及一切后果由承包人自行承担。招标人有权每次扣除该项目工程费用的5%。</w:t>
      </w:r>
    </w:p>
    <w:p w14:paraId="410964D7">
      <w:pPr>
        <w:spacing w:line="480" w:lineRule="exact"/>
        <w:ind w:firstLine="480" w:firstLineChars="200"/>
        <w:rPr>
          <w:rFonts w:hint="eastAsia"/>
          <w:sz w:val="24"/>
        </w:rPr>
      </w:pPr>
      <w:r>
        <w:rPr>
          <w:rFonts w:hint="eastAsia"/>
          <w:sz w:val="24"/>
        </w:rPr>
        <w:t>16.3 如中标人无法完成规定的标准或施工期限的，招标人有权按规定的“扣款标准”进行扣款，产生一切后果由承包人承担，招标人不承担任何经济及法律责任。</w:t>
      </w:r>
    </w:p>
    <w:p w14:paraId="2458EB35">
      <w:pPr>
        <w:spacing w:line="480" w:lineRule="exact"/>
        <w:ind w:firstLine="480" w:firstLineChars="200"/>
        <w:rPr>
          <w:rFonts w:hint="eastAsia"/>
          <w:sz w:val="24"/>
        </w:rPr>
      </w:pPr>
      <w:r>
        <w:rPr>
          <w:rFonts w:hint="eastAsia"/>
          <w:sz w:val="24"/>
        </w:rPr>
        <w:t>16.4中标人出现工程质量安全事故，按质量安全有关规定查处，每次事故至少扣承包人500元，年内发生三起安全事故，不论事故大小，扣除履约保证金，取消其中标人资格，并赔偿相应损失。同时招标人成立事故调查组，深入调查并追究责任。</w:t>
      </w:r>
    </w:p>
    <w:p w14:paraId="3C132984">
      <w:pPr>
        <w:spacing w:line="480" w:lineRule="exact"/>
        <w:ind w:firstLine="480" w:firstLineChars="200"/>
        <w:rPr>
          <w:rFonts w:hint="eastAsia" w:ascii="宋体" w:hAnsi="宋体"/>
          <w:bCs/>
          <w:sz w:val="24"/>
        </w:rPr>
      </w:pPr>
      <w:r>
        <w:rPr>
          <w:rFonts w:hint="eastAsia" w:ascii="宋体" w:hAnsi="宋体"/>
          <w:bCs/>
          <w:sz w:val="24"/>
        </w:rPr>
        <w:t>16.5现场施工应遵守国家和地</w:t>
      </w:r>
      <w:r>
        <w:rPr>
          <w:rFonts w:ascii="宋体" w:hAnsi="宋体"/>
          <w:bCs/>
          <w:sz w:val="24"/>
        </w:rPr>
        <w:t>方</w:t>
      </w:r>
      <w:r>
        <w:rPr>
          <w:rFonts w:hint="eastAsia" w:ascii="宋体" w:hAnsi="宋体"/>
          <w:bCs/>
          <w:sz w:val="24"/>
        </w:rPr>
        <w:t>关于劳</w:t>
      </w:r>
      <w:r>
        <w:rPr>
          <w:rFonts w:ascii="宋体" w:hAnsi="宋体"/>
          <w:bCs/>
          <w:sz w:val="24"/>
        </w:rPr>
        <w:t>动</w:t>
      </w:r>
      <w:r>
        <w:rPr>
          <w:rFonts w:hint="eastAsia" w:ascii="宋体" w:hAnsi="宋体"/>
          <w:bCs/>
          <w:sz w:val="24"/>
        </w:rPr>
        <w:t>安全、劳务用工法律</w:t>
      </w:r>
      <w:r>
        <w:rPr>
          <w:rFonts w:ascii="宋体" w:hAnsi="宋体"/>
          <w:bCs/>
          <w:sz w:val="24"/>
        </w:rPr>
        <w:t>法</w:t>
      </w:r>
      <w:r>
        <w:rPr>
          <w:rFonts w:hint="eastAsia" w:ascii="宋体" w:hAnsi="宋体"/>
          <w:bCs/>
          <w:sz w:val="24"/>
        </w:rPr>
        <w:t>规及规章制度，保证其用工的合法性。中标人必须按国家有关规定，为</w:t>
      </w:r>
      <w:r>
        <w:rPr>
          <w:rFonts w:ascii="宋体" w:hAnsi="宋体"/>
          <w:bCs/>
          <w:sz w:val="24"/>
        </w:rPr>
        <w:t>施</w:t>
      </w:r>
      <w:r>
        <w:rPr>
          <w:rFonts w:hint="eastAsia" w:ascii="宋体" w:hAnsi="宋体"/>
          <w:bCs/>
          <w:sz w:val="24"/>
        </w:rPr>
        <w:t>工人员参加工伤保险缴纳工</w:t>
      </w:r>
      <w:r>
        <w:rPr>
          <w:rFonts w:ascii="宋体" w:hAnsi="宋体"/>
          <w:bCs/>
          <w:sz w:val="24"/>
        </w:rPr>
        <w:t>伤</w:t>
      </w:r>
      <w:r>
        <w:rPr>
          <w:rFonts w:hint="eastAsia" w:ascii="宋体" w:hAnsi="宋体"/>
          <w:bCs/>
          <w:sz w:val="24"/>
        </w:rPr>
        <w:t>保险费，对从事危</w:t>
      </w:r>
      <w:r>
        <w:rPr>
          <w:rFonts w:ascii="宋体" w:hAnsi="宋体"/>
          <w:bCs/>
          <w:sz w:val="24"/>
        </w:rPr>
        <w:t>险</w:t>
      </w:r>
      <w:r>
        <w:rPr>
          <w:rFonts w:hint="eastAsia" w:ascii="宋体" w:hAnsi="宋体"/>
          <w:bCs/>
          <w:sz w:val="24"/>
        </w:rPr>
        <w:t>作业的职工办理意外伤害保</w:t>
      </w:r>
      <w:r>
        <w:rPr>
          <w:rFonts w:ascii="宋体" w:hAnsi="宋体"/>
          <w:bCs/>
          <w:sz w:val="24"/>
        </w:rPr>
        <w:t>险</w:t>
      </w:r>
      <w:r>
        <w:rPr>
          <w:rFonts w:hint="eastAsia" w:ascii="宋体" w:hAnsi="宋体"/>
          <w:bCs/>
          <w:sz w:val="24"/>
        </w:rPr>
        <w:t>。</w:t>
      </w:r>
    </w:p>
    <w:p w14:paraId="1BD047A4">
      <w:pPr>
        <w:spacing w:line="440" w:lineRule="exact"/>
        <w:ind w:firstLine="482" w:firstLineChars="200"/>
        <w:jc w:val="left"/>
        <w:rPr>
          <w:rFonts w:hint="eastAsia" w:ascii="宋体" w:hAnsi="宋体"/>
          <w:b/>
          <w:bCs/>
          <w:sz w:val="24"/>
        </w:rPr>
      </w:pPr>
      <w:r>
        <w:rPr>
          <w:rFonts w:hint="eastAsia" w:ascii="宋体" w:hAnsi="宋体"/>
          <w:b/>
          <w:bCs/>
          <w:sz w:val="24"/>
        </w:rPr>
        <w:t>17.主要材料、设备要求</w:t>
      </w:r>
    </w:p>
    <w:p w14:paraId="033776A4">
      <w:pPr>
        <w:spacing w:line="480" w:lineRule="exact"/>
        <w:ind w:firstLine="480" w:firstLineChars="200"/>
        <w:rPr>
          <w:rFonts w:hint="eastAsia" w:ascii="宋体" w:hAnsi="宋体"/>
          <w:bCs/>
          <w:sz w:val="24"/>
        </w:rPr>
      </w:pPr>
      <w:r>
        <w:rPr>
          <w:rFonts w:hint="eastAsia" w:ascii="宋体" w:hAnsi="宋体"/>
          <w:bCs/>
          <w:sz w:val="24"/>
        </w:rPr>
        <w:t>17.1根据莆田市公共资源交易管理办公室《关于在政府招标采购领域推荐使用我市名优地产品的通知》及根据莆田市工业和信息化局关于公布·莆田市名优地产品名录的通知优先选用公布的莆田市名优地产品名录内产品。（若有发布新的我市名优地产品，则一并执行。）</w:t>
      </w:r>
    </w:p>
    <w:p w14:paraId="091F1049">
      <w:pPr>
        <w:spacing w:line="480" w:lineRule="exact"/>
        <w:ind w:firstLine="480" w:firstLineChars="200"/>
        <w:rPr>
          <w:rFonts w:hint="eastAsia" w:ascii="宋体" w:hAnsi="宋体"/>
          <w:bCs/>
          <w:sz w:val="24"/>
        </w:rPr>
      </w:pPr>
      <w:r>
        <w:rPr>
          <w:rFonts w:hint="eastAsia" w:ascii="宋体" w:hAnsi="宋体"/>
          <w:bCs/>
          <w:sz w:val="24"/>
        </w:rPr>
        <w:t>17.2中标单位在修缮施工过程中所使用的材料，涉及观感要求的部分，如市政铺装、文化砖、瓷砖、玻璃等，其规格、材质、色差原则上应与原材料保持一致或尽量接近，否则招标人有权不予验收，并要求返工整改。</w:t>
      </w:r>
    </w:p>
    <w:p w14:paraId="3C9C4884">
      <w:pPr>
        <w:spacing w:line="440" w:lineRule="exact"/>
        <w:jc w:val="center"/>
        <w:rPr>
          <w:rFonts w:hint="eastAsia" w:ascii="宋体" w:hAnsi="宋体"/>
          <w:b/>
          <w:sz w:val="30"/>
          <w:szCs w:val="30"/>
        </w:rPr>
      </w:pPr>
      <w:r>
        <w:rPr>
          <w:rFonts w:hint="eastAsia" w:ascii="宋体" w:hAnsi="宋体"/>
          <w:b/>
          <w:sz w:val="30"/>
          <w:szCs w:val="30"/>
        </w:rPr>
        <w:t xml:space="preserve"> (三)投标文件</w:t>
      </w:r>
    </w:p>
    <w:p w14:paraId="4BDCF4A7">
      <w:pPr>
        <w:spacing w:line="440" w:lineRule="exact"/>
        <w:ind w:firstLine="482" w:firstLineChars="200"/>
        <w:jc w:val="left"/>
        <w:rPr>
          <w:rFonts w:hint="eastAsia" w:ascii="宋体" w:hAnsi="宋体"/>
          <w:b/>
          <w:bCs/>
          <w:sz w:val="24"/>
        </w:rPr>
      </w:pPr>
      <w:r>
        <w:rPr>
          <w:rFonts w:hint="eastAsia" w:ascii="宋体" w:hAnsi="宋体"/>
          <w:b/>
          <w:bCs/>
          <w:sz w:val="24"/>
        </w:rPr>
        <w:t>18.投标文件的组成</w:t>
      </w:r>
    </w:p>
    <w:p w14:paraId="1681F9F7">
      <w:pPr>
        <w:tabs>
          <w:tab w:val="left" w:pos="1260"/>
        </w:tabs>
        <w:spacing w:line="440" w:lineRule="exact"/>
        <w:ind w:firstLine="480" w:firstLineChars="200"/>
        <w:jc w:val="left"/>
        <w:rPr>
          <w:rFonts w:hint="eastAsia" w:ascii="宋体" w:hAnsi="宋体"/>
          <w:sz w:val="24"/>
        </w:rPr>
      </w:pPr>
      <w:r>
        <w:rPr>
          <w:rFonts w:hint="eastAsia" w:ascii="宋体" w:hAnsi="宋体"/>
          <w:sz w:val="24"/>
        </w:rPr>
        <w:t>18.1投标文件须按招标文件提供的统一格式填写(格式中的所有表格，均可视内容扩展)，包括完整地填写投标函，中文打字并装订成册。</w:t>
      </w:r>
    </w:p>
    <w:p w14:paraId="1311D726">
      <w:pPr>
        <w:tabs>
          <w:tab w:val="left" w:pos="1260"/>
        </w:tabs>
        <w:spacing w:line="440" w:lineRule="exact"/>
        <w:ind w:firstLine="480" w:firstLineChars="200"/>
        <w:jc w:val="left"/>
        <w:rPr>
          <w:rFonts w:hint="eastAsia" w:ascii="宋体" w:hAnsi="宋体"/>
          <w:sz w:val="24"/>
        </w:rPr>
      </w:pPr>
      <w:r>
        <w:rPr>
          <w:rFonts w:hint="eastAsia" w:ascii="宋体" w:hAnsi="宋体"/>
          <w:sz w:val="24"/>
        </w:rPr>
        <w:t>18.2 投标文件由下列内容组成。</w:t>
      </w:r>
    </w:p>
    <w:p w14:paraId="7C6F317B">
      <w:pPr>
        <w:tabs>
          <w:tab w:val="left" w:pos="1260"/>
        </w:tabs>
        <w:spacing w:line="440" w:lineRule="exact"/>
        <w:ind w:firstLine="480" w:firstLineChars="200"/>
        <w:jc w:val="left"/>
        <w:rPr>
          <w:rFonts w:hint="eastAsia" w:ascii="宋体" w:hAnsi="宋体"/>
          <w:sz w:val="24"/>
        </w:rPr>
      </w:pPr>
      <w:r>
        <w:rPr>
          <w:rFonts w:hint="eastAsia" w:ascii="宋体" w:hAnsi="宋体"/>
          <w:sz w:val="24"/>
        </w:rPr>
        <w:t>（1）投标承诺函</w:t>
      </w:r>
    </w:p>
    <w:p w14:paraId="6C88B8CA">
      <w:pPr>
        <w:tabs>
          <w:tab w:val="left" w:pos="1260"/>
        </w:tabs>
        <w:spacing w:line="440" w:lineRule="exact"/>
        <w:ind w:firstLine="480" w:firstLineChars="200"/>
        <w:jc w:val="left"/>
        <w:rPr>
          <w:rFonts w:hint="eastAsia" w:ascii="宋体" w:hAnsi="宋体"/>
          <w:sz w:val="24"/>
        </w:rPr>
      </w:pPr>
      <w:r>
        <w:rPr>
          <w:rFonts w:hint="eastAsia" w:ascii="宋体" w:hAnsi="宋体"/>
          <w:sz w:val="24"/>
        </w:rPr>
        <w:t>（2）企业和人员的证书、证件复印件</w:t>
      </w:r>
    </w:p>
    <w:p w14:paraId="08DBC4FD">
      <w:pPr>
        <w:tabs>
          <w:tab w:val="left" w:pos="1260"/>
        </w:tabs>
        <w:spacing w:line="440" w:lineRule="exact"/>
        <w:ind w:firstLine="480" w:firstLineChars="200"/>
        <w:jc w:val="left"/>
        <w:rPr>
          <w:rFonts w:hint="eastAsia" w:ascii="宋体" w:hAnsi="宋体"/>
          <w:sz w:val="24"/>
        </w:rPr>
      </w:pPr>
      <w:r>
        <w:rPr>
          <w:rFonts w:hint="eastAsia" w:ascii="宋体" w:hAnsi="宋体"/>
          <w:sz w:val="24"/>
        </w:rPr>
        <w:t>（3）法定代表人资格证明书、法定代表人授权委托书（格式）</w:t>
      </w:r>
    </w:p>
    <w:p w14:paraId="10E171DB">
      <w:pPr>
        <w:spacing w:line="420" w:lineRule="exact"/>
        <w:ind w:firstLine="470" w:firstLineChars="196"/>
        <w:rPr>
          <w:rFonts w:hint="eastAsia"/>
          <w:sz w:val="24"/>
        </w:rPr>
      </w:pPr>
      <w:r>
        <w:rPr>
          <w:rFonts w:hint="eastAsia"/>
          <w:sz w:val="24"/>
        </w:rPr>
        <w:t>注：1、项目负责人的建造师电子注册证书，即建造师电子注册证书彩色打印并由项目负责人在个人签名处手写签名后扫描上传。未由项目负责人本人手写签名或与签名图像笔迹不一致的，该电子注册证书无效。2、一级建造师电子注册证书应在使用有效期内，否则该电子注册证书无效。二级建造师电子注册证书应在使用有效期内，没有标注使用有效期的，应在注册专业有效期内，否则该电子注册证书无效</w:t>
      </w:r>
      <w:r>
        <w:rPr>
          <w:rFonts w:hint="eastAsia" w:ascii="宋体" w:hAnsi="宋体"/>
          <w:b/>
          <w:sz w:val="24"/>
        </w:rPr>
        <w:t>。</w:t>
      </w:r>
    </w:p>
    <w:p w14:paraId="3E5A543E">
      <w:pPr>
        <w:tabs>
          <w:tab w:val="left" w:pos="0"/>
        </w:tabs>
        <w:spacing w:line="440" w:lineRule="exact"/>
        <w:ind w:firstLine="482" w:firstLineChars="200"/>
        <w:jc w:val="left"/>
        <w:rPr>
          <w:rFonts w:hint="eastAsia" w:ascii="宋体" w:hAnsi="宋体"/>
          <w:b/>
          <w:sz w:val="24"/>
        </w:rPr>
      </w:pPr>
      <w:r>
        <w:rPr>
          <w:rFonts w:hint="eastAsia" w:ascii="宋体" w:hAnsi="宋体"/>
          <w:b/>
          <w:sz w:val="24"/>
        </w:rPr>
        <w:t>19.</w:t>
      </w:r>
      <w:r>
        <w:rPr>
          <w:rFonts w:hint="eastAsia" w:ascii="宋体" w:hAnsi="宋体"/>
          <w:b/>
          <w:bCs/>
          <w:sz w:val="24"/>
        </w:rPr>
        <w:t>投标有效期</w:t>
      </w:r>
    </w:p>
    <w:p w14:paraId="5A90393F">
      <w:pPr>
        <w:spacing w:line="440" w:lineRule="exact"/>
        <w:ind w:firstLine="480" w:firstLineChars="200"/>
        <w:jc w:val="left"/>
        <w:rPr>
          <w:rFonts w:hint="eastAsia" w:ascii="宋体" w:hAnsi="宋体"/>
          <w:bCs/>
          <w:sz w:val="24"/>
        </w:rPr>
      </w:pPr>
      <w:r>
        <w:rPr>
          <w:rFonts w:hint="eastAsia" w:ascii="宋体" w:hAnsi="宋体"/>
          <w:bCs/>
          <w:sz w:val="24"/>
        </w:rPr>
        <w:t>本招标项目的投标有效期为90日历天(从投标截止之日算起)。</w:t>
      </w:r>
    </w:p>
    <w:p w14:paraId="6EB082B1">
      <w:pPr>
        <w:spacing w:line="440" w:lineRule="exact"/>
        <w:ind w:firstLine="482" w:firstLineChars="200"/>
        <w:jc w:val="left"/>
        <w:rPr>
          <w:rFonts w:hint="eastAsia" w:ascii="宋体" w:hAnsi="宋体"/>
          <w:b/>
          <w:bCs/>
          <w:sz w:val="24"/>
        </w:rPr>
      </w:pPr>
      <w:r>
        <w:rPr>
          <w:rFonts w:hint="eastAsia" w:ascii="宋体" w:hAnsi="宋体"/>
          <w:b/>
          <w:bCs/>
          <w:sz w:val="24"/>
        </w:rPr>
        <w:t>20.投标保证金</w:t>
      </w:r>
    </w:p>
    <w:p w14:paraId="176707DE">
      <w:pPr>
        <w:spacing w:line="440" w:lineRule="exact"/>
        <w:ind w:firstLine="480" w:firstLineChars="200"/>
        <w:jc w:val="left"/>
        <w:rPr>
          <w:rFonts w:hint="eastAsia" w:ascii="宋体" w:hAnsi="宋体"/>
          <w:bCs/>
          <w:sz w:val="24"/>
        </w:rPr>
      </w:pPr>
      <w:r>
        <w:rPr>
          <w:rFonts w:hint="eastAsia" w:ascii="宋体" w:hAnsi="宋体"/>
          <w:bCs/>
          <w:sz w:val="24"/>
        </w:rPr>
        <w:t>20.1.</w:t>
      </w:r>
      <w:r>
        <w:rPr>
          <w:rFonts w:hint="eastAsia" w:ascii="宋体" w:hAnsi="宋体"/>
          <w:sz w:val="24"/>
        </w:rPr>
        <w:t>投标保证金金额为人民币</w:t>
      </w:r>
      <w:r>
        <w:rPr>
          <w:rFonts w:hint="eastAsia" w:ascii="宋体" w:hAnsi="宋体"/>
          <w:sz w:val="24"/>
          <w:u w:val="single"/>
        </w:rPr>
        <w:t>: 肆万元整(¥ 40000元整)</w:t>
      </w:r>
      <w:r>
        <w:rPr>
          <w:rFonts w:hint="eastAsia" w:ascii="宋体" w:hAnsi="宋体"/>
          <w:sz w:val="24"/>
        </w:rPr>
        <w:t>，本项目采用电子保函或现金转账。具体按相关文件规定执行。未中标单位采用现金转账的投标保证金在中标结果公示期满后5个工作日内退回。</w:t>
      </w:r>
    </w:p>
    <w:p w14:paraId="65F48C73">
      <w:pPr>
        <w:spacing w:line="440" w:lineRule="exact"/>
        <w:ind w:firstLine="480" w:firstLineChars="200"/>
        <w:jc w:val="left"/>
        <w:rPr>
          <w:rFonts w:hint="eastAsia" w:ascii="宋体" w:hAnsi="宋体"/>
          <w:sz w:val="24"/>
        </w:rPr>
      </w:pPr>
      <w:r>
        <w:rPr>
          <w:rFonts w:hint="eastAsia" w:ascii="宋体" w:hAnsi="宋体"/>
          <w:sz w:val="24"/>
        </w:rPr>
        <w:t>20.2投标保证金形式：本项目（标段）投标截止时没有被列为招投标重点监管对象的投标人可以使用下列第①②③④种形式之一提交；本项目（标段）投标截止时仍被列为招投标重点监管对象的投标人，仅限于使用第①种形式提交。招投标重点监管对象名单通过福建省公共资源电子行政监督平台查询）：</w:t>
      </w:r>
    </w:p>
    <w:p w14:paraId="2F025532">
      <w:pPr>
        <w:spacing w:line="440" w:lineRule="exact"/>
        <w:ind w:firstLine="480" w:firstLineChars="200"/>
        <w:jc w:val="left"/>
        <w:rPr>
          <w:rFonts w:hint="eastAsia" w:ascii="宋体" w:hAnsi="宋体"/>
          <w:sz w:val="24"/>
        </w:rPr>
      </w:pPr>
      <w:r>
        <w:rPr>
          <w:rFonts w:hint="eastAsia" w:ascii="宋体" w:hAnsi="宋体"/>
          <w:sz w:val="24"/>
        </w:rPr>
        <w:t>①现金形式: 应在投标截止时间之前从投标人所在地银行的投标人企业基本账户以电汇或银行转账的形式，汇到招标文件指定的投标保证金账户，并应在电汇或银行转账单上注明招标项目编号或招标项目名称，如因投标人汇款凭证未注明招标项目编号造成银行无法识别投标保证金到账情况或识别错误的，其责任由投标人自行承担。招标人在投标截止的同一时间到银行查询投标保证金到帐情况，投标人企业基本账户开户许可证或基本存款账户开户银行开具的《基本存款账户信息》上账号应与投标保证金转账回单上账号一致，否则视为未按规定提交投标保证金，资格审查不合格。</w:t>
      </w:r>
    </w:p>
    <w:p w14:paraId="28C41B90">
      <w:pPr>
        <w:spacing w:line="440" w:lineRule="exact"/>
        <w:ind w:firstLine="480" w:firstLineChars="200"/>
        <w:jc w:val="left"/>
        <w:rPr>
          <w:rFonts w:hint="eastAsia" w:ascii="宋体" w:hAnsi="宋体"/>
          <w:color w:val="0000FF"/>
          <w:sz w:val="24"/>
        </w:rPr>
      </w:pPr>
      <w:r>
        <w:rPr>
          <w:rFonts w:hint="eastAsia" w:ascii="宋体" w:hAnsi="宋体"/>
          <w:color w:val="0000FF"/>
          <w:sz w:val="24"/>
        </w:rPr>
        <w:t>开户银行： 在线获取生成子账号</w:t>
      </w:r>
    </w:p>
    <w:p w14:paraId="1ECC4D7D">
      <w:pPr>
        <w:spacing w:line="440" w:lineRule="exact"/>
        <w:ind w:firstLine="480" w:firstLineChars="200"/>
        <w:jc w:val="left"/>
        <w:rPr>
          <w:rFonts w:hint="eastAsia" w:ascii="宋体" w:hAnsi="宋体"/>
          <w:color w:val="0000FF"/>
          <w:sz w:val="24"/>
        </w:rPr>
      </w:pPr>
      <w:r>
        <w:rPr>
          <w:rFonts w:hint="eastAsia" w:ascii="宋体" w:hAnsi="宋体"/>
          <w:color w:val="0000FF"/>
          <w:sz w:val="24"/>
        </w:rPr>
        <w:t>帐户名称： 在线获取生成子账号</w:t>
      </w:r>
    </w:p>
    <w:p w14:paraId="269B2539">
      <w:pPr>
        <w:spacing w:line="440" w:lineRule="exact"/>
        <w:ind w:firstLine="480" w:firstLineChars="200"/>
        <w:jc w:val="left"/>
        <w:rPr>
          <w:rFonts w:hint="eastAsia" w:ascii="宋体" w:hAnsi="宋体"/>
          <w:color w:val="0000FF"/>
          <w:sz w:val="24"/>
        </w:rPr>
      </w:pPr>
      <w:r>
        <w:rPr>
          <w:rFonts w:hint="eastAsia" w:ascii="宋体" w:hAnsi="宋体"/>
          <w:color w:val="0000FF"/>
          <w:sz w:val="24"/>
        </w:rPr>
        <w:t>帐    号： 在线获取生成子账号</w:t>
      </w:r>
    </w:p>
    <w:p w14:paraId="1E6E758E">
      <w:pPr>
        <w:pStyle w:val="23"/>
        <w:snapToGrid w:val="0"/>
        <w:spacing w:line="340" w:lineRule="exact"/>
        <w:ind w:left="4" w:leftChars="2" w:firstLine="480" w:firstLineChars="200"/>
        <w:rPr>
          <w:rFonts w:hint="eastAsia" w:ascii="宋体" w:hAnsi="宋体"/>
          <w:sz w:val="24"/>
          <w:szCs w:val="24"/>
        </w:rPr>
      </w:pPr>
      <w:r>
        <w:rPr>
          <w:rFonts w:hint="eastAsia" w:ascii="宋体" w:hAnsi="宋体"/>
          <w:sz w:val="24"/>
          <w:szCs w:val="24"/>
        </w:rPr>
        <w:t>②银行保函形式：</w:t>
      </w:r>
      <w:bookmarkStart w:id="0" w:name="EB85498cc0943141ad8523cc5b0b055cbb"/>
      <w:r>
        <w:rPr>
          <w:rFonts w:hint="eastAsia" w:ascii="宋体" w:hAnsi="宋体"/>
          <w:sz w:val="24"/>
          <w:szCs w:val="24"/>
        </w:rPr>
        <w:t>保证人应是中华人民共和国境内注册的有资格的银行，并提供在线申请索赔服务（具体要求根据《福建省住房和城乡建设厅关于进一步规范我省房建和房屋建筑工程招标项目投标保证金管理的通知》（闽建筑[2020]8号）文件规定执行）</w:t>
      </w:r>
      <w:bookmarkEnd w:id="0"/>
      <w:r>
        <w:rPr>
          <w:rFonts w:hint="eastAsia" w:ascii="宋体" w:hAnsi="宋体"/>
          <w:sz w:val="24"/>
          <w:szCs w:val="24"/>
        </w:rPr>
        <w:t>。</w:t>
      </w:r>
    </w:p>
    <w:p w14:paraId="5566A967">
      <w:pPr>
        <w:pStyle w:val="23"/>
        <w:wordWrap w:val="0"/>
        <w:snapToGrid w:val="0"/>
        <w:spacing w:line="340" w:lineRule="exact"/>
        <w:ind w:firstLine="482" w:firstLineChars="200"/>
        <w:rPr>
          <w:rFonts w:hint="eastAsia" w:ascii="宋体" w:hAnsi="宋体"/>
          <w:b/>
          <w:iCs/>
          <w:sz w:val="24"/>
          <w:szCs w:val="24"/>
        </w:rPr>
      </w:pPr>
      <w:r>
        <w:rPr>
          <w:rFonts w:hint="eastAsia" w:ascii="宋体" w:hAnsi="宋体"/>
          <w:b/>
          <w:iCs/>
          <w:sz w:val="24"/>
          <w:szCs w:val="24"/>
        </w:rPr>
        <w:t>投标人向商业银行缴交的保函费用，应在投标截止时间之前从投标人所在地银行的投标人企业基本账户以电汇或银行转账的形式汇到商业银行账户，并应在电汇或银行转账单上注明</w:t>
      </w:r>
      <w:r>
        <w:rPr>
          <w:rFonts w:hint="eastAsia" w:ascii="宋体" w:hAnsi="宋体"/>
          <w:b/>
          <w:sz w:val="24"/>
          <w:szCs w:val="24"/>
          <w:u w:val="single"/>
        </w:rPr>
        <w:t>（招标项目编号）</w:t>
      </w:r>
      <w:r>
        <w:rPr>
          <w:rFonts w:hint="eastAsia" w:ascii="宋体" w:hAnsi="宋体"/>
          <w:b/>
          <w:iCs/>
          <w:sz w:val="24"/>
          <w:szCs w:val="24"/>
        </w:rPr>
        <w:t>。</w:t>
      </w:r>
      <w:r>
        <w:rPr>
          <w:rFonts w:hint="eastAsia" w:ascii="宋体" w:hAnsi="宋体"/>
          <w:sz w:val="24"/>
          <w:szCs w:val="24"/>
          <w:lang w:val="zh-CN"/>
        </w:rPr>
        <w:t>采开具保函费用由投标人自理。</w:t>
      </w:r>
    </w:p>
    <w:p w14:paraId="5EA67EB9">
      <w:pPr>
        <w:pStyle w:val="23"/>
        <w:snapToGrid w:val="0"/>
        <w:spacing w:line="340" w:lineRule="exact"/>
        <w:ind w:firstLine="480" w:firstLineChars="200"/>
        <w:rPr>
          <w:rFonts w:hint="eastAsia" w:ascii="宋体" w:hAnsi="宋体"/>
          <w:sz w:val="24"/>
          <w:szCs w:val="24"/>
        </w:rPr>
      </w:pPr>
      <w:r>
        <w:rPr>
          <w:rFonts w:hint="eastAsia" w:ascii="宋体" w:hAnsi="宋体"/>
          <w:sz w:val="24"/>
          <w:szCs w:val="24"/>
        </w:rPr>
        <w:t>③工程担保公司出具的担保保函形式（适用于已推行工程担保的地区）：</w:t>
      </w:r>
      <w:bookmarkStart w:id="1" w:name="EBb68d21e0ad6a44acb8fad8cf9f1e3672"/>
      <w:r>
        <w:rPr>
          <w:rFonts w:hint="eastAsia" w:ascii="宋体" w:hAnsi="宋体"/>
          <w:sz w:val="24"/>
          <w:szCs w:val="24"/>
        </w:rPr>
        <w:t>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房屋建筑工程招标项目投标保证金管理的通知》（闽建筑[2020]8号）文件规定执行</w:t>
      </w:r>
      <w:bookmarkEnd w:id="1"/>
      <w:r>
        <w:rPr>
          <w:rFonts w:hint="eastAsia" w:ascii="宋体" w:hAnsi="宋体"/>
          <w:sz w:val="24"/>
          <w:szCs w:val="24"/>
        </w:rPr>
        <w:t xml:space="preserve"> 。</w:t>
      </w:r>
    </w:p>
    <w:p w14:paraId="08A343E1">
      <w:pPr>
        <w:pStyle w:val="23"/>
        <w:wordWrap w:val="0"/>
        <w:snapToGrid w:val="0"/>
        <w:spacing w:line="340" w:lineRule="exact"/>
        <w:ind w:firstLine="482" w:firstLineChars="200"/>
        <w:rPr>
          <w:rFonts w:hint="eastAsia" w:ascii="宋体" w:hAnsi="宋体"/>
          <w:b/>
          <w:iCs/>
          <w:sz w:val="24"/>
          <w:szCs w:val="24"/>
        </w:rPr>
      </w:pPr>
      <w:r>
        <w:rPr>
          <w:rFonts w:hint="eastAsia" w:ascii="宋体" w:hAnsi="宋体"/>
          <w:b/>
          <w:iCs/>
          <w:sz w:val="24"/>
          <w:szCs w:val="24"/>
        </w:rPr>
        <w:t>投标人向工程担保公司缴交的保函费用，应在投标截止时间之前从投标人所在地银行的投标人企业基本账户以电汇或银行转账的形式汇到担保公司账户，并应在电汇或银行转账单上注明</w:t>
      </w:r>
      <w:r>
        <w:rPr>
          <w:rFonts w:hint="eastAsia" w:ascii="宋体" w:hAnsi="宋体"/>
          <w:kern w:val="0"/>
          <w:sz w:val="24"/>
          <w:szCs w:val="24"/>
          <w:u w:val="single"/>
        </w:rPr>
        <w:t xml:space="preserve"> </w:t>
      </w:r>
      <w:r>
        <w:rPr>
          <w:rFonts w:hint="eastAsia" w:ascii="宋体" w:hAnsi="宋体"/>
          <w:b/>
          <w:sz w:val="24"/>
          <w:szCs w:val="24"/>
          <w:u w:val="single"/>
        </w:rPr>
        <w:t>（招标项目编号）</w:t>
      </w:r>
      <w:r>
        <w:rPr>
          <w:rFonts w:hint="eastAsia" w:ascii="宋体" w:hAnsi="宋体"/>
          <w:kern w:val="0"/>
          <w:sz w:val="24"/>
          <w:szCs w:val="24"/>
          <w:u w:val="single"/>
        </w:rPr>
        <w:t xml:space="preserve"> </w:t>
      </w:r>
      <w:r>
        <w:rPr>
          <w:rFonts w:hint="eastAsia" w:ascii="宋体" w:hAnsi="宋体"/>
          <w:b/>
          <w:iCs/>
          <w:sz w:val="24"/>
          <w:szCs w:val="24"/>
        </w:rPr>
        <w:t>。</w:t>
      </w:r>
      <w:r>
        <w:rPr>
          <w:rFonts w:hint="eastAsia" w:ascii="宋体" w:hAnsi="宋体"/>
          <w:iCs/>
          <w:sz w:val="24"/>
          <w:szCs w:val="24"/>
          <w:lang w:val="zh-CN"/>
        </w:rPr>
        <w:t>开具保函费用由投标人自理。</w:t>
      </w:r>
    </w:p>
    <w:p w14:paraId="6B304DFE">
      <w:pPr>
        <w:widowControl/>
        <w:ind w:firstLine="480" w:firstLineChars="200"/>
        <w:rPr>
          <w:rFonts w:hint="eastAsia" w:ascii="宋体" w:hAnsi="宋体"/>
          <w:sz w:val="24"/>
        </w:rPr>
      </w:pPr>
      <w:r>
        <w:rPr>
          <w:rFonts w:hint="eastAsia" w:ascii="宋体" w:hAnsi="宋体"/>
          <w:sz w:val="24"/>
        </w:rPr>
        <w:t>④保险公司出具的投标保证保险形式：</w:t>
      </w:r>
      <w:bookmarkStart w:id="2" w:name="EB8f0bbd18dce04f2382e71aefaf3c17ee"/>
      <w:r>
        <w:rPr>
          <w:rFonts w:hint="eastAsia" w:ascii="宋体" w:hAnsi="宋体"/>
          <w:sz w:val="24"/>
        </w:rPr>
        <w:t>保证人应是中华人民共和国境内注册的有资格的保险公司，并提供在线申请索赔服务。保证保险的保险条款应当经中国保监会批准或备案（具体要求根据《福建省住房和城乡建设厅关于进一步规范我省房建和房屋建筑工程招标项目投标保证金管理的通知》（闽建筑[2020]8号）文件规定执行）（投标保证保险应为先行赔付、后续追偿的见索即付保单。保险条款须经中国银保监会或原中国保监会批准或备案。)</w:t>
      </w:r>
      <w:bookmarkEnd w:id="2"/>
    </w:p>
    <w:p w14:paraId="7345CD78">
      <w:pPr>
        <w:pStyle w:val="23"/>
        <w:snapToGrid w:val="0"/>
        <w:spacing w:line="340" w:lineRule="exact"/>
        <w:ind w:firstLine="480" w:firstLineChars="200"/>
        <w:rPr>
          <w:rFonts w:hint="eastAsia" w:ascii="宋体" w:hAnsi="宋体"/>
          <w:sz w:val="24"/>
          <w:szCs w:val="24"/>
        </w:rPr>
      </w:pPr>
      <w:r>
        <w:rPr>
          <w:rFonts w:hint="eastAsia" w:ascii="宋体" w:hAnsi="宋体"/>
          <w:sz w:val="24"/>
          <w:szCs w:val="24"/>
        </w:rPr>
        <w:t xml:space="preserve">   </w:t>
      </w:r>
      <w:r>
        <w:rPr>
          <w:rFonts w:hint="eastAsia" w:ascii="宋体" w:hAnsi="宋体"/>
          <w:b/>
          <w:iCs/>
          <w:sz w:val="24"/>
          <w:szCs w:val="24"/>
        </w:rPr>
        <w:t>投标人向保险公司缴交的保费，应在投标截止时间之前从投标人所在地银行的投标人企业基本账户以电汇或银行转账的形式汇到保险公司账户，并应在电汇或银行转账单上注明</w:t>
      </w:r>
      <w:r>
        <w:rPr>
          <w:rFonts w:hint="eastAsia" w:ascii="宋体" w:hAnsi="宋体"/>
          <w:sz w:val="24"/>
          <w:szCs w:val="24"/>
          <w:u w:val="single"/>
        </w:rPr>
        <w:t xml:space="preserve"> </w:t>
      </w:r>
      <w:r>
        <w:rPr>
          <w:rFonts w:hint="eastAsia" w:ascii="宋体" w:hAnsi="宋体"/>
          <w:kern w:val="0"/>
          <w:sz w:val="24"/>
          <w:szCs w:val="24"/>
          <w:u w:val="single"/>
        </w:rPr>
        <w:t xml:space="preserve">  </w:t>
      </w:r>
      <w:r>
        <w:rPr>
          <w:rFonts w:hint="eastAsia" w:ascii="宋体" w:hAnsi="宋体"/>
          <w:b/>
          <w:sz w:val="24"/>
          <w:szCs w:val="24"/>
          <w:u w:val="single"/>
        </w:rPr>
        <w:t>（招标项目编号）</w:t>
      </w:r>
      <w:r>
        <w:rPr>
          <w:rFonts w:hint="eastAsia" w:ascii="宋体" w:hAnsi="宋体"/>
          <w:b/>
          <w:iCs/>
          <w:sz w:val="24"/>
          <w:szCs w:val="24"/>
        </w:rPr>
        <w:t>。</w:t>
      </w:r>
      <w:r>
        <w:rPr>
          <w:rFonts w:hint="eastAsia" w:ascii="宋体" w:hAnsi="宋体"/>
          <w:iCs/>
          <w:sz w:val="24"/>
          <w:szCs w:val="24"/>
          <w:lang w:val="zh-CN"/>
        </w:rPr>
        <w:t>开具保证保险的费用由投标人自理。</w:t>
      </w:r>
    </w:p>
    <w:p w14:paraId="03532C56">
      <w:pPr>
        <w:pStyle w:val="23"/>
        <w:snapToGrid w:val="0"/>
        <w:spacing w:line="340" w:lineRule="exact"/>
        <w:ind w:firstLine="480" w:firstLineChars="200"/>
        <w:rPr>
          <w:rFonts w:hint="eastAsia" w:ascii="宋体" w:hAnsi="宋体"/>
          <w:sz w:val="24"/>
          <w:szCs w:val="24"/>
        </w:rPr>
      </w:pPr>
      <w:r>
        <w:rPr>
          <w:rFonts w:hint="eastAsia" w:ascii="宋体" w:hAnsi="宋体"/>
          <w:sz w:val="24"/>
          <w:szCs w:val="24"/>
        </w:rPr>
        <w:t>投标保证金证明材料提交形式：</w:t>
      </w:r>
    </w:p>
    <w:p w14:paraId="5D859417">
      <w:pPr>
        <w:pStyle w:val="23"/>
        <w:snapToGrid w:val="0"/>
        <w:spacing w:line="340" w:lineRule="exact"/>
        <w:ind w:firstLine="480" w:firstLineChars="200"/>
        <w:rPr>
          <w:rFonts w:hint="eastAsia" w:ascii="宋体" w:hAnsi="宋体"/>
          <w:bCs/>
          <w:sz w:val="24"/>
          <w:szCs w:val="24"/>
        </w:rPr>
      </w:pPr>
      <w:r>
        <w:rPr>
          <w:rFonts w:hint="eastAsia" w:ascii="宋体" w:hAnsi="宋体"/>
          <w:bCs/>
          <w:sz w:val="24"/>
          <w:szCs w:val="24"/>
        </w:rPr>
        <w:t>①采用现金形式：</w:t>
      </w:r>
      <w:r>
        <w:rPr>
          <w:rFonts w:hint="eastAsia" w:ascii="宋体" w:hAnsi="宋体"/>
          <w:b/>
          <w:sz w:val="24"/>
          <w:szCs w:val="24"/>
          <w:lang w:val="zh-CN"/>
        </w:rPr>
        <w:t>提交电汇或银行转账单的扫描件并加盖投标人单位电子印章，作为</w:t>
      </w:r>
      <w:r>
        <w:rPr>
          <w:rFonts w:hint="eastAsia" w:ascii="宋体" w:hAnsi="宋体"/>
          <w:b/>
          <w:sz w:val="24"/>
          <w:szCs w:val="24"/>
        </w:rPr>
        <w:t>投标</w:t>
      </w:r>
      <w:r>
        <w:rPr>
          <w:rFonts w:hint="eastAsia" w:ascii="宋体" w:hAnsi="宋体"/>
          <w:b/>
          <w:sz w:val="24"/>
          <w:szCs w:val="24"/>
          <w:lang w:val="zh-CN"/>
        </w:rPr>
        <w:t>文件的组成部分。</w:t>
      </w:r>
    </w:p>
    <w:p w14:paraId="7EBB166E">
      <w:pPr>
        <w:pStyle w:val="23"/>
        <w:snapToGrid w:val="0"/>
        <w:spacing w:line="340" w:lineRule="exact"/>
        <w:ind w:firstLine="480" w:firstLineChars="200"/>
        <w:rPr>
          <w:rFonts w:hint="eastAsia" w:ascii="宋体" w:hAnsi="宋体"/>
          <w:bCs/>
          <w:sz w:val="24"/>
          <w:szCs w:val="24"/>
        </w:rPr>
      </w:pPr>
      <w:r>
        <w:rPr>
          <w:rFonts w:hint="eastAsia" w:ascii="宋体" w:hAnsi="宋体"/>
          <w:bCs/>
          <w:sz w:val="24"/>
          <w:szCs w:val="24"/>
        </w:rPr>
        <w:t>②采用</w:t>
      </w:r>
      <w:r>
        <w:rPr>
          <w:rFonts w:hint="eastAsia" w:ascii="宋体" w:hAnsi="宋体"/>
          <w:bCs/>
          <w:sz w:val="24"/>
          <w:szCs w:val="24"/>
          <w:lang w:val="zh-CN"/>
        </w:rPr>
        <w:t>投标保函（</w:t>
      </w:r>
      <w:r>
        <w:rPr>
          <w:rFonts w:hint="eastAsia" w:ascii="宋体" w:hAnsi="宋体"/>
          <w:bCs/>
          <w:sz w:val="24"/>
          <w:szCs w:val="24"/>
        </w:rPr>
        <w:t>银行保函或担保保函或保证保险</w:t>
      </w:r>
      <w:r>
        <w:rPr>
          <w:rFonts w:hint="eastAsia" w:ascii="宋体" w:hAnsi="宋体"/>
          <w:bCs/>
          <w:sz w:val="24"/>
          <w:szCs w:val="24"/>
          <w:lang w:val="zh-CN"/>
        </w:rPr>
        <w:t>）形式</w:t>
      </w:r>
      <w:r>
        <w:rPr>
          <w:rFonts w:hint="eastAsia" w:ascii="宋体" w:hAnsi="宋体"/>
          <w:b/>
          <w:sz w:val="24"/>
          <w:szCs w:val="24"/>
          <w:lang w:val="zh-CN"/>
        </w:rPr>
        <w:t>：提交电汇或银行转账单的扫描件并加盖投标人单位电子印章，以及提交保函开立人出具的加盖保函开立人公章（或保函开立人依法刻制并授权用于投标保函业务的专用章）的到账证明扫描件并加盖投标人单位电子印章，作为投标文件的组成部分。 投标保函</w:t>
      </w:r>
      <w:r>
        <w:rPr>
          <w:rFonts w:hint="eastAsia" w:ascii="宋体" w:hAnsi="宋体"/>
          <w:kern w:val="0"/>
          <w:sz w:val="24"/>
          <w:szCs w:val="24"/>
          <w:u w:val="single"/>
          <w:lang w:val="zh-CN"/>
        </w:rPr>
        <w:t>采用</w:t>
      </w:r>
      <w:r>
        <w:rPr>
          <w:rFonts w:hint="eastAsia" w:ascii="宋体" w:hAnsi="宋体"/>
          <w:b/>
          <w:sz w:val="24"/>
          <w:szCs w:val="24"/>
          <w:lang w:val="zh-CN"/>
        </w:rPr>
        <w:t>电子保函形式，</w:t>
      </w:r>
      <w:r>
        <w:rPr>
          <w:rFonts w:hint="eastAsia" w:ascii="宋体" w:hAnsi="宋体"/>
          <w:b/>
          <w:sz w:val="24"/>
          <w:szCs w:val="24"/>
        </w:rPr>
        <w:t>且</w:t>
      </w:r>
      <w:r>
        <w:rPr>
          <w:rFonts w:hint="eastAsia" w:ascii="宋体" w:hAnsi="宋体"/>
          <w:b/>
          <w:sz w:val="24"/>
          <w:szCs w:val="24"/>
          <w:lang w:val="zh-CN"/>
        </w:rPr>
        <w:t>应满足</w:t>
      </w:r>
      <w:r>
        <w:rPr>
          <w:rFonts w:hint="eastAsia" w:ascii="宋体" w:hAnsi="宋体"/>
          <w:kern w:val="0"/>
          <w:sz w:val="24"/>
          <w:szCs w:val="24"/>
          <w:u w:val="single"/>
          <w:lang w:val="zh-CN"/>
        </w:rPr>
        <w:t>闽建筑[2020]8号文件规定</w:t>
      </w:r>
      <w:r>
        <w:rPr>
          <w:rFonts w:hint="eastAsia" w:ascii="宋体" w:hAnsi="宋体"/>
          <w:b/>
          <w:sz w:val="24"/>
          <w:szCs w:val="24"/>
          <w:lang w:val="zh-CN"/>
        </w:rPr>
        <w:t>。</w:t>
      </w:r>
    </w:p>
    <w:p w14:paraId="70622D8A">
      <w:pPr>
        <w:pStyle w:val="23"/>
        <w:snapToGrid w:val="0"/>
        <w:spacing w:line="340" w:lineRule="exact"/>
        <w:ind w:firstLine="480" w:firstLineChars="200"/>
        <w:rPr>
          <w:rFonts w:hint="eastAsia" w:ascii="宋体" w:hAnsi="宋体"/>
          <w:sz w:val="24"/>
          <w:szCs w:val="24"/>
        </w:rPr>
      </w:pPr>
      <w:r>
        <w:rPr>
          <w:rFonts w:hint="eastAsia" w:ascii="宋体" w:hAnsi="宋体"/>
          <w:sz w:val="24"/>
          <w:szCs w:val="24"/>
        </w:rPr>
        <w:t>③采用年度投标保证金形式</w:t>
      </w:r>
      <w:r>
        <w:rPr>
          <w:rFonts w:hint="eastAsia" w:ascii="宋体" w:hAnsi="宋体"/>
          <w:b/>
          <w:sz w:val="24"/>
          <w:szCs w:val="24"/>
        </w:rPr>
        <w:t>：</w:t>
      </w:r>
      <w:r>
        <w:rPr>
          <w:rFonts w:hint="eastAsia" w:ascii="宋体" w:hAnsi="宋体"/>
          <w:b/>
          <w:sz w:val="24"/>
          <w:szCs w:val="24"/>
          <w:lang w:val="zh-CN"/>
        </w:rPr>
        <w:t>提交年度投标保证金凭证的扫描件并加盖投标人单位电子印章，作为投标文件的组成部分。</w:t>
      </w:r>
    </w:p>
    <w:p w14:paraId="7C34CBDE">
      <w:pPr>
        <w:pStyle w:val="23"/>
        <w:snapToGrid w:val="0"/>
        <w:spacing w:line="340" w:lineRule="exact"/>
        <w:ind w:firstLine="480" w:firstLineChars="200"/>
        <w:rPr>
          <w:rFonts w:hint="eastAsia" w:ascii="宋体" w:hAnsi="宋体"/>
          <w:sz w:val="24"/>
          <w:szCs w:val="24"/>
        </w:rPr>
      </w:pPr>
      <w:r>
        <w:rPr>
          <w:rFonts w:hint="eastAsia" w:ascii="宋体" w:hAnsi="宋体"/>
          <w:sz w:val="24"/>
          <w:szCs w:val="24"/>
        </w:rPr>
        <w:t>④采用</w:t>
      </w:r>
      <w:r>
        <w:rPr>
          <w:rFonts w:hint="eastAsia" w:ascii="宋体" w:hAnsi="宋体"/>
          <w:sz w:val="24"/>
          <w:szCs w:val="24"/>
          <w:lang w:val="zh-CN"/>
        </w:rPr>
        <w:t>免缴投标保证金形式：</w:t>
      </w:r>
      <w:r>
        <w:rPr>
          <w:rFonts w:hint="eastAsia" w:ascii="宋体" w:hAnsi="宋体"/>
          <w:b/>
          <w:sz w:val="24"/>
          <w:szCs w:val="24"/>
          <w:lang w:val="zh-CN"/>
        </w:rPr>
        <w:t>符合免缴投标保证金</w:t>
      </w:r>
      <w:r>
        <w:rPr>
          <w:rFonts w:hint="eastAsia" w:ascii="宋体" w:hAnsi="宋体"/>
          <w:b/>
          <w:sz w:val="24"/>
          <w:szCs w:val="24"/>
        </w:rPr>
        <w:t>情形之一</w:t>
      </w:r>
      <w:r>
        <w:rPr>
          <w:rFonts w:hint="eastAsia" w:ascii="宋体" w:hAnsi="宋体"/>
          <w:b/>
          <w:sz w:val="24"/>
          <w:szCs w:val="24"/>
          <w:lang w:val="zh-CN"/>
        </w:rPr>
        <w:t>的投标人，在本招标项目采用免缴投标保证金形式的，提交加盖投标人单位电子印章的《免缴投标保证金承诺函》，作为投标文件的组成部分。</w:t>
      </w:r>
    </w:p>
    <w:p w14:paraId="7EC104EC">
      <w:pPr>
        <w:pStyle w:val="23"/>
        <w:snapToGrid w:val="0"/>
        <w:spacing w:line="340" w:lineRule="exact"/>
        <w:ind w:firstLine="480" w:firstLineChars="200"/>
        <w:rPr>
          <w:rFonts w:hint="eastAsia" w:ascii="宋体" w:hAnsi="宋体"/>
          <w:sz w:val="24"/>
          <w:szCs w:val="24"/>
        </w:rPr>
      </w:pPr>
      <w:r>
        <w:rPr>
          <w:rFonts w:hint="eastAsia" w:ascii="宋体" w:hAnsi="宋体"/>
          <w:sz w:val="24"/>
          <w:szCs w:val="24"/>
        </w:rPr>
        <w:t>⑤</w:t>
      </w:r>
      <w:r>
        <w:rPr>
          <w:rFonts w:hint="eastAsia" w:ascii="宋体" w:hAnsi="宋体"/>
          <w:kern w:val="0"/>
          <w:sz w:val="24"/>
          <w:szCs w:val="24"/>
          <w:u w:val="single"/>
          <w:lang w:val="zh-CN"/>
        </w:rPr>
        <w:t>根据《福建省住房和城乡建设厅关于进一步规范我省房建和市政工程招标项目投标保证金管理的通知》（闽建筑[2020]8号）文件规定，本工程取消使用纸质保函</w:t>
      </w:r>
      <w:r>
        <w:rPr>
          <w:rFonts w:hint="eastAsia" w:ascii="宋体" w:hAnsi="宋体"/>
          <w:b/>
          <w:sz w:val="24"/>
          <w:szCs w:val="24"/>
        </w:rPr>
        <w:t>。</w:t>
      </w:r>
    </w:p>
    <w:p w14:paraId="18547C47">
      <w:pPr>
        <w:spacing w:line="440" w:lineRule="exact"/>
        <w:ind w:firstLine="480" w:firstLineChars="200"/>
        <w:jc w:val="left"/>
        <w:rPr>
          <w:rFonts w:hint="eastAsia" w:ascii="宋体" w:hAnsi="宋体"/>
          <w:bCs/>
          <w:sz w:val="24"/>
        </w:rPr>
      </w:pPr>
      <w:r>
        <w:rPr>
          <w:rFonts w:hint="eastAsia" w:ascii="宋体" w:hAnsi="宋体"/>
          <w:bCs/>
          <w:sz w:val="24"/>
        </w:rPr>
        <w:t>20.3 发生下列情况之一，投标保证金将被没收：</w:t>
      </w:r>
    </w:p>
    <w:p w14:paraId="2417B3C9">
      <w:pPr>
        <w:spacing w:line="440" w:lineRule="exact"/>
        <w:ind w:firstLine="480" w:firstLineChars="200"/>
        <w:jc w:val="left"/>
        <w:rPr>
          <w:rFonts w:hint="eastAsia" w:ascii="宋体" w:hAnsi="宋体"/>
          <w:bCs/>
          <w:sz w:val="24"/>
        </w:rPr>
      </w:pPr>
      <w:r>
        <w:rPr>
          <w:rFonts w:hint="eastAsia" w:ascii="宋体" w:hAnsi="宋体"/>
          <w:bCs/>
          <w:sz w:val="24"/>
        </w:rPr>
        <w:t>(1) 开标后在投标有效期间，投标人撤回其投标书的；</w:t>
      </w:r>
    </w:p>
    <w:p w14:paraId="557025C4">
      <w:pPr>
        <w:spacing w:line="440" w:lineRule="exact"/>
        <w:ind w:firstLine="480" w:firstLineChars="200"/>
        <w:jc w:val="left"/>
        <w:rPr>
          <w:rFonts w:hint="eastAsia" w:ascii="宋体" w:hAnsi="宋体"/>
          <w:bCs/>
          <w:sz w:val="24"/>
        </w:rPr>
      </w:pPr>
      <w:r>
        <w:rPr>
          <w:rFonts w:hint="eastAsia" w:ascii="宋体" w:hAnsi="宋体"/>
          <w:bCs/>
          <w:sz w:val="24"/>
        </w:rPr>
        <w:t>(2) 中标人放弃中标的或不按规定签约的；</w:t>
      </w:r>
    </w:p>
    <w:p w14:paraId="1BBA59B3">
      <w:pPr>
        <w:spacing w:line="440" w:lineRule="exact"/>
        <w:ind w:firstLine="480" w:firstLineChars="200"/>
        <w:jc w:val="left"/>
        <w:rPr>
          <w:rFonts w:hint="eastAsia" w:ascii="宋体" w:hAnsi="宋体"/>
          <w:bCs/>
          <w:sz w:val="24"/>
        </w:rPr>
      </w:pPr>
      <w:r>
        <w:rPr>
          <w:rFonts w:hint="eastAsia" w:ascii="宋体" w:hAnsi="宋体"/>
          <w:bCs/>
          <w:sz w:val="24"/>
        </w:rPr>
        <w:t>(3) 中标人在规定的期限内未提交履约保证金的；</w:t>
      </w:r>
    </w:p>
    <w:p w14:paraId="5E19E98C">
      <w:pPr>
        <w:spacing w:line="440" w:lineRule="exact"/>
        <w:ind w:firstLine="480" w:firstLineChars="200"/>
        <w:jc w:val="left"/>
        <w:rPr>
          <w:rFonts w:hint="eastAsia" w:ascii="宋体" w:hAnsi="宋体"/>
          <w:bCs/>
          <w:sz w:val="24"/>
        </w:rPr>
      </w:pPr>
      <w:r>
        <w:rPr>
          <w:rFonts w:hint="eastAsia" w:ascii="宋体" w:hAnsi="宋体"/>
          <w:bCs/>
          <w:sz w:val="24"/>
        </w:rPr>
        <w:t>(4) 因中标人在本招标项目投标中存在违法行为导致中标被依法确认无效的；</w:t>
      </w:r>
    </w:p>
    <w:p w14:paraId="3C03781F">
      <w:pPr>
        <w:spacing w:line="440" w:lineRule="exact"/>
        <w:ind w:firstLine="480" w:firstLineChars="200"/>
        <w:jc w:val="left"/>
        <w:rPr>
          <w:rFonts w:hint="eastAsia" w:ascii="宋体" w:hAnsi="宋体"/>
          <w:bCs/>
          <w:sz w:val="24"/>
        </w:rPr>
      </w:pPr>
      <w:r>
        <w:rPr>
          <w:rFonts w:hint="eastAsia" w:ascii="宋体" w:hAnsi="宋体"/>
          <w:bCs/>
          <w:sz w:val="24"/>
        </w:rPr>
        <w:t>(5) 中标人放弃中标的；</w:t>
      </w:r>
    </w:p>
    <w:p w14:paraId="10495BA1">
      <w:pPr>
        <w:spacing w:line="440" w:lineRule="exact"/>
        <w:ind w:firstLine="480" w:firstLineChars="200"/>
        <w:jc w:val="left"/>
        <w:rPr>
          <w:rFonts w:hint="eastAsia" w:ascii="宋体" w:hAnsi="宋体"/>
          <w:bCs/>
          <w:sz w:val="24"/>
        </w:rPr>
      </w:pPr>
      <w:r>
        <w:rPr>
          <w:rFonts w:hint="eastAsia" w:ascii="宋体" w:hAnsi="宋体"/>
          <w:bCs/>
          <w:sz w:val="24"/>
        </w:rPr>
        <w:t>(6) 法律、法规规定的其他情形。</w:t>
      </w:r>
    </w:p>
    <w:p w14:paraId="1298DA04">
      <w:pPr>
        <w:tabs>
          <w:tab w:val="left" w:pos="540"/>
          <w:tab w:val="left" w:pos="1080"/>
          <w:tab w:val="left" w:pos="1800"/>
        </w:tabs>
        <w:spacing w:line="440" w:lineRule="exact"/>
        <w:ind w:firstLine="482" w:firstLineChars="200"/>
        <w:jc w:val="left"/>
        <w:rPr>
          <w:rFonts w:hint="eastAsia" w:ascii="宋体" w:hAnsi="宋体"/>
          <w:b/>
          <w:sz w:val="24"/>
        </w:rPr>
      </w:pPr>
      <w:r>
        <w:rPr>
          <w:rFonts w:hint="eastAsia" w:ascii="宋体" w:hAnsi="宋体"/>
          <w:b/>
          <w:sz w:val="24"/>
        </w:rPr>
        <w:t>21.投标文件的编制</w:t>
      </w:r>
    </w:p>
    <w:p w14:paraId="1CC76FF4">
      <w:pPr>
        <w:tabs>
          <w:tab w:val="left" w:pos="540"/>
          <w:tab w:val="left" w:pos="1080"/>
          <w:tab w:val="left" w:pos="1800"/>
        </w:tabs>
        <w:spacing w:line="440" w:lineRule="exact"/>
        <w:ind w:firstLine="480"/>
        <w:jc w:val="left"/>
        <w:rPr>
          <w:rFonts w:hint="eastAsia" w:ascii="宋体" w:hAnsi="宋体"/>
          <w:kern w:val="1"/>
          <w:sz w:val="24"/>
        </w:rPr>
      </w:pPr>
      <w:r>
        <w:rPr>
          <w:rFonts w:hint="eastAsia" w:ascii="宋体" w:hAnsi="宋体"/>
          <w:kern w:val="1"/>
          <w:sz w:val="24"/>
        </w:rPr>
        <w:t>21.1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64850843">
      <w:pPr>
        <w:tabs>
          <w:tab w:val="left" w:pos="540"/>
          <w:tab w:val="left" w:pos="1080"/>
          <w:tab w:val="left" w:pos="1800"/>
        </w:tabs>
        <w:spacing w:line="440" w:lineRule="exact"/>
        <w:ind w:firstLine="482"/>
        <w:jc w:val="left"/>
        <w:rPr>
          <w:rFonts w:hint="eastAsia" w:ascii="宋体" w:hAnsi="宋体"/>
          <w:b/>
          <w:kern w:val="1"/>
          <w:sz w:val="24"/>
        </w:rPr>
      </w:pPr>
      <w:r>
        <w:rPr>
          <w:rFonts w:hint="eastAsia" w:ascii="宋体" w:hAnsi="宋体"/>
          <w:b/>
          <w:kern w:val="1"/>
          <w:sz w:val="24"/>
        </w:rPr>
        <w:t>21.2投标文件应当对招标文件有关工程发包价、招标工期、质量要求、投标有效期、项目管理人员等实质性内容作出响应。</w:t>
      </w:r>
    </w:p>
    <w:p w14:paraId="74D37784">
      <w:pPr>
        <w:spacing w:line="440" w:lineRule="exact"/>
        <w:ind w:firstLine="480"/>
        <w:jc w:val="left"/>
        <w:rPr>
          <w:rFonts w:hint="eastAsia" w:ascii="宋体" w:hAnsi="宋体"/>
          <w:kern w:val="1"/>
          <w:sz w:val="24"/>
        </w:rPr>
      </w:pPr>
      <w:r>
        <w:rPr>
          <w:rFonts w:hint="eastAsia" w:ascii="宋体" w:hAnsi="宋体"/>
          <w:kern w:val="1"/>
          <w:sz w:val="24"/>
        </w:rPr>
        <w:t>21.3</w:t>
      </w:r>
      <w:r>
        <w:rPr>
          <w:rStyle w:val="71"/>
          <w:rFonts w:ascii="宋体" w:hAnsi="宋体"/>
          <w:sz w:val="24"/>
        </w:rPr>
        <w:t>招标人不接受书面投标文件，投标人必须提交网上投标文件。投标人是否投标以网上投标文件为准。资格审查小组只对网上投标文件进行评审。</w:t>
      </w:r>
      <w:r>
        <w:rPr>
          <w:rStyle w:val="71"/>
          <w:rFonts w:ascii="宋体" w:hAnsi="宋体"/>
          <w:b/>
          <w:bCs/>
          <w:sz w:val="24"/>
        </w:rPr>
        <w:t xml:space="preserve"> 本招标项目采用远程解密投标文件</w:t>
      </w:r>
      <w:r>
        <w:rPr>
          <w:rFonts w:hint="eastAsia" w:ascii="宋体" w:hAnsi="宋体"/>
          <w:kern w:val="1"/>
          <w:sz w:val="24"/>
        </w:rPr>
        <w:t>。</w:t>
      </w:r>
    </w:p>
    <w:p w14:paraId="1F11812E">
      <w:pPr>
        <w:spacing w:line="440" w:lineRule="exact"/>
        <w:ind w:firstLine="482" w:firstLineChars="200"/>
        <w:jc w:val="left"/>
        <w:rPr>
          <w:rFonts w:hint="eastAsia" w:ascii="宋体" w:hAnsi="宋体"/>
          <w:b/>
          <w:sz w:val="24"/>
        </w:rPr>
      </w:pPr>
      <w:r>
        <w:rPr>
          <w:rFonts w:hint="eastAsia" w:ascii="宋体" w:hAnsi="宋体"/>
          <w:b/>
          <w:sz w:val="24"/>
        </w:rPr>
        <w:t>22.投标文件的密封及标记</w:t>
      </w:r>
    </w:p>
    <w:p w14:paraId="04FFA96D">
      <w:pPr>
        <w:snapToGrid w:val="0"/>
        <w:spacing w:line="360" w:lineRule="exact"/>
        <w:ind w:firstLine="480" w:firstLineChars="200"/>
        <w:jc w:val="left"/>
        <w:rPr>
          <w:rStyle w:val="71"/>
          <w:rFonts w:hint="eastAsia" w:ascii="宋体" w:hAnsi="宋体"/>
          <w:bCs/>
          <w:sz w:val="24"/>
        </w:rPr>
      </w:pPr>
      <w:r>
        <w:rPr>
          <w:rStyle w:val="71"/>
          <w:rFonts w:hint="eastAsia" w:ascii="宋体" w:hAnsi="宋体"/>
          <w:bCs/>
          <w:sz w:val="24"/>
        </w:rPr>
        <w:t>22</w:t>
      </w:r>
      <w:r>
        <w:rPr>
          <w:rStyle w:val="71"/>
          <w:rFonts w:ascii="宋体" w:hAnsi="宋体"/>
          <w:bCs/>
          <w:sz w:val="24"/>
        </w:rPr>
        <w:t>.1投标文件编制和加密要求：投标单位的投标文件必须使用网上申报系统中最新版来制作，投标单位只能用单位CA数字证书对投标文件加密生成标书上传到系统中，否则开标时无法解密，导致投标失败，由此造成的后果投标人自行承担。</w:t>
      </w:r>
    </w:p>
    <w:p w14:paraId="23DD1407">
      <w:pPr>
        <w:snapToGrid w:val="0"/>
        <w:spacing w:line="360" w:lineRule="exact"/>
        <w:ind w:firstLine="480" w:firstLineChars="200"/>
        <w:jc w:val="left"/>
        <w:rPr>
          <w:rStyle w:val="71"/>
          <w:rFonts w:hint="eastAsia" w:ascii="宋体" w:hAnsi="宋体"/>
          <w:bCs/>
          <w:sz w:val="24"/>
        </w:rPr>
      </w:pPr>
      <w:r>
        <w:rPr>
          <w:rStyle w:val="71"/>
          <w:rFonts w:hint="eastAsia" w:ascii="宋体" w:hAnsi="宋体"/>
          <w:bCs/>
          <w:sz w:val="24"/>
        </w:rPr>
        <w:t>22</w:t>
      </w:r>
      <w:r>
        <w:rPr>
          <w:rStyle w:val="71"/>
          <w:rFonts w:ascii="宋体" w:hAnsi="宋体"/>
          <w:bCs/>
          <w:sz w:val="24"/>
        </w:rPr>
        <w:t>.2本招标项目投标文件解密采用远程在线解密，即投标人必须在投标文件提交截止时间前将加密的电子版投标文件通过网络上传至</w:t>
      </w:r>
      <w:r>
        <w:rPr>
          <w:rStyle w:val="71"/>
          <w:rFonts w:hint="eastAsia" w:ascii="宋体" w:hAnsi="宋体"/>
          <w:sz w:val="24"/>
          <w:lang w:eastAsia="zh-CN"/>
        </w:rPr>
        <w:t>新点电子交易平台-福建专区</w:t>
      </w:r>
      <w:r>
        <w:rPr>
          <w:rStyle w:val="71"/>
          <w:rFonts w:ascii="宋体" w:hAnsi="宋体"/>
          <w:bCs/>
          <w:sz w:val="24"/>
        </w:rPr>
        <w:t>，在开始解密时间（开标时间）起</w:t>
      </w:r>
      <w:r>
        <w:rPr>
          <w:rStyle w:val="71"/>
          <w:rFonts w:hint="eastAsia" w:ascii="宋体" w:hAnsi="宋体"/>
          <w:bCs/>
          <w:sz w:val="24"/>
        </w:rPr>
        <w:t>45</w:t>
      </w:r>
      <w:r>
        <w:rPr>
          <w:rStyle w:val="71"/>
          <w:rFonts w:ascii="宋体" w:hAnsi="宋体"/>
          <w:bCs/>
          <w:sz w:val="24"/>
        </w:rPr>
        <w:t>分钟内使用生成投标文件的单位CA数字证书在线进行电子投标文件的解密操作。投标文件提交截止时间后，网上投标系统无法接受投标文件，未在规定时间内解密，视为没有上传电子版投标文件，投标无效。</w:t>
      </w:r>
    </w:p>
    <w:p w14:paraId="4EDAFDAA">
      <w:pPr>
        <w:snapToGrid w:val="0"/>
        <w:spacing w:line="360" w:lineRule="exact"/>
        <w:ind w:firstLine="480" w:firstLineChars="200"/>
        <w:jc w:val="left"/>
        <w:rPr>
          <w:rStyle w:val="71"/>
          <w:rFonts w:hint="eastAsia" w:ascii="宋体" w:hAnsi="宋体"/>
          <w:bCs/>
          <w:sz w:val="24"/>
        </w:rPr>
      </w:pPr>
      <w:r>
        <w:rPr>
          <w:rStyle w:val="71"/>
          <w:rFonts w:hint="eastAsia" w:ascii="宋体" w:hAnsi="宋体"/>
          <w:bCs/>
          <w:sz w:val="24"/>
        </w:rPr>
        <w:t>22</w:t>
      </w:r>
      <w:r>
        <w:rPr>
          <w:rStyle w:val="71"/>
          <w:rFonts w:ascii="宋体" w:hAnsi="宋体"/>
          <w:bCs/>
          <w:sz w:val="24"/>
        </w:rPr>
        <w:t>.3投标文件解密失败的补救方案</w:t>
      </w:r>
    </w:p>
    <w:p w14:paraId="70D51CE8">
      <w:pPr>
        <w:snapToGrid w:val="0"/>
        <w:spacing w:line="360" w:lineRule="exact"/>
        <w:ind w:firstLine="480" w:firstLineChars="200"/>
        <w:jc w:val="left"/>
        <w:rPr>
          <w:rStyle w:val="71"/>
          <w:rFonts w:ascii="宋体" w:hAnsi="宋体"/>
          <w:bCs/>
          <w:sz w:val="24"/>
        </w:rPr>
      </w:pPr>
      <w:r>
        <w:rPr>
          <w:rStyle w:val="71"/>
          <w:rFonts w:ascii="宋体" w:hAnsi="宋体"/>
          <w:bCs/>
          <w:sz w:val="24"/>
        </w:rPr>
        <w:t>（1）若为投标人设备故障或网络故障，则投标人自行更换设备或解决网络问题，投标文件解密失败经补救，仍不成功的，视为放弃投标,开标继续进行；</w:t>
      </w:r>
    </w:p>
    <w:p w14:paraId="07CDE35B">
      <w:pPr>
        <w:snapToGrid w:val="0"/>
        <w:spacing w:line="360" w:lineRule="exact"/>
        <w:ind w:firstLine="480" w:firstLineChars="200"/>
        <w:jc w:val="left"/>
        <w:rPr>
          <w:rStyle w:val="71"/>
          <w:rFonts w:ascii="宋体" w:hAnsi="宋体"/>
          <w:bCs/>
          <w:sz w:val="24"/>
        </w:rPr>
      </w:pPr>
      <w:r>
        <w:rPr>
          <w:rStyle w:val="71"/>
          <w:rFonts w:ascii="宋体" w:hAnsi="宋体"/>
          <w:bCs/>
          <w:sz w:val="24"/>
        </w:rPr>
        <w:t>（2） 若为招标人原因导致无法正常解密，则由招标人及时提出解决方案；</w:t>
      </w:r>
    </w:p>
    <w:p w14:paraId="1046FF5F">
      <w:pPr>
        <w:snapToGrid w:val="0"/>
        <w:spacing w:line="360" w:lineRule="exact"/>
        <w:ind w:firstLine="480" w:firstLineChars="200"/>
        <w:jc w:val="left"/>
        <w:rPr>
          <w:rStyle w:val="71"/>
          <w:rFonts w:ascii="宋体" w:hAnsi="宋体"/>
          <w:bCs/>
          <w:sz w:val="24"/>
        </w:rPr>
      </w:pPr>
      <w:r>
        <w:rPr>
          <w:rStyle w:val="71"/>
          <w:rFonts w:ascii="宋体" w:hAnsi="宋体"/>
          <w:bCs/>
          <w:sz w:val="24"/>
        </w:rPr>
        <w:t>（3） 若为交易平台原因导致无法正常解密，则由交易平台及时提出解决方案。</w:t>
      </w:r>
    </w:p>
    <w:p w14:paraId="31DB17F0">
      <w:pPr>
        <w:snapToGrid w:val="0"/>
        <w:spacing w:line="360" w:lineRule="exact"/>
        <w:ind w:firstLine="480" w:firstLineChars="200"/>
        <w:jc w:val="left"/>
        <w:rPr>
          <w:rStyle w:val="71"/>
          <w:rFonts w:ascii="宋体" w:hAnsi="宋体"/>
          <w:bCs/>
          <w:sz w:val="24"/>
        </w:rPr>
      </w:pPr>
      <w:r>
        <w:rPr>
          <w:rStyle w:val="71"/>
          <w:rFonts w:ascii="宋体" w:hAnsi="宋体"/>
          <w:bCs/>
          <w:sz w:val="24"/>
        </w:rPr>
        <w:t>（4） 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w:t>
      </w:r>
      <w:r>
        <w:rPr>
          <w:rStyle w:val="71"/>
          <w:rFonts w:hint="eastAsia" w:ascii="宋体" w:hAnsi="宋体"/>
          <w:bCs/>
          <w:sz w:val="24"/>
        </w:rPr>
        <w:t>资格审查小组</w:t>
      </w:r>
      <w:r>
        <w:rPr>
          <w:rStyle w:val="71"/>
          <w:rFonts w:ascii="宋体" w:hAnsi="宋体"/>
          <w:bCs/>
          <w:sz w:val="24"/>
        </w:rPr>
        <w:t>进行评标。</w:t>
      </w:r>
    </w:p>
    <w:p w14:paraId="6B053D0F">
      <w:pPr>
        <w:spacing w:line="440" w:lineRule="exact"/>
        <w:ind w:firstLine="482" w:firstLineChars="200"/>
        <w:jc w:val="left"/>
        <w:rPr>
          <w:rFonts w:hint="eastAsia" w:ascii="宋体" w:hAnsi="宋体"/>
          <w:b/>
          <w:sz w:val="24"/>
        </w:rPr>
      </w:pPr>
      <w:r>
        <w:rPr>
          <w:rFonts w:hint="eastAsia" w:ascii="宋体" w:hAnsi="宋体"/>
          <w:b/>
          <w:sz w:val="24"/>
        </w:rPr>
        <w:t>23.投标文件的递交地点、递交截止时间</w:t>
      </w:r>
    </w:p>
    <w:p w14:paraId="143E5DE4">
      <w:pPr>
        <w:pStyle w:val="2"/>
        <w:keepNext w:val="0"/>
        <w:keepLines w:val="0"/>
        <w:widowControl/>
        <w:suppressLineNumbers w:val="0"/>
        <w:spacing w:before="496" w:beforeAutospacing="0" w:after="0" w:afterAutospacing="0" w:line="23" w:lineRule="atLeast"/>
        <w:ind w:left="0" w:right="0" w:firstLine="482"/>
        <w:jc w:val="left"/>
        <w:rPr>
          <w:rStyle w:val="71"/>
          <w:rFonts w:ascii="宋体" w:hAnsi="宋体"/>
          <w:sz w:val="24"/>
        </w:rPr>
      </w:pPr>
      <w:r>
        <w:rPr>
          <w:rStyle w:val="71"/>
          <w:rFonts w:ascii="宋体" w:hAnsi="宋体"/>
          <w:sz w:val="24"/>
        </w:rPr>
        <w:t>2</w:t>
      </w:r>
      <w:r>
        <w:rPr>
          <w:rStyle w:val="71"/>
          <w:rFonts w:hint="eastAsia" w:ascii="宋体" w:hAnsi="宋体"/>
          <w:sz w:val="24"/>
        </w:rPr>
        <w:t>3</w:t>
      </w:r>
      <w:r>
        <w:rPr>
          <w:rStyle w:val="71"/>
          <w:rFonts w:ascii="宋体" w:hAnsi="宋体"/>
          <w:sz w:val="24"/>
        </w:rPr>
        <w:t>.1网上投标文件提交截止时间为：北京时间</w:t>
      </w:r>
      <w:r>
        <w:rPr>
          <w:rStyle w:val="71"/>
          <w:rFonts w:ascii="宋体" w:hAnsi="宋体"/>
          <w:spacing w:val="-6"/>
          <w:sz w:val="24"/>
          <w:u w:val="single"/>
        </w:rPr>
        <w:t>202</w:t>
      </w:r>
      <w:r>
        <w:rPr>
          <w:rStyle w:val="71"/>
          <w:rFonts w:hint="eastAsia" w:ascii="宋体" w:hAnsi="宋体"/>
          <w:spacing w:val="-6"/>
          <w:sz w:val="24"/>
          <w:u w:val="single"/>
          <w:lang w:val="en-US" w:eastAsia="zh-CN"/>
        </w:rPr>
        <w:t>6</w:t>
      </w:r>
      <w:r>
        <w:rPr>
          <w:rStyle w:val="71"/>
          <w:rFonts w:ascii="宋体" w:hAnsi="宋体"/>
          <w:spacing w:val="-6"/>
          <w:sz w:val="24"/>
        </w:rPr>
        <w:t>年</w:t>
      </w:r>
      <w:r>
        <w:rPr>
          <w:rStyle w:val="71"/>
          <w:rFonts w:hint="eastAsia" w:ascii="宋体" w:hAnsi="宋体"/>
          <w:spacing w:val="-6"/>
          <w:sz w:val="24"/>
          <w:u w:val="single"/>
          <w:lang w:val="en-US" w:eastAsia="zh-CN"/>
        </w:rPr>
        <w:t xml:space="preserve"> 1 </w:t>
      </w:r>
      <w:r>
        <w:rPr>
          <w:rStyle w:val="71"/>
          <w:rFonts w:ascii="宋体" w:hAnsi="宋体"/>
          <w:sz w:val="24"/>
        </w:rPr>
        <w:t>月</w:t>
      </w:r>
      <w:r>
        <w:rPr>
          <w:rStyle w:val="71"/>
          <w:rFonts w:hint="eastAsia" w:ascii="宋体" w:hAnsi="宋体"/>
          <w:sz w:val="24"/>
          <w:u w:val="single"/>
        </w:rPr>
        <w:t xml:space="preserve"> </w:t>
      </w:r>
      <w:r>
        <w:rPr>
          <w:rStyle w:val="71"/>
          <w:rFonts w:hint="eastAsia" w:ascii="宋体" w:hAnsi="宋体"/>
          <w:sz w:val="24"/>
          <w:u w:val="single"/>
          <w:lang w:val="en-US" w:eastAsia="zh-CN"/>
        </w:rPr>
        <w:t xml:space="preserve">20 </w:t>
      </w:r>
      <w:r>
        <w:rPr>
          <w:rStyle w:val="71"/>
          <w:rFonts w:ascii="宋体" w:hAnsi="宋体"/>
          <w:sz w:val="24"/>
        </w:rPr>
        <w:t>日</w:t>
      </w:r>
      <w:r>
        <w:rPr>
          <w:rStyle w:val="71"/>
          <w:rFonts w:hint="eastAsia" w:ascii="宋体" w:hAnsi="宋体"/>
          <w:sz w:val="24"/>
          <w:u w:val="single"/>
        </w:rPr>
        <w:t xml:space="preserve"> 09</w:t>
      </w:r>
      <w:r>
        <w:rPr>
          <w:rStyle w:val="71"/>
          <w:rFonts w:ascii="宋体" w:hAnsi="宋体"/>
          <w:sz w:val="24"/>
        </w:rPr>
        <w:t>时</w:t>
      </w:r>
      <w:r>
        <w:rPr>
          <w:rStyle w:val="71"/>
          <w:rFonts w:hint="eastAsia" w:ascii="宋体" w:hAnsi="宋体"/>
          <w:sz w:val="24"/>
          <w:u w:val="single"/>
        </w:rPr>
        <w:t xml:space="preserve"> 00</w:t>
      </w:r>
      <w:r>
        <w:rPr>
          <w:rStyle w:val="71"/>
          <w:rFonts w:ascii="宋体" w:hAnsi="宋体"/>
          <w:sz w:val="24"/>
        </w:rPr>
        <w:t>分。网上投标操作见网上投标操作指南（具体详见：</w:t>
      </w:r>
      <w:r>
        <w:rPr>
          <w:rStyle w:val="71"/>
          <w:rFonts w:hint="eastAsia" w:ascii="宋体" w:hAnsi="宋体"/>
          <w:sz w:val="24"/>
          <w:lang w:eastAsia="zh-CN"/>
        </w:rPr>
        <w:t>新点电子交易平台-福建专区</w:t>
      </w:r>
      <w:r>
        <w:rPr>
          <w:rStyle w:val="71"/>
          <w:rFonts w:ascii="宋体" w:hAnsi="宋体"/>
          <w:sz w:val="24"/>
        </w:rPr>
        <w:t>（</w:t>
      </w:r>
      <w:r>
        <w:rPr>
          <w:rFonts w:hint="eastAsia" w:ascii="宋体" w:hAnsi="宋体" w:eastAsia="宋体" w:cs="宋体"/>
          <w:color w:val="333333"/>
          <w:sz w:val="24"/>
          <w:szCs w:val="24"/>
          <w:u w:val="single"/>
        </w:rPr>
        <w:t>http://fujian.etrading.cn/</w:t>
      </w:r>
      <w:r>
        <w:rPr>
          <w:rStyle w:val="71"/>
          <w:rFonts w:ascii="宋体" w:hAnsi="宋体"/>
          <w:sz w:val="24"/>
        </w:rPr>
        <w:t>）网站首页。若有疑问 ，可向网上投标系统开发公司咨询。技术支持电话：</w:t>
      </w:r>
      <w:r>
        <w:rPr>
          <w:rStyle w:val="71"/>
          <w:rFonts w:hint="eastAsia" w:ascii="宋体" w:hAnsi="宋体"/>
          <w:sz w:val="24"/>
        </w:rPr>
        <w:t>4009280095-5或0594-2221219</w:t>
      </w:r>
      <w:r>
        <w:rPr>
          <w:rStyle w:val="71"/>
          <w:rFonts w:ascii="宋体" w:hAnsi="宋体"/>
          <w:sz w:val="24"/>
        </w:rPr>
        <w:t>。</w:t>
      </w:r>
    </w:p>
    <w:p w14:paraId="7762C4EB">
      <w:pPr>
        <w:pStyle w:val="2"/>
        <w:keepNext w:val="0"/>
        <w:keepLines w:val="0"/>
        <w:widowControl/>
        <w:suppressLineNumbers w:val="0"/>
        <w:spacing w:before="496" w:beforeAutospacing="0" w:after="0" w:afterAutospacing="0" w:line="23" w:lineRule="atLeast"/>
        <w:ind w:left="0" w:right="0" w:firstLine="482"/>
        <w:jc w:val="left"/>
        <w:rPr>
          <w:rStyle w:val="71"/>
          <w:rFonts w:ascii="宋体" w:hAnsi="宋体"/>
          <w:sz w:val="24"/>
        </w:rPr>
      </w:pPr>
      <w:r>
        <w:rPr>
          <w:rStyle w:val="71"/>
          <w:rFonts w:ascii="宋体" w:hAnsi="宋体"/>
          <w:sz w:val="24"/>
        </w:rPr>
        <w:t>2</w:t>
      </w:r>
      <w:r>
        <w:rPr>
          <w:rStyle w:val="71"/>
          <w:rFonts w:hint="eastAsia" w:ascii="宋体" w:hAnsi="宋体"/>
          <w:sz w:val="24"/>
        </w:rPr>
        <w:t>3</w:t>
      </w:r>
      <w:r>
        <w:rPr>
          <w:rStyle w:val="71"/>
          <w:rFonts w:ascii="宋体" w:hAnsi="宋体"/>
          <w:sz w:val="24"/>
        </w:rPr>
        <w:t>.2投标单位的投标文件应使用网上申报系统中最新版本新点投标文件制作软件来制作。</w:t>
      </w:r>
      <w:r>
        <w:rPr>
          <w:rStyle w:val="71"/>
          <w:rFonts w:hint="eastAsia" w:ascii="宋体" w:hAnsi="宋体"/>
          <w:sz w:val="24"/>
        </w:rPr>
        <w:t>如有技术疑问，请咨询平台电话：4009280095-5或0594-2221219。</w:t>
      </w:r>
    </w:p>
    <w:p w14:paraId="04471A3C">
      <w:pPr>
        <w:snapToGrid w:val="0"/>
        <w:spacing w:line="360" w:lineRule="exact"/>
        <w:ind w:firstLine="480" w:firstLineChars="200"/>
        <w:jc w:val="left"/>
        <w:rPr>
          <w:rStyle w:val="71"/>
          <w:rFonts w:ascii="宋体" w:hAnsi="宋体"/>
          <w:sz w:val="24"/>
        </w:rPr>
      </w:pPr>
      <w:r>
        <w:rPr>
          <w:rStyle w:val="71"/>
          <w:rFonts w:ascii="宋体" w:hAnsi="宋体"/>
          <w:sz w:val="24"/>
        </w:rPr>
        <w:t>2</w:t>
      </w:r>
      <w:r>
        <w:rPr>
          <w:rStyle w:val="71"/>
          <w:rFonts w:hint="eastAsia" w:ascii="宋体" w:hAnsi="宋体"/>
          <w:sz w:val="24"/>
        </w:rPr>
        <w:t>3</w:t>
      </w:r>
      <w:r>
        <w:rPr>
          <w:rStyle w:val="71"/>
          <w:rFonts w:ascii="宋体" w:hAnsi="宋体"/>
          <w:sz w:val="24"/>
        </w:rPr>
        <w:t>.3逾期提交的网上投标文件，招标人将拒绝接收。</w:t>
      </w:r>
    </w:p>
    <w:p w14:paraId="3829D538">
      <w:pPr>
        <w:snapToGrid w:val="0"/>
        <w:spacing w:line="360" w:lineRule="exact"/>
        <w:ind w:firstLine="480" w:firstLineChars="200"/>
        <w:jc w:val="left"/>
        <w:rPr>
          <w:rStyle w:val="71"/>
          <w:rFonts w:ascii="宋体" w:hAnsi="宋体"/>
          <w:sz w:val="24"/>
        </w:rPr>
      </w:pPr>
      <w:r>
        <w:rPr>
          <w:rStyle w:val="71"/>
          <w:rFonts w:ascii="宋体" w:hAnsi="宋体"/>
          <w:sz w:val="24"/>
        </w:rPr>
        <w:t>2</w:t>
      </w:r>
      <w:r>
        <w:rPr>
          <w:rStyle w:val="71"/>
          <w:rFonts w:hint="eastAsia" w:ascii="宋体" w:hAnsi="宋体"/>
          <w:sz w:val="24"/>
        </w:rPr>
        <w:t>3</w:t>
      </w:r>
      <w:r>
        <w:rPr>
          <w:rStyle w:val="71"/>
          <w:rFonts w:ascii="宋体" w:hAnsi="宋体"/>
          <w:sz w:val="24"/>
        </w:rPr>
        <w:t>.4不同投标人的电子投标文件存在下列情形之一，视为电子投标文件雷同：</w:t>
      </w:r>
    </w:p>
    <w:p w14:paraId="3F6514AF">
      <w:pPr>
        <w:snapToGrid w:val="0"/>
        <w:spacing w:line="360" w:lineRule="exact"/>
        <w:ind w:firstLine="480" w:firstLineChars="200"/>
        <w:jc w:val="left"/>
        <w:rPr>
          <w:rStyle w:val="71"/>
          <w:rFonts w:ascii="宋体" w:hAnsi="宋体"/>
          <w:sz w:val="24"/>
        </w:rPr>
      </w:pPr>
      <w:r>
        <w:rPr>
          <w:rStyle w:val="71"/>
          <w:rFonts w:ascii="宋体" w:hAnsi="宋体"/>
          <w:sz w:val="24"/>
        </w:rPr>
        <w:t>（1）不同投标人的电子投标文件上传计算机的网卡MAC地址、CPU序列号和硬盘序列号等硬件信息均相同的,开标现场上传电子投标文件的除外。</w:t>
      </w:r>
    </w:p>
    <w:p w14:paraId="0811D460">
      <w:pPr>
        <w:snapToGrid w:val="0"/>
        <w:spacing w:line="360" w:lineRule="exact"/>
        <w:ind w:firstLine="480" w:firstLineChars="200"/>
        <w:jc w:val="left"/>
        <w:rPr>
          <w:rStyle w:val="71"/>
          <w:rFonts w:ascii="宋体" w:hAnsi="宋体"/>
          <w:sz w:val="24"/>
        </w:rPr>
      </w:pPr>
      <w:r>
        <w:rPr>
          <w:rStyle w:val="71"/>
          <w:rFonts w:ascii="宋体" w:hAnsi="宋体"/>
          <w:sz w:val="24"/>
        </w:rPr>
        <w:t>（2）不同投标人的已标价工程量清单XML电子文档记录的计价软件加密锁序列号信息有一条及以上相同，或者记录的硬件信息中存在一条及以上的计算机网卡MAC地址（如有）、CPU序列号和硬盘序列号均相同的（招标控制价的XML格式文件或计价软件版成果文件发布之前的软硬件信息相同的除外），或者不同投标人的电子投标文件（已标价工程量清单XML电子文档除外）编制时的计算机硬件信息中存在一条及以上的计算机网卡MAC地址（如有）、CPU序列号和硬盘序列号均相同的。</w:t>
      </w:r>
    </w:p>
    <w:p w14:paraId="43F11CB5">
      <w:pPr>
        <w:snapToGrid w:val="0"/>
        <w:spacing w:line="360" w:lineRule="exact"/>
        <w:ind w:firstLine="480" w:firstLineChars="200"/>
        <w:jc w:val="left"/>
        <w:rPr>
          <w:rStyle w:val="71"/>
          <w:rFonts w:ascii="宋体" w:hAnsi="宋体"/>
          <w:sz w:val="24"/>
        </w:rPr>
      </w:pPr>
      <w:r>
        <w:rPr>
          <w:rStyle w:val="71"/>
          <w:rFonts w:ascii="宋体" w:hAnsi="宋体"/>
          <w:sz w:val="24"/>
        </w:rPr>
        <w:t>（3）不同投标人的技术文件经电子招标投标交易平台查重分析，内容异常一致或者实质性相同的。</w:t>
      </w:r>
    </w:p>
    <w:p w14:paraId="09D1C887">
      <w:pPr>
        <w:snapToGrid w:val="0"/>
        <w:spacing w:line="360" w:lineRule="exact"/>
        <w:ind w:firstLine="480" w:firstLineChars="200"/>
        <w:jc w:val="left"/>
        <w:rPr>
          <w:rStyle w:val="71"/>
          <w:rFonts w:ascii="宋体" w:hAnsi="宋体"/>
          <w:sz w:val="24"/>
        </w:rPr>
      </w:pPr>
      <w:r>
        <w:rPr>
          <w:rStyle w:val="71"/>
          <w:rFonts w:ascii="宋体" w:hAnsi="宋体"/>
          <w:sz w:val="24"/>
        </w:rPr>
        <w:t>2</w:t>
      </w:r>
      <w:r>
        <w:rPr>
          <w:rStyle w:val="71"/>
          <w:rFonts w:hint="eastAsia" w:ascii="宋体" w:hAnsi="宋体"/>
          <w:sz w:val="24"/>
        </w:rPr>
        <w:t>3</w:t>
      </w:r>
      <w:r>
        <w:rPr>
          <w:rStyle w:val="71"/>
          <w:rFonts w:ascii="宋体" w:hAnsi="宋体"/>
          <w:sz w:val="24"/>
        </w:rPr>
        <w:t>.5至投标截止时间，投标人少于三个的，招标人将依法重新组织招标。</w:t>
      </w:r>
    </w:p>
    <w:p w14:paraId="3EECC8AF">
      <w:pPr>
        <w:spacing w:line="440" w:lineRule="exact"/>
        <w:jc w:val="center"/>
        <w:rPr>
          <w:rFonts w:hint="eastAsia" w:ascii="宋体" w:hAnsi="宋体"/>
          <w:b/>
          <w:sz w:val="30"/>
          <w:szCs w:val="30"/>
        </w:rPr>
      </w:pPr>
      <w:r>
        <w:rPr>
          <w:rFonts w:hint="eastAsia" w:ascii="宋体" w:hAnsi="宋体"/>
          <w:b/>
          <w:sz w:val="30"/>
          <w:szCs w:val="30"/>
        </w:rPr>
        <w:t xml:space="preserve"> (四)开标、评标及定标</w:t>
      </w:r>
    </w:p>
    <w:p w14:paraId="7A240AD8">
      <w:pPr>
        <w:spacing w:line="440" w:lineRule="exact"/>
        <w:ind w:firstLine="482" w:firstLineChars="200"/>
        <w:jc w:val="left"/>
        <w:rPr>
          <w:rFonts w:hint="eastAsia" w:ascii="宋体" w:hAnsi="宋体"/>
          <w:b/>
          <w:bCs/>
          <w:sz w:val="24"/>
        </w:rPr>
      </w:pPr>
      <w:r>
        <w:rPr>
          <w:rFonts w:hint="eastAsia" w:ascii="宋体" w:hAnsi="宋体"/>
          <w:b/>
          <w:bCs/>
          <w:sz w:val="24"/>
        </w:rPr>
        <w:t xml:space="preserve">24.开标 </w:t>
      </w:r>
    </w:p>
    <w:p w14:paraId="0AB5DF30">
      <w:pPr>
        <w:pStyle w:val="2"/>
        <w:keepNext w:val="0"/>
        <w:keepLines w:val="0"/>
        <w:widowControl/>
        <w:suppressLineNumbers w:val="0"/>
        <w:spacing w:before="496" w:beforeAutospacing="0" w:after="0" w:afterAutospacing="0" w:line="23" w:lineRule="atLeast"/>
        <w:ind w:left="0" w:right="0" w:firstLine="480"/>
        <w:jc w:val="both"/>
        <w:rPr>
          <w:rFonts w:hint="eastAsia" w:ascii="宋体" w:hAnsi="宋体"/>
          <w:sz w:val="24"/>
        </w:rPr>
      </w:pPr>
      <w:r>
        <w:rPr>
          <w:rFonts w:hint="eastAsia" w:ascii="宋体" w:hAnsi="宋体"/>
          <w:sz w:val="24"/>
        </w:rPr>
        <w:t>24.1</w:t>
      </w:r>
      <w:r>
        <w:rPr>
          <w:rStyle w:val="71"/>
          <w:rFonts w:ascii="宋体" w:hAnsi="宋体"/>
          <w:sz w:val="24"/>
        </w:rPr>
        <w:t>开标会定于</w:t>
      </w:r>
      <w:r>
        <w:rPr>
          <w:rStyle w:val="71"/>
          <w:rFonts w:ascii="宋体" w:hAnsi="宋体"/>
          <w:sz w:val="24"/>
          <w:u w:val="single"/>
        </w:rPr>
        <w:t xml:space="preserve"> 202</w:t>
      </w:r>
      <w:r>
        <w:rPr>
          <w:rStyle w:val="71"/>
          <w:rFonts w:hint="eastAsia" w:ascii="宋体" w:hAnsi="宋体"/>
          <w:sz w:val="24"/>
          <w:u w:val="single"/>
          <w:lang w:val="en-US" w:eastAsia="zh-CN"/>
        </w:rPr>
        <w:t>6</w:t>
      </w:r>
      <w:r>
        <w:rPr>
          <w:rStyle w:val="71"/>
          <w:rFonts w:ascii="宋体" w:hAnsi="宋体"/>
          <w:sz w:val="24"/>
        </w:rPr>
        <w:t>年</w:t>
      </w:r>
      <w:r>
        <w:rPr>
          <w:rStyle w:val="71"/>
          <w:rFonts w:hint="eastAsia" w:ascii="宋体" w:hAnsi="宋体"/>
          <w:sz w:val="24"/>
          <w:u w:val="single"/>
        </w:rPr>
        <w:t xml:space="preserve"> </w:t>
      </w:r>
      <w:r>
        <w:rPr>
          <w:rStyle w:val="71"/>
          <w:rFonts w:hint="eastAsia" w:ascii="宋体" w:hAnsi="宋体"/>
          <w:sz w:val="24"/>
          <w:u w:val="single"/>
          <w:lang w:val="en-US" w:eastAsia="zh-CN"/>
        </w:rPr>
        <w:t xml:space="preserve">1 </w:t>
      </w:r>
      <w:r>
        <w:rPr>
          <w:rStyle w:val="71"/>
          <w:rFonts w:ascii="宋体" w:hAnsi="宋体"/>
          <w:sz w:val="24"/>
        </w:rPr>
        <w:t>月</w:t>
      </w:r>
      <w:r>
        <w:rPr>
          <w:rStyle w:val="71"/>
          <w:rFonts w:hint="eastAsia" w:ascii="宋体" w:hAnsi="宋体"/>
          <w:sz w:val="24"/>
          <w:u w:val="single"/>
          <w:lang w:val="en-US" w:eastAsia="zh-CN"/>
        </w:rPr>
        <w:t xml:space="preserve"> 20 </w:t>
      </w:r>
      <w:r>
        <w:rPr>
          <w:rStyle w:val="71"/>
          <w:rFonts w:ascii="宋体" w:hAnsi="宋体"/>
          <w:sz w:val="24"/>
        </w:rPr>
        <w:t>日</w:t>
      </w:r>
      <w:r>
        <w:rPr>
          <w:rStyle w:val="71"/>
          <w:rFonts w:hint="eastAsia" w:ascii="宋体" w:hAnsi="宋体"/>
          <w:sz w:val="24"/>
        </w:rPr>
        <w:t>09</w:t>
      </w:r>
      <w:r>
        <w:rPr>
          <w:rStyle w:val="71"/>
          <w:rFonts w:ascii="宋体" w:hAnsi="宋体"/>
          <w:sz w:val="24"/>
        </w:rPr>
        <w:t>:</w:t>
      </w:r>
      <w:r>
        <w:rPr>
          <w:rStyle w:val="71"/>
          <w:rFonts w:hint="eastAsia" w:ascii="宋体" w:hAnsi="宋体"/>
          <w:sz w:val="24"/>
        </w:rPr>
        <w:t xml:space="preserve">00 </w:t>
      </w:r>
      <w:r>
        <w:rPr>
          <w:rStyle w:val="71"/>
          <w:rFonts w:ascii="宋体" w:hAnsi="宋体"/>
          <w:sz w:val="24"/>
        </w:rPr>
        <w:t>时在</w:t>
      </w:r>
      <w:r>
        <w:rPr>
          <w:rStyle w:val="71"/>
          <w:rFonts w:ascii="宋体" w:hAnsi="宋体"/>
          <w:sz w:val="24"/>
          <w:u w:val="single"/>
        </w:rPr>
        <w:t xml:space="preserve"> </w:t>
      </w:r>
      <w:r>
        <w:rPr>
          <w:rFonts w:hint="eastAsia" w:ascii="宋体" w:hAnsi="宋体" w:eastAsia="宋体" w:cs="宋体"/>
          <w:b w:val="0"/>
          <w:bCs w:val="0"/>
          <w:color w:val="333333"/>
          <w:sz w:val="24"/>
          <w:szCs w:val="24"/>
          <w:u w:val="single"/>
        </w:rPr>
        <w:t>莆田市城厢区龙桥街道荔城中大道龙兴路（路口）二楼（莆田市数字城市电子交易服务平台）</w:t>
      </w:r>
      <w:r>
        <w:rPr>
          <w:rStyle w:val="71"/>
          <w:rFonts w:ascii="宋体" w:hAnsi="宋体"/>
          <w:sz w:val="24"/>
        </w:rPr>
        <w:t>进行，开标会由招标人或招标代理机构主持，投标人自行决定要不要来开标会现场</w:t>
      </w:r>
      <w:r>
        <w:rPr>
          <w:rFonts w:hint="eastAsia" w:ascii="宋体" w:hAnsi="宋体"/>
          <w:b/>
          <w:sz w:val="24"/>
        </w:rPr>
        <w:t>。</w:t>
      </w:r>
    </w:p>
    <w:p w14:paraId="45BB9EDF">
      <w:pPr>
        <w:spacing w:line="440" w:lineRule="exact"/>
        <w:ind w:firstLine="480" w:firstLineChars="200"/>
        <w:jc w:val="left"/>
        <w:rPr>
          <w:rFonts w:hint="eastAsia" w:ascii="宋体" w:hAnsi="宋体"/>
          <w:bCs/>
          <w:sz w:val="24"/>
        </w:rPr>
      </w:pPr>
      <w:r>
        <w:rPr>
          <w:rFonts w:hint="eastAsia" w:ascii="宋体" w:hAnsi="宋体"/>
          <w:bCs/>
          <w:sz w:val="24"/>
        </w:rPr>
        <w:t>24.2</w:t>
      </w:r>
      <w:r>
        <w:rPr>
          <w:rFonts w:hint="eastAsia" w:ascii="宋体" w:hAnsi="宋体"/>
          <w:sz w:val="24"/>
        </w:rPr>
        <w:t>投标人的法定代表人参加开标会的，</w:t>
      </w:r>
      <w:r>
        <w:rPr>
          <w:rFonts w:hint="eastAsia" w:ascii="宋体" w:hAnsi="宋体"/>
          <w:bCs/>
          <w:sz w:val="24"/>
        </w:rPr>
        <w:t>须随带个人身份证和法定代表人资格证明书；如是法定代表人</w:t>
      </w:r>
      <w:r>
        <w:rPr>
          <w:rFonts w:hint="eastAsia" w:ascii="宋体" w:hAnsi="宋体"/>
          <w:sz w:val="24"/>
        </w:rPr>
        <w:t>的委托代理人参加开标会的，须随带</w:t>
      </w:r>
      <w:r>
        <w:rPr>
          <w:rFonts w:hint="eastAsia" w:ascii="宋体" w:hAnsi="宋体"/>
          <w:bCs/>
          <w:sz w:val="24"/>
        </w:rPr>
        <w:t>个人身份证和</w:t>
      </w:r>
      <w:r>
        <w:rPr>
          <w:rFonts w:hint="eastAsia" w:ascii="宋体" w:hAnsi="宋体"/>
          <w:sz w:val="24"/>
        </w:rPr>
        <w:t>法定代表人的</w:t>
      </w:r>
      <w:r>
        <w:rPr>
          <w:rFonts w:hint="eastAsia" w:ascii="宋体" w:hAnsi="宋体"/>
          <w:bCs/>
          <w:sz w:val="24"/>
        </w:rPr>
        <w:t>授权委托书</w:t>
      </w:r>
      <w:r>
        <w:rPr>
          <w:rFonts w:hint="eastAsia" w:ascii="宋体" w:hAnsi="宋体"/>
          <w:sz w:val="24"/>
        </w:rPr>
        <w:t>。</w:t>
      </w:r>
    </w:p>
    <w:p w14:paraId="79AA5A42">
      <w:pPr>
        <w:spacing w:line="440" w:lineRule="exact"/>
        <w:ind w:firstLine="480" w:firstLineChars="200"/>
        <w:jc w:val="left"/>
        <w:rPr>
          <w:rFonts w:hint="eastAsia" w:ascii="宋体" w:hAnsi="宋体"/>
          <w:sz w:val="24"/>
        </w:rPr>
      </w:pPr>
      <w:r>
        <w:rPr>
          <w:rFonts w:hint="eastAsia" w:ascii="宋体" w:hAnsi="宋体"/>
          <w:sz w:val="24"/>
        </w:rPr>
        <w:t>24.3资格审查小组</w:t>
      </w:r>
    </w:p>
    <w:p w14:paraId="00FADAE1">
      <w:pPr>
        <w:snapToGrid w:val="0"/>
        <w:spacing w:line="360" w:lineRule="exact"/>
        <w:ind w:firstLine="480" w:firstLineChars="200"/>
        <w:jc w:val="left"/>
        <w:rPr>
          <w:rStyle w:val="71"/>
          <w:rFonts w:ascii="宋体" w:hAnsi="宋体"/>
          <w:sz w:val="24"/>
        </w:rPr>
      </w:pPr>
      <w:r>
        <w:rPr>
          <w:rStyle w:val="71"/>
          <w:rFonts w:ascii="宋体" w:hAnsi="宋体"/>
          <w:sz w:val="24"/>
        </w:rPr>
        <w:t>由3人以上组成资格审查小组，对投标人的资格、资质和投标文件的有效性进行审查。</w:t>
      </w:r>
    </w:p>
    <w:p w14:paraId="3F6DD8A9">
      <w:pPr>
        <w:tabs>
          <w:tab w:val="left" w:pos="540"/>
          <w:tab w:val="left" w:pos="1260"/>
        </w:tabs>
        <w:snapToGrid w:val="0"/>
        <w:spacing w:line="360" w:lineRule="exact"/>
        <w:ind w:firstLine="480" w:firstLineChars="200"/>
        <w:jc w:val="left"/>
        <w:rPr>
          <w:rStyle w:val="71"/>
          <w:rFonts w:ascii="宋体" w:hAnsi="宋体"/>
          <w:sz w:val="24"/>
        </w:rPr>
      </w:pPr>
      <w:r>
        <w:rPr>
          <w:rStyle w:val="71"/>
          <w:rFonts w:ascii="宋体" w:hAnsi="宋体"/>
          <w:sz w:val="24"/>
        </w:rPr>
        <w:t>2</w:t>
      </w:r>
      <w:r>
        <w:rPr>
          <w:rStyle w:val="71"/>
          <w:rFonts w:hint="eastAsia" w:ascii="宋体" w:hAnsi="宋体"/>
          <w:sz w:val="24"/>
        </w:rPr>
        <w:t>4</w:t>
      </w:r>
      <w:r>
        <w:rPr>
          <w:rStyle w:val="71"/>
          <w:rFonts w:ascii="宋体" w:hAnsi="宋体"/>
          <w:sz w:val="24"/>
        </w:rPr>
        <w:t>.</w:t>
      </w:r>
      <w:r>
        <w:rPr>
          <w:rStyle w:val="71"/>
          <w:rFonts w:hint="eastAsia" w:ascii="宋体" w:hAnsi="宋体"/>
          <w:sz w:val="24"/>
        </w:rPr>
        <w:t>5</w:t>
      </w:r>
      <w:r>
        <w:rPr>
          <w:rStyle w:val="71"/>
          <w:rFonts w:ascii="宋体" w:hAnsi="宋体"/>
          <w:sz w:val="24"/>
        </w:rPr>
        <w:t>开标程序：</w:t>
      </w:r>
    </w:p>
    <w:p w14:paraId="12A14FA0">
      <w:pPr>
        <w:snapToGrid w:val="0"/>
        <w:spacing w:line="360" w:lineRule="exact"/>
        <w:ind w:firstLine="480" w:firstLineChars="200"/>
        <w:jc w:val="left"/>
        <w:rPr>
          <w:rStyle w:val="71"/>
          <w:rFonts w:ascii="宋体" w:hAnsi="宋体"/>
          <w:sz w:val="24"/>
        </w:rPr>
      </w:pPr>
      <w:r>
        <w:rPr>
          <w:rStyle w:val="71"/>
          <w:rFonts w:ascii="宋体" w:hAnsi="宋体"/>
          <w:sz w:val="24"/>
        </w:rPr>
        <w:t>(1)主持人介绍参加开标会的有关单位；</w:t>
      </w:r>
    </w:p>
    <w:p w14:paraId="266C17A8">
      <w:pPr>
        <w:snapToGrid w:val="0"/>
        <w:spacing w:line="360" w:lineRule="exact"/>
        <w:ind w:firstLine="480" w:firstLineChars="200"/>
        <w:jc w:val="left"/>
        <w:rPr>
          <w:rStyle w:val="71"/>
          <w:rFonts w:ascii="宋体" w:hAnsi="宋体"/>
          <w:sz w:val="24"/>
        </w:rPr>
      </w:pPr>
      <w:r>
        <w:rPr>
          <w:rStyle w:val="71"/>
          <w:rFonts w:ascii="宋体" w:hAnsi="宋体"/>
          <w:sz w:val="24"/>
        </w:rPr>
        <w:t>(2)主持人宣布开标纪律。</w:t>
      </w:r>
    </w:p>
    <w:p w14:paraId="36F82A79">
      <w:pPr>
        <w:snapToGrid w:val="0"/>
        <w:spacing w:line="360" w:lineRule="exact"/>
        <w:ind w:firstLine="480" w:firstLineChars="200"/>
        <w:jc w:val="left"/>
        <w:rPr>
          <w:rStyle w:val="71"/>
          <w:rFonts w:ascii="宋体" w:hAnsi="宋体"/>
          <w:sz w:val="24"/>
        </w:rPr>
      </w:pPr>
      <w:r>
        <w:rPr>
          <w:rStyle w:val="71"/>
          <w:rFonts w:ascii="宋体" w:hAnsi="宋体"/>
          <w:sz w:val="24"/>
        </w:rPr>
        <w:t>(3)确定进入资格审查的潜在投标人名单，若投标人少于15家(含15家)的，则所有投标人全部进入资格审查；若投标人多于15家时，则在资格审查前随机抽取10家进入资格审查程序，未抽中的，退出资格审查和中标人抽取程序。</w:t>
      </w:r>
      <w:r>
        <w:rPr>
          <w:rStyle w:val="71"/>
          <w:rFonts w:ascii="宋体" w:hAnsi="宋体"/>
          <w:b/>
          <w:bCs/>
          <w:sz w:val="24"/>
        </w:rPr>
        <w:t>直接采用网上生成的对应号相对应的投标人，系统自动抽取入围号</w:t>
      </w:r>
      <w:r>
        <w:rPr>
          <w:rStyle w:val="71"/>
          <w:rFonts w:ascii="宋体" w:hAnsi="宋体"/>
          <w:b/>
          <w:bCs/>
          <w:kern w:val="0"/>
          <w:sz w:val="24"/>
        </w:rPr>
        <w:t>，</w:t>
      </w:r>
      <w:r>
        <w:rPr>
          <w:rStyle w:val="71"/>
          <w:rFonts w:ascii="宋体" w:hAnsi="宋体"/>
          <w:b/>
          <w:bCs/>
          <w:sz w:val="24"/>
        </w:rPr>
        <w:t>所对应的投标人进行资格审查，未抽中的不进入评标程序。</w:t>
      </w:r>
    </w:p>
    <w:p w14:paraId="6DA79EF8">
      <w:pPr>
        <w:snapToGrid w:val="0"/>
        <w:spacing w:line="360" w:lineRule="exact"/>
        <w:ind w:firstLine="482" w:firstLineChars="200"/>
        <w:jc w:val="left"/>
        <w:rPr>
          <w:rStyle w:val="71"/>
          <w:rFonts w:ascii="宋体" w:hAnsi="宋体"/>
          <w:b/>
          <w:bCs/>
          <w:sz w:val="24"/>
        </w:rPr>
      </w:pPr>
      <w:r>
        <w:rPr>
          <w:rStyle w:val="71"/>
          <w:rFonts w:ascii="宋体" w:hAnsi="宋体"/>
          <w:b/>
          <w:bCs/>
          <w:sz w:val="24"/>
        </w:rPr>
        <w:t>(4) 主持人宣布进入资格审查的投标人名单。</w:t>
      </w:r>
    </w:p>
    <w:p w14:paraId="4FABA079">
      <w:pPr>
        <w:snapToGrid w:val="0"/>
        <w:spacing w:line="360" w:lineRule="exact"/>
        <w:ind w:firstLine="480" w:firstLineChars="200"/>
        <w:jc w:val="left"/>
        <w:rPr>
          <w:rStyle w:val="71"/>
          <w:rFonts w:ascii="宋体" w:hAnsi="宋体"/>
          <w:sz w:val="24"/>
        </w:rPr>
      </w:pPr>
      <w:r>
        <w:rPr>
          <w:rStyle w:val="71"/>
          <w:rFonts w:ascii="宋体" w:hAnsi="宋体"/>
          <w:sz w:val="24"/>
        </w:rPr>
        <w:t>(5)宣读投标人的投标文件并记录。宣读内容为投标人名称、投标报价、工程质量、工期、项目负责人姓名及其它必要的内容。</w:t>
      </w:r>
    </w:p>
    <w:p w14:paraId="45A94F4D">
      <w:pPr>
        <w:snapToGrid w:val="0"/>
        <w:spacing w:line="360" w:lineRule="exact"/>
        <w:ind w:firstLine="480" w:firstLineChars="200"/>
        <w:jc w:val="left"/>
        <w:rPr>
          <w:rStyle w:val="71"/>
          <w:rFonts w:ascii="宋体" w:hAnsi="宋体"/>
          <w:sz w:val="24"/>
        </w:rPr>
      </w:pPr>
      <w:r>
        <w:rPr>
          <w:rStyle w:val="71"/>
          <w:rFonts w:ascii="宋体" w:hAnsi="宋体"/>
          <w:sz w:val="24"/>
        </w:rPr>
        <w:t>(6)投标人对开标有异议的，应当在开标现场提出，招标人应当当场作出答复，并制作记录。</w:t>
      </w:r>
    </w:p>
    <w:p w14:paraId="625CCFDB">
      <w:pPr>
        <w:snapToGrid w:val="0"/>
        <w:spacing w:line="360" w:lineRule="exact"/>
        <w:ind w:firstLine="482" w:firstLineChars="200"/>
        <w:jc w:val="left"/>
        <w:rPr>
          <w:rStyle w:val="71"/>
          <w:rFonts w:ascii="宋体" w:hAnsi="宋体"/>
          <w:b/>
          <w:sz w:val="24"/>
        </w:rPr>
      </w:pPr>
      <w:r>
        <w:rPr>
          <w:rStyle w:val="71"/>
          <w:rFonts w:ascii="宋体" w:hAnsi="宋体"/>
          <w:b/>
          <w:sz w:val="24"/>
        </w:rPr>
        <w:t>2</w:t>
      </w:r>
      <w:r>
        <w:rPr>
          <w:rStyle w:val="71"/>
          <w:rFonts w:hint="eastAsia" w:ascii="宋体" w:hAnsi="宋体"/>
          <w:b/>
          <w:sz w:val="24"/>
        </w:rPr>
        <w:t>5</w:t>
      </w:r>
      <w:r>
        <w:rPr>
          <w:rStyle w:val="71"/>
          <w:rFonts w:ascii="宋体" w:hAnsi="宋体"/>
          <w:b/>
          <w:sz w:val="24"/>
        </w:rPr>
        <w:t>.评标</w:t>
      </w:r>
    </w:p>
    <w:p w14:paraId="33749F7F">
      <w:pPr>
        <w:snapToGrid w:val="0"/>
        <w:spacing w:line="360" w:lineRule="exact"/>
        <w:ind w:firstLine="480" w:firstLineChars="200"/>
        <w:jc w:val="left"/>
        <w:rPr>
          <w:rStyle w:val="71"/>
          <w:rFonts w:ascii="宋体" w:hAnsi="宋体"/>
          <w:sz w:val="24"/>
        </w:rPr>
      </w:pPr>
      <w:r>
        <w:rPr>
          <w:rStyle w:val="71"/>
          <w:rFonts w:ascii="宋体" w:hAnsi="宋体"/>
          <w:sz w:val="24"/>
        </w:rPr>
        <w:t>2</w:t>
      </w:r>
      <w:r>
        <w:rPr>
          <w:rStyle w:val="71"/>
          <w:rFonts w:hint="eastAsia" w:ascii="宋体" w:hAnsi="宋体"/>
          <w:sz w:val="24"/>
        </w:rPr>
        <w:t>5</w:t>
      </w:r>
      <w:r>
        <w:rPr>
          <w:rStyle w:val="71"/>
          <w:rFonts w:ascii="宋体" w:hAnsi="宋体"/>
          <w:sz w:val="24"/>
        </w:rPr>
        <w:t>.1  资格审查小组审查投标文件，确定进入公开抽取中标人程序的合格投标人名单。</w:t>
      </w:r>
      <w:r>
        <w:rPr>
          <w:rStyle w:val="71"/>
          <w:rFonts w:ascii="宋体" w:hAnsi="宋体"/>
          <w:b/>
          <w:sz w:val="24"/>
        </w:rPr>
        <w:t>存在下列情形之一的，应当作为废标处理，不得进入随机抽取程序：</w:t>
      </w:r>
    </w:p>
    <w:p w14:paraId="03514DDF">
      <w:pPr>
        <w:snapToGrid w:val="0"/>
        <w:spacing w:line="360" w:lineRule="exact"/>
        <w:ind w:firstLine="482" w:firstLineChars="200"/>
        <w:jc w:val="left"/>
        <w:rPr>
          <w:rStyle w:val="71"/>
          <w:rFonts w:ascii="宋体" w:hAnsi="宋体"/>
          <w:b/>
          <w:sz w:val="24"/>
        </w:rPr>
      </w:pPr>
      <w:r>
        <w:rPr>
          <w:rStyle w:val="71"/>
          <w:rFonts w:ascii="宋体" w:hAnsi="宋体"/>
          <w:b/>
          <w:sz w:val="24"/>
        </w:rPr>
        <w:t>2</w:t>
      </w:r>
      <w:r>
        <w:rPr>
          <w:rStyle w:val="71"/>
          <w:rFonts w:hint="eastAsia" w:ascii="宋体" w:hAnsi="宋体"/>
          <w:b/>
          <w:sz w:val="24"/>
        </w:rPr>
        <w:t>5</w:t>
      </w:r>
      <w:r>
        <w:rPr>
          <w:rStyle w:val="71"/>
          <w:rFonts w:ascii="宋体" w:hAnsi="宋体"/>
          <w:b/>
          <w:bCs/>
          <w:sz w:val="24"/>
        </w:rPr>
        <w:t>.1</w:t>
      </w:r>
      <w:r>
        <w:rPr>
          <w:rStyle w:val="71"/>
          <w:rFonts w:ascii="宋体" w:hAnsi="宋体"/>
          <w:b/>
          <w:kern w:val="0"/>
          <w:sz w:val="24"/>
        </w:rPr>
        <w:t>.1</w:t>
      </w:r>
      <w:r>
        <w:rPr>
          <w:rStyle w:val="71"/>
          <w:rFonts w:ascii="宋体" w:hAnsi="宋体"/>
          <w:b/>
          <w:bCs/>
          <w:sz w:val="24"/>
        </w:rPr>
        <w:t>投标人的企业营业执照、企业资质证书和安全生产许可证、电子注册建造师执业证书、安全生产考核合格证、有效的银行开户许可证(或基本存款账户信息)等不符合招标文件要求的；</w:t>
      </w:r>
    </w:p>
    <w:p w14:paraId="33AB6DAD">
      <w:pPr>
        <w:pStyle w:val="73"/>
        <w:snapToGrid w:val="0"/>
        <w:spacing w:line="360" w:lineRule="exact"/>
        <w:ind w:firstLine="482" w:firstLineChars="200"/>
        <w:rPr>
          <w:rStyle w:val="71"/>
          <w:rFonts w:ascii="宋体" w:hAnsi="宋体"/>
          <w:b/>
          <w:sz w:val="24"/>
          <w:szCs w:val="24"/>
        </w:rPr>
      </w:pPr>
      <w:r>
        <w:rPr>
          <w:rStyle w:val="71"/>
          <w:rFonts w:ascii="宋体" w:hAnsi="宋体"/>
          <w:b/>
          <w:sz w:val="24"/>
          <w:szCs w:val="24"/>
        </w:rPr>
        <w:t>2</w:t>
      </w:r>
      <w:r>
        <w:rPr>
          <w:rStyle w:val="71"/>
          <w:rFonts w:hint="eastAsia" w:ascii="宋体" w:hAnsi="宋体"/>
          <w:b/>
          <w:sz w:val="24"/>
          <w:szCs w:val="24"/>
        </w:rPr>
        <w:t>5</w:t>
      </w:r>
      <w:r>
        <w:rPr>
          <w:rStyle w:val="71"/>
          <w:rFonts w:ascii="宋体" w:hAnsi="宋体"/>
          <w:b/>
          <w:sz w:val="24"/>
          <w:szCs w:val="24"/>
        </w:rPr>
        <w:t>.1.2投标承诺函未按投标文件格式规定编制、填写内容或签署、盖章的</w:t>
      </w:r>
      <w:r>
        <w:rPr>
          <w:rStyle w:val="71"/>
          <w:rFonts w:ascii="宋体" w:hAnsi="宋体"/>
          <w:b/>
          <w:bCs/>
          <w:sz w:val="24"/>
          <w:szCs w:val="24"/>
        </w:rPr>
        <w:t>；</w:t>
      </w:r>
    </w:p>
    <w:p w14:paraId="0E15FC92">
      <w:pPr>
        <w:snapToGrid w:val="0"/>
        <w:spacing w:line="360" w:lineRule="exact"/>
        <w:ind w:firstLine="482" w:firstLineChars="200"/>
        <w:jc w:val="left"/>
        <w:rPr>
          <w:rStyle w:val="71"/>
          <w:rFonts w:ascii="宋体" w:hAnsi="宋体"/>
          <w:b/>
          <w:sz w:val="24"/>
        </w:rPr>
      </w:pPr>
      <w:r>
        <w:rPr>
          <w:rStyle w:val="71"/>
          <w:rFonts w:ascii="宋体" w:hAnsi="宋体"/>
          <w:b/>
          <w:sz w:val="24"/>
        </w:rPr>
        <w:t>2</w:t>
      </w:r>
      <w:r>
        <w:rPr>
          <w:rStyle w:val="71"/>
          <w:rFonts w:hint="eastAsia" w:ascii="宋体" w:hAnsi="宋体"/>
          <w:b/>
          <w:sz w:val="24"/>
        </w:rPr>
        <w:t>5</w:t>
      </w:r>
      <w:r>
        <w:rPr>
          <w:rStyle w:val="71"/>
          <w:rFonts w:ascii="宋体" w:hAnsi="宋体"/>
          <w:b/>
          <w:bCs/>
          <w:sz w:val="24"/>
        </w:rPr>
        <w:t>.1.3投标人的承诺不满足招标文件实质性要求的</w:t>
      </w:r>
      <w:r>
        <w:rPr>
          <w:rStyle w:val="71"/>
          <w:rFonts w:ascii="宋体" w:hAnsi="宋体"/>
          <w:b/>
          <w:sz w:val="24"/>
        </w:rPr>
        <w:t>；</w:t>
      </w:r>
    </w:p>
    <w:p w14:paraId="319CA4E1">
      <w:pPr>
        <w:snapToGrid w:val="0"/>
        <w:spacing w:line="360" w:lineRule="exact"/>
        <w:ind w:firstLine="482" w:firstLineChars="200"/>
        <w:jc w:val="left"/>
        <w:rPr>
          <w:rStyle w:val="71"/>
          <w:rFonts w:ascii="宋体" w:hAnsi="宋体"/>
          <w:b/>
          <w:sz w:val="24"/>
        </w:rPr>
      </w:pPr>
      <w:r>
        <w:rPr>
          <w:rStyle w:val="71"/>
          <w:rFonts w:ascii="宋体" w:hAnsi="宋体"/>
          <w:b/>
          <w:sz w:val="24"/>
        </w:rPr>
        <w:t>2</w:t>
      </w:r>
      <w:r>
        <w:rPr>
          <w:rStyle w:val="71"/>
          <w:rFonts w:hint="eastAsia" w:ascii="宋体" w:hAnsi="宋体"/>
          <w:b/>
          <w:sz w:val="24"/>
        </w:rPr>
        <w:t>5</w:t>
      </w:r>
      <w:r>
        <w:rPr>
          <w:rStyle w:val="71"/>
          <w:rFonts w:ascii="宋体" w:hAnsi="宋体"/>
          <w:b/>
          <w:bCs/>
          <w:sz w:val="24"/>
        </w:rPr>
        <w:t>.1.4具有投标须知第3.9条情形之一的</w:t>
      </w:r>
      <w:r>
        <w:rPr>
          <w:rStyle w:val="71"/>
          <w:rFonts w:ascii="宋体" w:hAnsi="宋体"/>
          <w:b/>
          <w:sz w:val="24"/>
        </w:rPr>
        <w:t>；</w:t>
      </w:r>
    </w:p>
    <w:p w14:paraId="77AE9343">
      <w:pPr>
        <w:snapToGrid w:val="0"/>
        <w:spacing w:line="360" w:lineRule="exact"/>
        <w:ind w:firstLine="482" w:firstLineChars="200"/>
        <w:jc w:val="left"/>
        <w:rPr>
          <w:rStyle w:val="71"/>
          <w:rFonts w:ascii="宋体" w:hAnsi="宋体"/>
          <w:b/>
          <w:sz w:val="24"/>
        </w:rPr>
      </w:pPr>
      <w:r>
        <w:rPr>
          <w:rStyle w:val="71"/>
          <w:rFonts w:ascii="宋体" w:hAnsi="宋体"/>
          <w:b/>
          <w:sz w:val="24"/>
        </w:rPr>
        <w:t>2</w:t>
      </w:r>
      <w:r>
        <w:rPr>
          <w:rStyle w:val="71"/>
          <w:rFonts w:hint="eastAsia" w:ascii="宋体" w:hAnsi="宋体"/>
          <w:b/>
          <w:sz w:val="24"/>
        </w:rPr>
        <w:t>5</w:t>
      </w:r>
      <w:r>
        <w:rPr>
          <w:rStyle w:val="71"/>
          <w:rFonts w:ascii="宋体" w:hAnsi="宋体"/>
          <w:b/>
          <w:bCs/>
          <w:sz w:val="24"/>
        </w:rPr>
        <w:t>.1.5</w:t>
      </w:r>
      <w:r>
        <w:rPr>
          <w:rStyle w:val="71"/>
          <w:rFonts w:ascii="宋体" w:hAnsi="宋体"/>
          <w:b/>
          <w:sz w:val="24"/>
        </w:rPr>
        <w:t>投标人拟派出项目负责人不满足招标文件要求的，未按要求提供；</w:t>
      </w:r>
    </w:p>
    <w:p w14:paraId="2CDD98E6">
      <w:pPr>
        <w:snapToGrid w:val="0"/>
        <w:spacing w:line="276" w:lineRule="auto"/>
        <w:ind w:firstLine="472" w:firstLineChars="196"/>
        <w:rPr>
          <w:rStyle w:val="71"/>
          <w:rFonts w:ascii="宋体" w:hAnsi="宋体"/>
          <w:b/>
          <w:sz w:val="24"/>
        </w:rPr>
      </w:pPr>
      <w:r>
        <w:rPr>
          <w:rStyle w:val="71"/>
          <w:rFonts w:ascii="宋体" w:hAnsi="宋体"/>
          <w:b/>
          <w:sz w:val="24"/>
        </w:rPr>
        <w:t>2</w:t>
      </w:r>
      <w:r>
        <w:rPr>
          <w:rStyle w:val="71"/>
          <w:rFonts w:hint="eastAsia" w:ascii="宋体" w:hAnsi="宋体"/>
          <w:b/>
          <w:sz w:val="24"/>
        </w:rPr>
        <w:t>5</w:t>
      </w:r>
      <w:r>
        <w:rPr>
          <w:rStyle w:val="71"/>
          <w:rFonts w:ascii="宋体" w:hAnsi="宋体"/>
          <w:b/>
          <w:sz w:val="24"/>
        </w:rPr>
        <w:t>.1.6</w:t>
      </w:r>
      <w:r>
        <w:rPr>
          <w:rStyle w:val="71"/>
          <w:rFonts w:ascii="宋体" w:hAnsi="宋体"/>
          <w:b/>
          <w:bCs/>
          <w:sz w:val="24"/>
        </w:rPr>
        <w:t>投标人未按招标文件将企业及个人的证书、证件或证明材料以原件扫描件相应附上且加盖投标人电子印章；</w:t>
      </w:r>
    </w:p>
    <w:p w14:paraId="34A4A0D3">
      <w:pPr>
        <w:snapToGrid w:val="0"/>
        <w:spacing w:line="276" w:lineRule="auto"/>
        <w:ind w:firstLine="472" w:firstLineChars="196"/>
        <w:rPr>
          <w:rStyle w:val="71"/>
          <w:rFonts w:ascii="宋体" w:hAnsi="宋体"/>
          <w:b/>
          <w:bCs/>
          <w:sz w:val="24"/>
        </w:rPr>
      </w:pPr>
      <w:r>
        <w:rPr>
          <w:rStyle w:val="71"/>
          <w:rFonts w:ascii="宋体" w:hAnsi="宋体"/>
          <w:b/>
          <w:bCs/>
          <w:sz w:val="24"/>
        </w:rPr>
        <w:t>2</w:t>
      </w:r>
      <w:r>
        <w:rPr>
          <w:rStyle w:val="71"/>
          <w:rFonts w:hint="eastAsia" w:ascii="宋体" w:hAnsi="宋体"/>
          <w:b/>
          <w:bCs/>
          <w:sz w:val="24"/>
        </w:rPr>
        <w:t>5</w:t>
      </w:r>
      <w:r>
        <w:rPr>
          <w:rStyle w:val="71"/>
          <w:rFonts w:ascii="宋体" w:hAnsi="宋体"/>
          <w:b/>
          <w:bCs/>
          <w:sz w:val="24"/>
        </w:rPr>
        <w:t>.1.7投标保证金未按规定交纳的；</w:t>
      </w:r>
    </w:p>
    <w:p w14:paraId="23FAAF9D">
      <w:pPr>
        <w:snapToGrid w:val="0"/>
        <w:spacing w:line="360" w:lineRule="exact"/>
        <w:ind w:firstLine="482" w:firstLineChars="200"/>
        <w:jc w:val="left"/>
        <w:rPr>
          <w:rStyle w:val="71"/>
          <w:rFonts w:ascii="宋体" w:hAnsi="宋体"/>
          <w:b/>
          <w:bCs/>
          <w:sz w:val="24"/>
        </w:rPr>
      </w:pPr>
      <w:r>
        <w:rPr>
          <w:rStyle w:val="71"/>
          <w:rFonts w:ascii="宋体" w:hAnsi="宋体"/>
          <w:b/>
          <w:bCs/>
          <w:sz w:val="24"/>
        </w:rPr>
        <w:t>2</w:t>
      </w:r>
      <w:r>
        <w:rPr>
          <w:rStyle w:val="71"/>
          <w:rFonts w:hint="eastAsia" w:ascii="宋体" w:hAnsi="宋体"/>
          <w:b/>
          <w:bCs/>
          <w:sz w:val="24"/>
        </w:rPr>
        <w:t>5</w:t>
      </w:r>
      <w:r>
        <w:rPr>
          <w:rStyle w:val="71"/>
          <w:rFonts w:ascii="宋体" w:hAnsi="宋体"/>
          <w:b/>
          <w:bCs/>
          <w:sz w:val="24"/>
        </w:rPr>
        <w:t>.1.8</w:t>
      </w:r>
      <w:r>
        <w:rPr>
          <w:rFonts w:hint="eastAsia" w:ascii="宋体" w:hAnsi="宋体"/>
          <w:b/>
          <w:sz w:val="24"/>
        </w:rPr>
        <w:t>投标人处于被住房和城乡建设部或福建省住房和城乡建设厅认定的建筑市场主体黑名单管理期限内</w:t>
      </w:r>
      <w:r>
        <w:rPr>
          <w:rStyle w:val="71"/>
          <w:rFonts w:hint="eastAsia" w:ascii="宋体" w:hAnsi="宋体"/>
          <w:b/>
          <w:bCs/>
          <w:sz w:val="24"/>
        </w:rPr>
        <w:t>；</w:t>
      </w:r>
    </w:p>
    <w:p w14:paraId="11E92BBD">
      <w:pPr>
        <w:snapToGrid w:val="0"/>
        <w:spacing w:line="360" w:lineRule="exact"/>
        <w:ind w:firstLine="482" w:firstLineChars="200"/>
        <w:jc w:val="left"/>
        <w:rPr>
          <w:rStyle w:val="71"/>
          <w:rFonts w:hint="eastAsia" w:ascii="宋体" w:hAnsi="宋体"/>
          <w:b/>
          <w:bCs/>
          <w:sz w:val="24"/>
        </w:rPr>
      </w:pPr>
      <w:r>
        <w:rPr>
          <w:rStyle w:val="71"/>
          <w:rFonts w:hint="eastAsia" w:ascii="宋体" w:hAnsi="宋体"/>
          <w:b/>
          <w:bCs/>
          <w:sz w:val="24"/>
        </w:rPr>
        <w:t>25.1.9投标人的企业信息和拟派项目管理人员信息应在福建省建设行业信息公开平台可查询到且查询到的信息完整；</w:t>
      </w:r>
    </w:p>
    <w:p w14:paraId="01637945">
      <w:pPr>
        <w:snapToGrid w:val="0"/>
        <w:spacing w:line="360" w:lineRule="exact"/>
        <w:ind w:firstLine="482" w:firstLineChars="200"/>
        <w:jc w:val="left"/>
        <w:rPr>
          <w:rStyle w:val="71"/>
          <w:rFonts w:ascii="宋体" w:hAnsi="宋体"/>
          <w:b/>
          <w:sz w:val="24"/>
        </w:rPr>
      </w:pPr>
      <w:r>
        <w:rPr>
          <w:rStyle w:val="71"/>
          <w:rFonts w:ascii="宋体" w:hAnsi="宋体"/>
          <w:b/>
          <w:sz w:val="24"/>
        </w:rPr>
        <w:t>2</w:t>
      </w:r>
      <w:r>
        <w:rPr>
          <w:rStyle w:val="71"/>
          <w:rFonts w:hint="eastAsia" w:ascii="宋体" w:hAnsi="宋体"/>
          <w:b/>
          <w:sz w:val="24"/>
        </w:rPr>
        <w:t>5</w:t>
      </w:r>
      <w:r>
        <w:rPr>
          <w:rStyle w:val="71"/>
          <w:rFonts w:ascii="宋体" w:hAnsi="宋体"/>
          <w:b/>
          <w:bCs/>
          <w:sz w:val="24"/>
        </w:rPr>
        <w:t>.1.</w:t>
      </w:r>
      <w:r>
        <w:rPr>
          <w:rStyle w:val="71"/>
          <w:rFonts w:hint="eastAsia" w:ascii="宋体" w:hAnsi="宋体"/>
          <w:b/>
          <w:bCs/>
          <w:sz w:val="24"/>
        </w:rPr>
        <w:t>10</w:t>
      </w:r>
      <w:r>
        <w:rPr>
          <w:rStyle w:val="71"/>
          <w:rFonts w:ascii="宋体" w:hAnsi="宋体"/>
          <w:b/>
          <w:bCs/>
          <w:sz w:val="24"/>
        </w:rPr>
        <w:t>不符合招标文件规定的其它实质性要求。</w:t>
      </w:r>
    </w:p>
    <w:p w14:paraId="3125464E">
      <w:pPr>
        <w:spacing w:line="440" w:lineRule="exact"/>
        <w:ind w:firstLine="482" w:firstLineChars="200"/>
        <w:jc w:val="left"/>
        <w:rPr>
          <w:rFonts w:hint="eastAsia" w:ascii="宋体" w:hAnsi="宋体"/>
          <w:b/>
          <w:sz w:val="24"/>
        </w:rPr>
      </w:pPr>
      <w:r>
        <w:rPr>
          <w:rFonts w:hint="eastAsia" w:ascii="宋体" w:hAnsi="宋体"/>
          <w:b/>
          <w:sz w:val="24"/>
        </w:rPr>
        <w:t>26.确定中标人</w:t>
      </w:r>
    </w:p>
    <w:p w14:paraId="06DC050B">
      <w:pPr>
        <w:shd w:val="clear" w:color="auto" w:fill="FFFFFF"/>
        <w:autoSpaceDN w:val="0"/>
        <w:spacing w:line="400" w:lineRule="exact"/>
        <w:ind w:firstLine="480" w:firstLineChars="200"/>
        <w:jc w:val="left"/>
        <w:rPr>
          <w:rFonts w:hint="eastAsia" w:ascii="宋体" w:hAnsi="宋体"/>
          <w:sz w:val="24"/>
        </w:rPr>
      </w:pPr>
      <w:r>
        <w:rPr>
          <w:rFonts w:hint="eastAsia" w:ascii="宋体" w:hAnsi="宋体"/>
          <w:sz w:val="24"/>
        </w:rPr>
        <w:t>26.1 本次确定中标单位由审查合格的投标人中随机抽取三家企业，并按先后抽取的顺序依次确定为第一中标候选人、第二中标候选人、第三中标候选人。</w:t>
      </w:r>
    </w:p>
    <w:p w14:paraId="7F3C14D8">
      <w:pPr>
        <w:shd w:val="clear" w:color="auto" w:fill="FFFFFF"/>
        <w:spacing w:line="400" w:lineRule="exact"/>
        <w:ind w:firstLine="480" w:firstLineChars="200"/>
        <w:rPr>
          <w:rFonts w:hint="eastAsia" w:ascii="宋体" w:hAnsi="宋体"/>
          <w:sz w:val="24"/>
        </w:rPr>
      </w:pPr>
      <w:r>
        <w:rPr>
          <w:rFonts w:hint="eastAsia" w:ascii="宋体" w:hAnsi="宋体"/>
          <w:sz w:val="24"/>
        </w:rPr>
        <w:t>26.2 招标人或招标代理机构宣布抽取规则：</w:t>
      </w:r>
    </w:p>
    <w:p w14:paraId="553F1FAF">
      <w:pPr>
        <w:shd w:val="clear" w:color="auto" w:fill="FFFFFF"/>
        <w:spacing w:line="400" w:lineRule="exact"/>
        <w:ind w:firstLine="480" w:firstLineChars="200"/>
        <w:rPr>
          <w:rFonts w:hint="eastAsia" w:ascii="宋体" w:hAnsi="宋体"/>
          <w:sz w:val="24"/>
        </w:rPr>
      </w:pPr>
      <w:r>
        <w:rPr>
          <w:rFonts w:hint="eastAsia" w:ascii="宋体" w:hAnsi="宋体"/>
          <w:sz w:val="24"/>
        </w:rPr>
        <w:t>26.2.1</w:t>
      </w:r>
      <w:r>
        <w:rPr>
          <w:rStyle w:val="71"/>
          <w:rFonts w:ascii="宋体" w:hAnsi="宋体"/>
          <w:kern w:val="0"/>
          <w:sz w:val="24"/>
        </w:rPr>
        <w:t>公开随机抽取法，以投标人入围的对应号代表相对应的投标人，由招标人代表公开随机抽取</w:t>
      </w:r>
      <w:r>
        <w:rPr>
          <w:rStyle w:val="71"/>
          <w:rFonts w:hint="eastAsia" w:ascii="宋体" w:hAnsi="宋体"/>
          <w:kern w:val="0"/>
          <w:sz w:val="24"/>
        </w:rPr>
        <w:t>，第一次抽中的对应号为</w:t>
      </w:r>
      <w:r>
        <w:rPr>
          <w:rFonts w:hint="eastAsia" w:ascii="宋体" w:hAnsi="宋体"/>
          <w:sz w:val="24"/>
        </w:rPr>
        <w:t>第一中标候选人、第二次抽中的</w:t>
      </w:r>
      <w:r>
        <w:rPr>
          <w:rStyle w:val="71"/>
          <w:rFonts w:hint="eastAsia" w:ascii="宋体" w:hAnsi="宋体"/>
          <w:kern w:val="0"/>
          <w:sz w:val="24"/>
        </w:rPr>
        <w:t>对应号为</w:t>
      </w:r>
      <w:r>
        <w:rPr>
          <w:rFonts w:hint="eastAsia" w:ascii="宋体" w:hAnsi="宋体"/>
          <w:sz w:val="24"/>
        </w:rPr>
        <w:t>第二中标候选人、第三次抽中的</w:t>
      </w:r>
      <w:r>
        <w:rPr>
          <w:rStyle w:val="71"/>
          <w:rFonts w:hint="eastAsia" w:ascii="宋体" w:hAnsi="宋体"/>
          <w:kern w:val="0"/>
          <w:sz w:val="24"/>
        </w:rPr>
        <w:t>对应号为</w:t>
      </w:r>
      <w:r>
        <w:rPr>
          <w:rFonts w:hint="eastAsia" w:ascii="宋体" w:hAnsi="宋体"/>
          <w:sz w:val="24"/>
        </w:rPr>
        <w:t>第三中标候选人。</w:t>
      </w:r>
    </w:p>
    <w:p w14:paraId="2174D1B7">
      <w:pPr>
        <w:spacing w:line="440" w:lineRule="exact"/>
        <w:ind w:firstLine="482" w:firstLineChars="200"/>
        <w:jc w:val="left"/>
        <w:rPr>
          <w:rFonts w:hint="eastAsia" w:ascii="宋体" w:hAnsi="宋体"/>
          <w:b/>
          <w:sz w:val="24"/>
        </w:rPr>
      </w:pPr>
      <w:r>
        <w:rPr>
          <w:rFonts w:hint="eastAsia" w:ascii="宋体" w:hAnsi="宋体"/>
          <w:b/>
          <w:sz w:val="24"/>
        </w:rPr>
        <w:t>26.3</w:t>
      </w:r>
      <w:r>
        <w:rPr>
          <w:rFonts w:hint="eastAsia" w:ascii="宋体" w:hAnsi="宋体"/>
          <w:sz w:val="24"/>
        </w:rPr>
        <w:t xml:space="preserve">招标代理机构撰写开标情况报告，由招标人、招标代理机构及监督部门签字确认后存档。 </w:t>
      </w:r>
    </w:p>
    <w:p w14:paraId="2FD5FDA9">
      <w:pPr>
        <w:spacing w:line="440" w:lineRule="exact"/>
        <w:ind w:firstLine="482" w:firstLineChars="200"/>
        <w:jc w:val="left"/>
        <w:rPr>
          <w:rFonts w:hint="eastAsia" w:ascii="宋体" w:hAnsi="宋体"/>
          <w:b/>
          <w:sz w:val="24"/>
        </w:rPr>
      </w:pPr>
      <w:r>
        <w:rPr>
          <w:rFonts w:hint="eastAsia" w:ascii="宋体" w:hAnsi="宋体"/>
          <w:b/>
          <w:sz w:val="24"/>
        </w:rPr>
        <w:t>26.4</w:t>
      </w:r>
      <w:r>
        <w:rPr>
          <w:rFonts w:hint="eastAsia" w:ascii="宋体" w:hAnsi="宋体"/>
          <w:sz w:val="24"/>
        </w:rPr>
        <w:t xml:space="preserve"> 经过开标审查，若合格的投标人不足3家，招标人宣布本次招标失败，招标人将依法重新招标。</w:t>
      </w:r>
    </w:p>
    <w:p w14:paraId="7933B5CD">
      <w:pPr>
        <w:spacing w:line="440" w:lineRule="exact"/>
        <w:ind w:firstLine="482" w:firstLineChars="200"/>
        <w:jc w:val="left"/>
        <w:rPr>
          <w:rFonts w:hint="eastAsia" w:ascii="宋体" w:hAnsi="宋体"/>
          <w:b/>
          <w:sz w:val="24"/>
        </w:rPr>
      </w:pPr>
      <w:r>
        <w:rPr>
          <w:rFonts w:hint="eastAsia" w:ascii="宋体" w:hAnsi="宋体"/>
          <w:b/>
          <w:sz w:val="24"/>
        </w:rPr>
        <w:t>27.中标通知和中标公示</w:t>
      </w:r>
    </w:p>
    <w:p w14:paraId="31B97019">
      <w:pPr>
        <w:wordWrap w:val="0"/>
        <w:spacing w:line="440" w:lineRule="exact"/>
        <w:ind w:firstLine="482" w:firstLineChars="200"/>
        <w:jc w:val="left"/>
        <w:rPr>
          <w:rFonts w:hint="eastAsia" w:ascii="宋体" w:hAnsi="宋体"/>
          <w:b/>
          <w:sz w:val="24"/>
        </w:rPr>
      </w:pPr>
      <w:r>
        <w:rPr>
          <w:rFonts w:hint="eastAsia" w:ascii="宋体" w:hAnsi="宋体"/>
          <w:b/>
          <w:sz w:val="24"/>
        </w:rPr>
        <w:t>27.1</w:t>
      </w:r>
      <w:r>
        <w:rPr>
          <w:rFonts w:hint="eastAsia" w:ascii="宋体" w:hAnsi="宋体"/>
          <w:sz w:val="24"/>
        </w:rPr>
        <w:t>招标人应当根据评标结果在3个工作日内，将招标项目名称、中标人名称、中标价、项目经理姓名(包括建造师等级和注册编号)，在湄洲湾职业技术学院网上(http://www.fjmzw.com/)</w:t>
      </w:r>
      <w:r>
        <w:rPr>
          <w:rStyle w:val="71"/>
          <w:rFonts w:hint="eastAsia" w:ascii="宋体" w:hAnsi="宋体"/>
          <w:sz w:val="24"/>
        </w:rPr>
        <w:t>和</w:t>
      </w:r>
      <w:r>
        <w:rPr>
          <w:rStyle w:val="71"/>
          <w:rFonts w:hint="eastAsia" w:ascii="宋体" w:hAnsi="宋体"/>
          <w:sz w:val="24"/>
          <w:lang w:eastAsia="zh-CN"/>
        </w:rPr>
        <w:t>新点电子交易平台-福建专区</w:t>
      </w:r>
      <w:r>
        <w:rPr>
          <w:rStyle w:val="71"/>
          <w:rFonts w:ascii="宋体" w:hAnsi="宋体"/>
          <w:sz w:val="24"/>
        </w:rPr>
        <w:t>（https://www.enjoy5191.com/）</w:t>
      </w:r>
      <w:r>
        <w:rPr>
          <w:rFonts w:hint="eastAsia" w:ascii="宋体" w:hAnsi="宋体"/>
          <w:sz w:val="24"/>
        </w:rPr>
        <w:t>公示。</w:t>
      </w:r>
    </w:p>
    <w:p w14:paraId="684016BE">
      <w:pPr>
        <w:spacing w:line="440" w:lineRule="exact"/>
        <w:ind w:firstLine="482" w:firstLineChars="200"/>
        <w:jc w:val="left"/>
        <w:rPr>
          <w:rFonts w:hint="eastAsia" w:ascii="宋体" w:hAnsi="宋体"/>
          <w:b/>
          <w:sz w:val="24"/>
        </w:rPr>
      </w:pPr>
      <w:r>
        <w:rPr>
          <w:rFonts w:hint="eastAsia" w:ascii="宋体" w:hAnsi="宋体"/>
          <w:b/>
          <w:sz w:val="24"/>
        </w:rPr>
        <w:t>27.2</w:t>
      </w:r>
      <w:r>
        <w:rPr>
          <w:rFonts w:hint="eastAsia" w:ascii="宋体" w:hAnsi="宋体"/>
          <w:sz w:val="24"/>
        </w:rPr>
        <w:t>招标人应当自中标结果公示结束且无接到投诉之日起的3日内向中标单位发出中标通知书。</w:t>
      </w:r>
    </w:p>
    <w:p w14:paraId="053684E7">
      <w:pPr>
        <w:spacing w:line="440" w:lineRule="exact"/>
        <w:ind w:firstLine="482" w:firstLineChars="200"/>
        <w:jc w:val="left"/>
        <w:rPr>
          <w:rFonts w:hint="eastAsia" w:ascii="宋体" w:hAnsi="宋体"/>
          <w:b/>
          <w:sz w:val="24"/>
        </w:rPr>
      </w:pPr>
      <w:r>
        <w:rPr>
          <w:rFonts w:hint="eastAsia" w:ascii="宋体" w:hAnsi="宋体"/>
          <w:b/>
          <w:sz w:val="24"/>
        </w:rPr>
        <w:t>28.附则</w:t>
      </w:r>
    </w:p>
    <w:p w14:paraId="65BA6785">
      <w:pPr>
        <w:spacing w:line="440" w:lineRule="exact"/>
        <w:ind w:firstLine="480" w:firstLineChars="200"/>
        <w:jc w:val="left"/>
        <w:rPr>
          <w:rFonts w:hint="eastAsia" w:ascii="宋体" w:hAnsi="宋体"/>
          <w:sz w:val="24"/>
        </w:rPr>
      </w:pPr>
      <w:r>
        <w:rPr>
          <w:rFonts w:hint="eastAsia" w:ascii="宋体" w:hAnsi="宋体"/>
          <w:sz w:val="24"/>
        </w:rPr>
        <w:t>28.1在评标定标过程中，投标人须准备好与投标有关的证书、证明资料原件随时备查，如有必要，招标人将要求投标人在一个小时内提交证书、证明资料原件核对，投标人不能按时提交的，资格审查小组可以对有疑议的资料复印件作出不利于投标人的认定。</w:t>
      </w:r>
    </w:p>
    <w:p w14:paraId="5FD7BE85">
      <w:pPr>
        <w:spacing w:line="440" w:lineRule="exact"/>
        <w:ind w:firstLine="480" w:firstLineChars="200"/>
        <w:jc w:val="left"/>
        <w:rPr>
          <w:rFonts w:hint="eastAsia" w:ascii="宋体" w:hAnsi="宋体"/>
          <w:color w:val="0000FF"/>
          <w:sz w:val="24"/>
        </w:rPr>
      </w:pPr>
      <w:r>
        <w:rPr>
          <w:rFonts w:hint="eastAsia" w:ascii="宋体" w:hAnsi="宋体"/>
          <w:color w:val="0000FF"/>
          <w:sz w:val="24"/>
        </w:rPr>
        <w:t>28.2在评标过程中，资格审查小组要求投标人作出澄清的，投标人的法定代表人或其委托代理人或项目经理须在一个小时内到达评标地点，向资格审查小组作出书面澄清。投标人未能按上述规定作出书面澄清的，则资格审查小组可以按不利于投标人的情形认定。</w:t>
      </w:r>
    </w:p>
    <w:p w14:paraId="53EE825B">
      <w:pPr>
        <w:pStyle w:val="39"/>
        <w:ind w:firstLine="480"/>
        <w:rPr>
          <w:rFonts w:hint="eastAsia" w:hAnsi="宋体"/>
          <w:color w:val="0000FF"/>
          <w:sz w:val="24"/>
        </w:rPr>
      </w:pPr>
      <w:r>
        <w:rPr>
          <w:rFonts w:hint="eastAsia" w:hAnsi="宋体"/>
          <w:color w:val="0000FF"/>
          <w:sz w:val="24"/>
        </w:rPr>
        <w:t>28.3本项目招标代理费按照</w:t>
      </w:r>
      <w:r>
        <w:rPr>
          <w:rFonts w:hint="eastAsia" w:hAnsi="宋体"/>
          <w:color w:val="0000FF"/>
          <w:sz w:val="24"/>
          <w:lang w:val="en-US" w:eastAsia="zh-CN"/>
        </w:rPr>
        <w:t>12000元</w:t>
      </w:r>
      <w:r>
        <w:rPr>
          <w:rFonts w:hint="eastAsia" w:hAnsi="宋体"/>
          <w:color w:val="0000FF"/>
          <w:sz w:val="24"/>
        </w:rPr>
        <w:t>计取，由三家候选单位共同承担（即每家中标候选单位支付总代理费的三分之一</w:t>
      </w:r>
      <w:r>
        <w:rPr>
          <w:rFonts w:hint="eastAsia" w:hAnsi="宋体"/>
          <w:color w:val="0000FF"/>
          <w:sz w:val="24"/>
          <w:lang w:val="en-US" w:eastAsia="zh-CN"/>
        </w:rPr>
        <w:t>为4000元</w:t>
      </w:r>
      <w:r>
        <w:rPr>
          <w:rFonts w:hint="eastAsia" w:hAnsi="宋体"/>
          <w:color w:val="0000FF"/>
          <w:sz w:val="24"/>
        </w:rPr>
        <w:t>）。由中标单位在领取中标通知书时支付。</w:t>
      </w:r>
    </w:p>
    <w:p w14:paraId="63B44DB5">
      <w:pPr>
        <w:spacing w:before="120" w:line="440" w:lineRule="exact"/>
        <w:jc w:val="center"/>
        <w:rPr>
          <w:rFonts w:hint="eastAsia" w:ascii="宋体" w:hAnsi="宋体"/>
          <w:b/>
          <w:sz w:val="30"/>
          <w:szCs w:val="30"/>
        </w:rPr>
      </w:pPr>
      <w:r>
        <w:rPr>
          <w:rFonts w:hint="eastAsia" w:ascii="宋体" w:hAnsi="宋体"/>
          <w:b/>
          <w:sz w:val="30"/>
          <w:szCs w:val="30"/>
        </w:rPr>
        <w:t xml:space="preserve"> (五)授予合同</w:t>
      </w:r>
    </w:p>
    <w:p w14:paraId="53D2297A">
      <w:pPr>
        <w:spacing w:line="440" w:lineRule="exact"/>
        <w:ind w:firstLine="482" w:firstLineChars="200"/>
        <w:jc w:val="left"/>
        <w:rPr>
          <w:rFonts w:hint="eastAsia" w:ascii="宋体" w:hAnsi="宋体"/>
          <w:b/>
          <w:sz w:val="24"/>
        </w:rPr>
      </w:pPr>
      <w:r>
        <w:rPr>
          <w:rFonts w:hint="eastAsia" w:ascii="宋体" w:hAnsi="宋体"/>
          <w:b/>
          <w:sz w:val="24"/>
        </w:rPr>
        <w:t>29.签订合同</w:t>
      </w:r>
    </w:p>
    <w:p w14:paraId="23701B66">
      <w:pPr>
        <w:spacing w:line="440" w:lineRule="exact"/>
        <w:ind w:firstLine="482" w:firstLineChars="200"/>
        <w:jc w:val="left"/>
        <w:rPr>
          <w:rFonts w:hint="eastAsia" w:ascii="宋体" w:hAnsi="宋体"/>
          <w:b/>
          <w:sz w:val="24"/>
        </w:rPr>
      </w:pPr>
      <w:r>
        <w:rPr>
          <w:rFonts w:hint="eastAsia" w:ascii="宋体" w:hAnsi="宋体"/>
          <w:b/>
          <w:sz w:val="24"/>
        </w:rPr>
        <w:t>29.1</w:t>
      </w:r>
      <w:r>
        <w:rPr>
          <w:rFonts w:hint="eastAsia" w:ascii="宋体" w:hAnsi="宋体"/>
          <w:sz w:val="24"/>
        </w:rPr>
        <w:t>招标人与中标人应于中标通知书发出之日起7个工作日内，按照中标通知书、招标文件和中标人的投标文件签订《建设工程施工合同》，双方不得再进行订立背离招标文件实质性内容的其他协议。</w:t>
      </w:r>
    </w:p>
    <w:p w14:paraId="1DA000D8">
      <w:pPr>
        <w:spacing w:line="440" w:lineRule="exact"/>
        <w:ind w:firstLine="482" w:firstLineChars="200"/>
        <w:jc w:val="left"/>
        <w:rPr>
          <w:rFonts w:hint="eastAsia" w:ascii="宋体" w:hAnsi="宋体"/>
          <w:b/>
          <w:sz w:val="24"/>
        </w:rPr>
      </w:pPr>
      <w:r>
        <w:rPr>
          <w:rFonts w:hint="eastAsia" w:ascii="宋体" w:hAnsi="宋体"/>
          <w:b/>
          <w:sz w:val="24"/>
        </w:rPr>
        <w:t xml:space="preserve">29.2 </w:t>
      </w:r>
      <w:r>
        <w:rPr>
          <w:rFonts w:hint="eastAsia" w:ascii="宋体" w:hAnsi="宋体"/>
          <w:sz w:val="24"/>
        </w:rPr>
        <w:t>中标人不按期与建设单位签订施工合同的，取消中标资格，没收投标保证金。</w:t>
      </w:r>
    </w:p>
    <w:p w14:paraId="4AAE6B98">
      <w:pPr>
        <w:spacing w:line="440" w:lineRule="exact"/>
        <w:ind w:firstLine="482" w:firstLineChars="200"/>
        <w:jc w:val="left"/>
        <w:rPr>
          <w:rFonts w:hint="eastAsia" w:ascii="宋体" w:hAnsi="宋体"/>
          <w:b/>
          <w:sz w:val="24"/>
        </w:rPr>
      </w:pPr>
      <w:r>
        <w:rPr>
          <w:rFonts w:hint="eastAsia" w:ascii="宋体" w:hAnsi="宋体"/>
          <w:b/>
          <w:sz w:val="24"/>
        </w:rPr>
        <w:t>30.履约保证金</w:t>
      </w:r>
    </w:p>
    <w:p w14:paraId="219B59F5">
      <w:pPr>
        <w:widowControl/>
        <w:wordWrap w:val="0"/>
        <w:snapToGrid w:val="0"/>
        <w:spacing w:line="440" w:lineRule="exact"/>
        <w:ind w:firstLine="480" w:firstLineChars="200"/>
        <w:jc w:val="left"/>
        <w:rPr>
          <w:rFonts w:hint="eastAsia" w:ascii="宋体" w:hAnsi="宋体"/>
          <w:sz w:val="24"/>
        </w:rPr>
      </w:pPr>
      <w:r>
        <w:rPr>
          <w:rFonts w:hint="eastAsia" w:ascii="宋体" w:hAnsi="宋体"/>
          <w:sz w:val="24"/>
        </w:rPr>
        <w:t>30.1</w:t>
      </w:r>
      <w:r>
        <w:rPr>
          <w:rFonts w:hint="eastAsia" w:ascii="宋体" w:hAnsi="宋体"/>
          <w:color w:val="0000FF"/>
          <w:sz w:val="24"/>
        </w:rPr>
        <w:t>中标人在签定施工合同时，应向招标人提交履约保证金，履约保证金总额按24万元由三家候选单位共同提供（即按一家单位8万元计取）</w:t>
      </w:r>
      <w:r>
        <w:rPr>
          <w:rFonts w:hint="eastAsia" w:ascii="宋体" w:hAnsi="宋体"/>
          <w:sz w:val="24"/>
        </w:rPr>
        <w:t>。履约保证金应采用</w:t>
      </w:r>
      <w:r>
        <w:rPr>
          <w:rFonts w:hint="eastAsia" w:ascii="宋体" w:hAnsi="宋体"/>
          <w:b/>
          <w:bCs/>
          <w:sz w:val="24"/>
          <w:u w:val="single"/>
        </w:rPr>
        <w:t>现金转账或银行保函、保险保函、担保保函</w:t>
      </w:r>
      <w:r>
        <w:rPr>
          <w:rFonts w:hint="eastAsia" w:ascii="宋体" w:hAnsi="宋体"/>
          <w:sz w:val="24"/>
        </w:rPr>
        <w:t>的方式提交。（履约保证金以现金形式递交的，应由中标单位企业基本账户转到招标人指定银行账户。）</w:t>
      </w:r>
    </w:p>
    <w:p w14:paraId="1F74C576">
      <w:pPr>
        <w:wordWrap w:val="0"/>
        <w:spacing w:line="480" w:lineRule="exact"/>
        <w:ind w:firstLine="480" w:firstLineChars="200"/>
        <w:jc w:val="left"/>
        <w:rPr>
          <w:rFonts w:hint="eastAsia" w:ascii="宋体" w:hAnsi="宋体"/>
          <w:sz w:val="24"/>
        </w:rPr>
      </w:pPr>
      <w:r>
        <w:rPr>
          <w:rFonts w:hint="eastAsia" w:ascii="宋体" w:hAnsi="宋体"/>
          <w:sz w:val="24"/>
        </w:rPr>
        <w:t>①以现金方式提交的履约保证金的，应由中标单位企业基本账户转到招标人指定银行账户，有效期应当截止到工程施工合同规定的工程竣工验收合格之日；履约保证金在完成施工合同约定的施工项目并通过工程竣工质量验收后，凭工程质量验收合格证明申请无息返还履约保证金。</w:t>
      </w:r>
    </w:p>
    <w:p w14:paraId="573EBB41">
      <w:pPr>
        <w:wordWrap w:val="0"/>
        <w:spacing w:line="480" w:lineRule="exact"/>
        <w:ind w:firstLine="480" w:firstLineChars="200"/>
        <w:jc w:val="left"/>
        <w:rPr>
          <w:rFonts w:hint="eastAsia" w:ascii="宋体" w:hAnsi="宋体"/>
          <w:sz w:val="24"/>
        </w:rPr>
      </w:pPr>
      <w:r>
        <w:rPr>
          <w:rFonts w:hint="eastAsia" w:ascii="宋体" w:hAnsi="宋体"/>
          <w:sz w:val="24"/>
        </w:rPr>
        <w:t>②</w:t>
      </w:r>
      <w:r>
        <w:rPr>
          <w:rFonts w:hint="eastAsia" w:ascii="宋体" w:hAnsi="宋体"/>
          <w:bCs/>
          <w:sz w:val="24"/>
          <w:u w:val="single"/>
        </w:rPr>
        <w:t>根据国务院办公厅关于清理规范工程建设领域保证金的通知国办发〔2016〕49号、闽政办[2016]146号、建市〔2016〕149号、莆建管〔2016〕127号文件要求，若履约保证金采用银行保函形式的，须履行以下条款：</w:t>
      </w:r>
    </w:p>
    <w:p w14:paraId="442F65DE">
      <w:pPr>
        <w:numPr>
          <w:ilvl w:val="0"/>
          <w:numId w:val="5"/>
        </w:numPr>
        <w:wordWrap w:val="0"/>
        <w:spacing w:line="480" w:lineRule="exact"/>
        <w:ind w:firstLine="480" w:firstLineChars="200"/>
        <w:jc w:val="left"/>
        <w:rPr>
          <w:rFonts w:hint="eastAsia" w:ascii="宋体" w:hAnsi="宋体"/>
          <w:bCs/>
          <w:sz w:val="24"/>
          <w:u w:val="single"/>
        </w:rPr>
      </w:pPr>
      <w:r>
        <w:rPr>
          <w:rFonts w:hint="eastAsia" w:ascii="宋体" w:hAnsi="宋体"/>
          <w:bCs/>
          <w:sz w:val="24"/>
          <w:u w:val="single"/>
        </w:rPr>
        <w:t>在担保有效期内，因中标人原因导致工程无法如期顺利施工的；或因中标人违反招标文件、合同约定的义务及相关部门文件给招标人造成经济损失的，招标人有权要求担保人在7天内无条件先行赔付。</w:t>
      </w:r>
    </w:p>
    <w:p w14:paraId="27A2F712">
      <w:pPr>
        <w:numPr>
          <w:ilvl w:val="0"/>
          <w:numId w:val="5"/>
        </w:numPr>
        <w:wordWrap w:val="0"/>
        <w:spacing w:line="480" w:lineRule="exact"/>
        <w:ind w:firstLine="480" w:firstLineChars="200"/>
        <w:jc w:val="left"/>
        <w:rPr>
          <w:rFonts w:hint="eastAsia" w:ascii="宋体" w:hAnsi="宋体"/>
          <w:bCs/>
          <w:sz w:val="24"/>
          <w:u w:val="single"/>
        </w:rPr>
      </w:pPr>
      <w:r>
        <w:rPr>
          <w:rFonts w:hint="eastAsia" w:ascii="宋体" w:hAnsi="宋体"/>
          <w:bCs/>
          <w:sz w:val="24"/>
          <w:u w:val="single"/>
        </w:rPr>
        <w:t>（如保函有效期为具体日期的）过期：履约保函有效期截止日前一个月内，中标人需提供等额等内容的新履约保函，如若中标人未提供新履约保函，招标人将暂停支付一切工程款项，同时自保函过期之日起，招标人有权在合同款项中按担保金额的1%或3000元/天（以高者为准）扣罚相应违约金。</w:t>
      </w:r>
    </w:p>
    <w:p w14:paraId="1B70D4D1">
      <w:pPr>
        <w:numPr>
          <w:ilvl w:val="0"/>
          <w:numId w:val="5"/>
        </w:numPr>
        <w:wordWrap w:val="0"/>
        <w:spacing w:line="480" w:lineRule="exact"/>
        <w:ind w:firstLine="480" w:firstLineChars="200"/>
        <w:jc w:val="left"/>
        <w:rPr>
          <w:rFonts w:hint="eastAsia" w:ascii="宋体" w:hAnsi="宋体"/>
          <w:bCs/>
          <w:sz w:val="24"/>
          <w:u w:val="single"/>
        </w:rPr>
      </w:pPr>
      <w:r>
        <w:rPr>
          <w:rFonts w:hint="eastAsia" w:ascii="宋体" w:hAnsi="宋体"/>
          <w:bCs/>
          <w:sz w:val="24"/>
          <w:u w:val="single"/>
        </w:rPr>
        <w:t>中标人提供的银行保函需有此条内容：在本保函有效期内，发包人有权发函担保单位，担保单位收到发包人的书面通知后，7天内无条件先行赔付。</w:t>
      </w:r>
    </w:p>
    <w:p w14:paraId="0D941419">
      <w:pPr>
        <w:numPr>
          <w:ilvl w:val="0"/>
          <w:numId w:val="5"/>
        </w:numPr>
        <w:wordWrap w:val="0"/>
        <w:spacing w:line="480" w:lineRule="exact"/>
        <w:ind w:firstLine="480" w:firstLineChars="200"/>
        <w:jc w:val="left"/>
        <w:rPr>
          <w:rFonts w:hint="eastAsia" w:ascii="宋体" w:hAnsi="宋体"/>
          <w:bCs/>
          <w:sz w:val="24"/>
          <w:u w:val="single"/>
        </w:rPr>
      </w:pPr>
      <w:r>
        <w:rPr>
          <w:rFonts w:hint="eastAsia" w:ascii="宋体" w:hAnsi="宋体"/>
          <w:bCs/>
          <w:sz w:val="24"/>
          <w:u w:val="single"/>
        </w:rPr>
        <w:t>因政策性、征地拆迁等原因，造成项目工期拖延的，乙方需无条件出具延期银行保函。</w:t>
      </w:r>
    </w:p>
    <w:p w14:paraId="31913DB3">
      <w:pPr>
        <w:numPr>
          <w:ilvl w:val="0"/>
          <w:numId w:val="5"/>
        </w:numPr>
        <w:wordWrap w:val="0"/>
        <w:spacing w:line="480" w:lineRule="exact"/>
        <w:ind w:firstLine="480" w:firstLineChars="200"/>
        <w:jc w:val="left"/>
        <w:rPr>
          <w:rFonts w:hint="eastAsia" w:ascii="宋体" w:hAnsi="宋体"/>
          <w:bCs/>
          <w:sz w:val="24"/>
          <w:u w:val="single"/>
        </w:rPr>
      </w:pPr>
      <w:r>
        <w:rPr>
          <w:rFonts w:hint="eastAsia" w:ascii="宋体" w:hAnsi="宋体"/>
          <w:bCs/>
          <w:sz w:val="24"/>
          <w:u w:val="single"/>
        </w:rPr>
        <w:t>履约担保以银行保函递交的，需按照莆田市住房和城乡建设局关于修订《进一步规范房屋建筑和市政基础设施工程投标、履约和质量保证金管理工作》的通知（莆建管〔2021〕4号）执行。</w:t>
      </w:r>
    </w:p>
    <w:p w14:paraId="27ED3AA3">
      <w:pPr>
        <w:numPr>
          <w:ilvl w:val="0"/>
          <w:numId w:val="5"/>
        </w:numPr>
        <w:wordWrap w:val="0"/>
        <w:spacing w:line="480" w:lineRule="exact"/>
        <w:ind w:firstLine="480" w:firstLineChars="200"/>
        <w:jc w:val="left"/>
        <w:rPr>
          <w:rFonts w:hint="eastAsia" w:ascii="宋体" w:hAnsi="宋体"/>
          <w:bCs/>
          <w:sz w:val="24"/>
          <w:u w:val="single"/>
        </w:rPr>
      </w:pPr>
      <w:r>
        <w:rPr>
          <w:rFonts w:hint="eastAsia" w:ascii="宋体" w:hAnsi="宋体"/>
          <w:bCs/>
          <w:sz w:val="24"/>
          <w:u w:val="single"/>
        </w:rPr>
        <w:t>若担保人无法履行履约保函约定的条款的，中标人需在3日内以现金转账形式向招标人提交全额履约保证金，否则承担担保金额20%的违约金。</w:t>
      </w:r>
    </w:p>
    <w:p w14:paraId="5C5C918B">
      <w:pPr>
        <w:wordWrap w:val="0"/>
        <w:spacing w:line="480" w:lineRule="exact"/>
        <w:ind w:firstLine="480" w:firstLineChars="200"/>
        <w:jc w:val="left"/>
        <w:rPr>
          <w:rFonts w:hint="eastAsia" w:ascii="宋体" w:hAnsi="宋体"/>
          <w:sz w:val="24"/>
        </w:rPr>
      </w:pPr>
      <w:r>
        <w:rPr>
          <w:rFonts w:hint="eastAsia" w:ascii="宋体" w:hAnsi="宋体"/>
          <w:sz w:val="24"/>
        </w:rPr>
        <w:t>采用银行保函 、保险保函、担保保函的，保函有效期必须延续到工程竣工验收合格后28日内。若保函时效没有达到上述规定，必须补足时效，否则，招标人将不支付工程款。（备注：银行保函、担保保函应能够通过互联网验证真伪，保证人应是中华人民共和国境内注册的有资格的银行、专业担保公司，并提供在线申请索赔服务。担保人或保险人应当承诺在收到被担保人或被保险人书面赔付通知后7日内无条件先行赔付。</w:t>
      </w:r>
    </w:p>
    <w:p w14:paraId="2373AA2D">
      <w:pPr>
        <w:spacing w:line="360" w:lineRule="exact"/>
        <w:ind w:firstLine="480" w:firstLineChars="200"/>
        <w:jc w:val="left"/>
        <w:rPr>
          <w:rFonts w:hint="eastAsia" w:ascii="宋体" w:hAnsi="宋体"/>
          <w:sz w:val="24"/>
        </w:rPr>
      </w:pPr>
      <w:r>
        <w:rPr>
          <w:rFonts w:hint="eastAsia" w:ascii="宋体" w:hAnsi="宋体"/>
          <w:sz w:val="24"/>
        </w:rPr>
        <w:t>30.2履约保证金的扣除</w:t>
      </w:r>
    </w:p>
    <w:p w14:paraId="5C479A1E">
      <w:pPr>
        <w:spacing w:line="420" w:lineRule="atLeast"/>
        <w:ind w:firstLine="480" w:firstLineChars="200"/>
        <w:jc w:val="left"/>
        <w:rPr>
          <w:rFonts w:hint="eastAsia" w:ascii="宋体" w:hAnsi="宋体"/>
          <w:sz w:val="24"/>
        </w:rPr>
      </w:pPr>
      <w:r>
        <w:rPr>
          <w:rFonts w:hint="eastAsia" w:ascii="宋体" w:hAnsi="宋体"/>
          <w:sz w:val="24"/>
        </w:rPr>
        <w:t>a、中标人在签订施工合同后不按招标人通知立即组织施工或发现承包人非法分包、转包工程，招标人有权扣除其全部履约保证金并另行确定承包人；</w:t>
      </w:r>
    </w:p>
    <w:p w14:paraId="320B1543">
      <w:pPr>
        <w:spacing w:line="420" w:lineRule="atLeast"/>
        <w:ind w:firstLine="480" w:firstLineChars="200"/>
        <w:jc w:val="left"/>
        <w:rPr>
          <w:rFonts w:hint="eastAsia" w:ascii="宋体" w:hAnsi="宋体"/>
          <w:sz w:val="24"/>
        </w:rPr>
      </w:pPr>
      <w:r>
        <w:rPr>
          <w:rFonts w:hint="eastAsia" w:ascii="宋体" w:hAnsi="宋体"/>
          <w:sz w:val="24"/>
        </w:rPr>
        <w:t>b、中标人没有按规定工期完成全部工程，每延误一天，扣除履约保证金2000元；</w:t>
      </w:r>
    </w:p>
    <w:p w14:paraId="41A91E22">
      <w:pPr>
        <w:spacing w:line="420" w:lineRule="atLeast"/>
        <w:ind w:firstLine="480" w:firstLineChars="200"/>
        <w:jc w:val="left"/>
        <w:rPr>
          <w:rFonts w:hint="eastAsia" w:ascii="宋体" w:hAnsi="宋体"/>
          <w:sz w:val="24"/>
        </w:rPr>
      </w:pPr>
      <w:r>
        <w:rPr>
          <w:rFonts w:hint="eastAsia" w:ascii="宋体" w:hAnsi="宋体"/>
          <w:sz w:val="24"/>
        </w:rPr>
        <w:t>c、经验收工程达不到规定质量标准，招标人扣除全部履约保证金，此项扣除并不排除承包人返工直至达到质量合格标准；</w:t>
      </w:r>
    </w:p>
    <w:p w14:paraId="2D4DA37A">
      <w:pPr>
        <w:spacing w:line="420" w:lineRule="atLeast"/>
        <w:ind w:firstLine="480" w:firstLineChars="200"/>
        <w:jc w:val="left"/>
        <w:rPr>
          <w:rFonts w:hint="eastAsia" w:ascii="宋体" w:hAnsi="宋体"/>
          <w:sz w:val="24"/>
        </w:rPr>
      </w:pPr>
      <w:r>
        <w:rPr>
          <w:rFonts w:hint="eastAsia" w:ascii="宋体" w:hAnsi="宋体"/>
          <w:sz w:val="24"/>
        </w:rPr>
        <w:t>d、在合同违约终止的情况下，招标人有权扣除全部履约保证金。</w:t>
      </w:r>
    </w:p>
    <w:p w14:paraId="5D363021">
      <w:pPr>
        <w:spacing w:before="120" w:line="440" w:lineRule="exact"/>
        <w:ind w:firstLine="3313" w:firstLineChars="1100"/>
        <w:rPr>
          <w:rFonts w:hint="eastAsia" w:ascii="宋体" w:hAnsi="宋体"/>
          <w:b/>
          <w:sz w:val="30"/>
          <w:szCs w:val="30"/>
        </w:rPr>
      </w:pPr>
      <w:r>
        <w:rPr>
          <w:rFonts w:hint="eastAsia" w:ascii="宋体" w:hAnsi="宋体"/>
          <w:b/>
          <w:sz w:val="30"/>
          <w:szCs w:val="30"/>
        </w:rPr>
        <w:t>(六)标后管理</w:t>
      </w:r>
    </w:p>
    <w:p w14:paraId="036ED514">
      <w:pPr>
        <w:spacing w:line="440" w:lineRule="exact"/>
        <w:ind w:firstLine="482" w:firstLineChars="200"/>
        <w:jc w:val="left"/>
        <w:rPr>
          <w:rFonts w:hint="eastAsia" w:ascii="宋体" w:hAnsi="宋体"/>
          <w:b/>
          <w:sz w:val="24"/>
        </w:rPr>
      </w:pPr>
      <w:r>
        <w:rPr>
          <w:rFonts w:hint="eastAsia" w:ascii="宋体" w:hAnsi="宋体"/>
          <w:b/>
          <w:sz w:val="24"/>
        </w:rPr>
        <w:t>31.标后管理</w:t>
      </w:r>
    </w:p>
    <w:p w14:paraId="7D83825A">
      <w:pPr>
        <w:spacing w:line="440" w:lineRule="exact"/>
        <w:ind w:firstLine="480" w:firstLineChars="200"/>
        <w:jc w:val="left"/>
        <w:rPr>
          <w:rFonts w:hint="eastAsia" w:ascii="宋体" w:hAnsi="宋体"/>
          <w:sz w:val="24"/>
        </w:rPr>
      </w:pPr>
      <w:r>
        <w:rPr>
          <w:rFonts w:hint="eastAsia" w:ascii="宋体" w:hAnsi="宋体"/>
          <w:sz w:val="24"/>
        </w:rPr>
        <w:t>31.1本招标项目的标后监督管理按照现行法律法规、部门规章和莆田市人民政府及其授权的招投标行政监督部门颁发的规范性文件执行。</w:t>
      </w:r>
    </w:p>
    <w:p w14:paraId="634338A0">
      <w:pPr>
        <w:spacing w:line="440" w:lineRule="exact"/>
        <w:ind w:firstLine="480" w:firstLineChars="200"/>
        <w:jc w:val="left"/>
        <w:rPr>
          <w:rFonts w:hint="eastAsia" w:ascii="宋体" w:hAnsi="宋体"/>
          <w:sz w:val="24"/>
        </w:rPr>
      </w:pPr>
      <w:r>
        <w:rPr>
          <w:rFonts w:hint="eastAsia" w:ascii="宋体" w:hAnsi="宋体"/>
          <w:sz w:val="24"/>
        </w:rPr>
        <w:br w:type="page"/>
      </w:r>
    </w:p>
    <w:p w14:paraId="688A71C7">
      <w:pPr>
        <w:jc w:val="left"/>
        <w:rPr>
          <w:rFonts w:hint="eastAsia" w:ascii="宋体" w:hAnsi="宋体"/>
          <w:b/>
          <w:sz w:val="24"/>
        </w:rPr>
      </w:pPr>
      <w:r>
        <w:rPr>
          <w:rFonts w:hint="eastAsia" w:ascii="宋体" w:hAnsi="宋体"/>
          <w:b/>
          <w:sz w:val="24"/>
        </w:rPr>
        <w:t>附表1                    拟派出主要施工管理人员配备评审标准</w:t>
      </w:r>
    </w:p>
    <w:p w14:paraId="7A53E311">
      <w:pPr>
        <w:jc w:val="center"/>
        <w:rPr>
          <w:rFonts w:hint="eastAsia" w:ascii="宋体" w:hAnsi="宋体"/>
          <w:b/>
          <w:sz w:val="24"/>
        </w:rPr>
      </w:pPr>
    </w:p>
    <w:tbl>
      <w:tblPr>
        <w:tblStyle w:val="3"/>
        <w:tblW w:w="9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7"/>
        <w:gridCol w:w="683"/>
        <w:gridCol w:w="2118"/>
        <w:gridCol w:w="1484"/>
        <w:gridCol w:w="4185"/>
        <w:gridCol w:w="750"/>
      </w:tblGrid>
      <w:tr w14:paraId="5A9F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1" w:hRule="atLeast"/>
        </w:trPr>
        <w:tc>
          <w:tcPr>
            <w:tcW w:w="1250" w:type="dxa"/>
            <w:gridSpan w:val="2"/>
            <w:tcBorders>
              <w:top w:val="single" w:color="auto" w:sz="4" w:space="0"/>
              <w:left w:val="single" w:color="auto" w:sz="4" w:space="0"/>
              <w:bottom w:val="single" w:color="auto" w:sz="4" w:space="0"/>
              <w:right w:val="single" w:color="auto" w:sz="4" w:space="0"/>
            </w:tcBorders>
            <w:vAlign w:val="center"/>
          </w:tcPr>
          <w:p w14:paraId="6DEFB0A4">
            <w:pPr>
              <w:spacing w:line="480" w:lineRule="exact"/>
              <w:jc w:val="center"/>
              <w:rPr>
                <w:rFonts w:hint="eastAsia" w:ascii="宋体" w:hAnsi="宋体"/>
                <w:sz w:val="24"/>
              </w:rPr>
            </w:pPr>
            <w:r>
              <w:rPr>
                <w:rFonts w:hint="eastAsia" w:ascii="宋体" w:hAnsi="宋体"/>
                <w:sz w:val="24"/>
              </w:rPr>
              <w:t>项目内容</w:t>
            </w:r>
          </w:p>
        </w:tc>
        <w:tc>
          <w:tcPr>
            <w:tcW w:w="8537" w:type="dxa"/>
            <w:gridSpan w:val="4"/>
            <w:tcBorders>
              <w:top w:val="single" w:color="auto" w:sz="4" w:space="0"/>
              <w:left w:val="single" w:color="auto" w:sz="4" w:space="0"/>
              <w:bottom w:val="single" w:color="auto" w:sz="4" w:space="0"/>
              <w:right w:val="single" w:color="auto" w:sz="4" w:space="0"/>
            </w:tcBorders>
            <w:vAlign w:val="center"/>
          </w:tcPr>
          <w:p w14:paraId="5C350AB4">
            <w:pPr>
              <w:spacing w:line="480" w:lineRule="exact"/>
              <w:jc w:val="center"/>
              <w:rPr>
                <w:rFonts w:hint="eastAsia" w:ascii="宋体" w:hAnsi="宋体"/>
                <w:sz w:val="24"/>
              </w:rPr>
            </w:pPr>
            <w:r>
              <w:rPr>
                <w:rFonts w:hint="eastAsia" w:ascii="宋体" w:hAnsi="宋体"/>
                <w:sz w:val="24"/>
              </w:rPr>
              <w:t>评    审    标     准</w:t>
            </w:r>
          </w:p>
        </w:tc>
      </w:tr>
      <w:tr w14:paraId="6274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03" w:hRule="atLeast"/>
        </w:trPr>
        <w:tc>
          <w:tcPr>
            <w:tcW w:w="567" w:type="dxa"/>
            <w:vMerge w:val="restart"/>
            <w:tcBorders>
              <w:top w:val="single" w:color="auto" w:sz="4" w:space="0"/>
              <w:left w:val="single" w:color="auto" w:sz="4" w:space="0"/>
              <w:right w:val="single" w:color="auto" w:sz="4" w:space="0"/>
            </w:tcBorders>
            <w:vAlign w:val="center"/>
          </w:tcPr>
          <w:p w14:paraId="21F3C688">
            <w:pPr>
              <w:spacing w:line="480" w:lineRule="exact"/>
              <w:jc w:val="center"/>
              <w:rPr>
                <w:rFonts w:hint="eastAsia" w:ascii="宋体" w:hAnsi="宋体"/>
                <w:sz w:val="24"/>
              </w:rPr>
            </w:pPr>
            <w:r>
              <w:rPr>
                <w:rFonts w:hint="eastAsia" w:ascii="宋体" w:hAnsi="宋体"/>
                <w:sz w:val="24"/>
              </w:rPr>
              <w:t>项</w:t>
            </w:r>
          </w:p>
          <w:p w14:paraId="2C41F49A">
            <w:pPr>
              <w:spacing w:line="480" w:lineRule="exact"/>
              <w:jc w:val="center"/>
              <w:rPr>
                <w:rFonts w:hint="eastAsia" w:ascii="宋体" w:hAnsi="宋体"/>
                <w:sz w:val="24"/>
              </w:rPr>
            </w:pPr>
            <w:r>
              <w:rPr>
                <w:rFonts w:hint="eastAsia" w:ascii="宋体" w:hAnsi="宋体"/>
                <w:sz w:val="24"/>
              </w:rPr>
              <w:t>目</w:t>
            </w:r>
          </w:p>
          <w:p w14:paraId="7224EFF0">
            <w:pPr>
              <w:spacing w:line="480" w:lineRule="exact"/>
              <w:jc w:val="center"/>
              <w:rPr>
                <w:rFonts w:hint="eastAsia" w:ascii="宋体" w:hAnsi="宋体"/>
                <w:sz w:val="24"/>
              </w:rPr>
            </w:pPr>
            <w:r>
              <w:rPr>
                <w:rFonts w:hint="eastAsia" w:ascii="宋体" w:hAnsi="宋体"/>
                <w:sz w:val="24"/>
              </w:rPr>
              <w:t>管</w:t>
            </w:r>
          </w:p>
          <w:p w14:paraId="70BC05D0">
            <w:pPr>
              <w:spacing w:line="480" w:lineRule="exact"/>
              <w:jc w:val="center"/>
              <w:rPr>
                <w:rFonts w:hint="eastAsia" w:ascii="宋体" w:hAnsi="宋体"/>
                <w:sz w:val="24"/>
              </w:rPr>
            </w:pPr>
            <w:r>
              <w:rPr>
                <w:rFonts w:hint="eastAsia" w:ascii="宋体" w:hAnsi="宋体"/>
                <w:sz w:val="24"/>
              </w:rPr>
              <w:t>理</w:t>
            </w:r>
          </w:p>
          <w:p w14:paraId="262CF367">
            <w:pPr>
              <w:spacing w:line="480" w:lineRule="exact"/>
              <w:jc w:val="center"/>
              <w:rPr>
                <w:rFonts w:hint="eastAsia" w:ascii="宋体" w:hAnsi="宋体"/>
                <w:sz w:val="24"/>
              </w:rPr>
            </w:pPr>
            <w:r>
              <w:rPr>
                <w:rFonts w:hint="eastAsia" w:ascii="宋体" w:hAnsi="宋体"/>
                <w:sz w:val="24"/>
              </w:rPr>
              <w:t>班</w:t>
            </w:r>
          </w:p>
          <w:p w14:paraId="39367501">
            <w:pPr>
              <w:spacing w:line="480" w:lineRule="exact"/>
              <w:jc w:val="center"/>
              <w:rPr>
                <w:rFonts w:hint="eastAsia" w:ascii="宋体" w:hAnsi="宋体"/>
                <w:sz w:val="24"/>
              </w:rPr>
            </w:pPr>
            <w:r>
              <w:rPr>
                <w:rFonts w:hint="eastAsia" w:ascii="宋体" w:hAnsi="宋体"/>
                <w:sz w:val="24"/>
              </w:rPr>
              <w:t>子</w:t>
            </w:r>
          </w:p>
          <w:p w14:paraId="7FFFDDBB">
            <w:pPr>
              <w:spacing w:line="480" w:lineRule="exact"/>
              <w:jc w:val="center"/>
              <w:rPr>
                <w:rFonts w:hint="eastAsia" w:ascii="宋体" w:hAnsi="宋体"/>
                <w:sz w:val="24"/>
              </w:rPr>
            </w:pPr>
            <w:r>
              <w:rPr>
                <w:rFonts w:hint="eastAsia" w:ascii="宋体" w:hAnsi="宋体"/>
                <w:sz w:val="24"/>
              </w:rPr>
              <w:t>配</w:t>
            </w:r>
          </w:p>
          <w:p w14:paraId="792625A3">
            <w:pPr>
              <w:spacing w:line="480" w:lineRule="exact"/>
              <w:jc w:val="center"/>
              <w:rPr>
                <w:rFonts w:hint="eastAsia" w:ascii="宋体" w:hAnsi="宋体"/>
                <w:sz w:val="24"/>
              </w:rPr>
            </w:pPr>
            <w:r>
              <w:rPr>
                <w:rFonts w:hint="eastAsia" w:ascii="宋体" w:hAnsi="宋体"/>
                <w:sz w:val="24"/>
              </w:rPr>
              <w:t>备</w:t>
            </w:r>
          </w:p>
        </w:tc>
        <w:tc>
          <w:tcPr>
            <w:tcW w:w="683" w:type="dxa"/>
            <w:tcBorders>
              <w:top w:val="single" w:color="auto" w:sz="4" w:space="0"/>
              <w:left w:val="single" w:color="auto" w:sz="4" w:space="0"/>
              <w:bottom w:val="single" w:color="auto" w:sz="4" w:space="0"/>
              <w:right w:val="single" w:color="auto" w:sz="4" w:space="0"/>
            </w:tcBorders>
            <w:vAlign w:val="center"/>
          </w:tcPr>
          <w:p w14:paraId="5D52F7FE">
            <w:pPr>
              <w:spacing w:line="480" w:lineRule="exact"/>
              <w:jc w:val="center"/>
              <w:rPr>
                <w:rFonts w:hint="eastAsia" w:ascii="宋体" w:hAnsi="宋体"/>
                <w:sz w:val="24"/>
              </w:rPr>
            </w:pPr>
            <w:r>
              <w:rPr>
                <w:rFonts w:hint="eastAsia" w:ascii="宋体" w:hAnsi="宋体"/>
                <w:sz w:val="24"/>
              </w:rPr>
              <w:t>项</w:t>
            </w:r>
          </w:p>
          <w:p w14:paraId="672D3C0F">
            <w:pPr>
              <w:spacing w:line="480" w:lineRule="exact"/>
              <w:jc w:val="center"/>
              <w:rPr>
                <w:rFonts w:hint="eastAsia" w:ascii="宋体" w:hAnsi="宋体"/>
                <w:sz w:val="24"/>
              </w:rPr>
            </w:pPr>
            <w:r>
              <w:rPr>
                <w:rFonts w:hint="eastAsia" w:ascii="宋体" w:hAnsi="宋体"/>
                <w:sz w:val="24"/>
              </w:rPr>
              <w:t>目</w:t>
            </w:r>
          </w:p>
          <w:p w14:paraId="4D0DF685">
            <w:pPr>
              <w:spacing w:line="480" w:lineRule="exact"/>
              <w:jc w:val="center"/>
              <w:rPr>
                <w:rFonts w:hint="eastAsia" w:ascii="宋体" w:hAnsi="宋体"/>
                <w:sz w:val="24"/>
              </w:rPr>
            </w:pPr>
            <w:r>
              <w:rPr>
                <w:rFonts w:hint="eastAsia" w:ascii="宋体" w:hAnsi="宋体"/>
                <w:sz w:val="24"/>
              </w:rPr>
              <w:t>经</w:t>
            </w:r>
          </w:p>
          <w:p w14:paraId="65E7EF7A">
            <w:pPr>
              <w:spacing w:line="480" w:lineRule="exact"/>
              <w:jc w:val="center"/>
              <w:rPr>
                <w:rFonts w:hint="eastAsia" w:ascii="宋体" w:hAnsi="宋体"/>
                <w:sz w:val="24"/>
              </w:rPr>
            </w:pPr>
            <w:r>
              <w:rPr>
                <w:rFonts w:hint="eastAsia" w:ascii="宋体" w:hAnsi="宋体"/>
                <w:sz w:val="24"/>
              </w:rPr>
              <w:t>理</w:t>
            </w:r>
          </w:p>
        </w:tc>
        <w:tc>
          <w:tcPr>
            <w:tcW w:w="8537" w:type="dxa"/>
            <w:gridSpan w:val="4"/>
            <w:tcBorders>
              <w:top w:val="single" w:color="auto" w:sz="4" w:space="0"/>
              <w:left w:val="single" w:color="auto" w:sz="4" w:space="0"/>
              <w:bottom w:val="single" w:color="auto" w:sz="4" w:space="0"/>
              <w:right w:val="single" w:color="auto" w:sz="4" w:space="0"/>
            </w:tcBorders>
            <w:vAlign w:val="center"/>
          </w:tcPr>
          <w:p w14:paraId="555E66EC">
            <w:pPr>
              <w:spacing w:line="480" w:lineRule="exact"/>
              <w:ind w:firstLine="480" w:firstLineChars="200"/>
              <w:jc w:val="left"/>
              <w:rPr>
                <w:rFonts w:hint="eastAsia" w:ascii="宋体" w:hAnsi="宋体"/>
                <w:sz w:val="24"/>
              </w:rPr>
            </w:pPr>
            <w:r>
              <w:rPr>
                <w:rFonts w:hint="eastAsia" w:ascii="宋体" w:hAnsi="宋体"/>
                <w:sz w:val="24"/>
              </w:rPr>
              <w:t>拟派项目负责人应持有有效的不低于</w:t>
            </w:r>
            <w:r>
              <w:rPr>
                <w:rFonts w:hint="eastAsia" w:ascii="宋体" w:hAnsi="宋体"/>
                <w:sz w:val="24"/>
                <w:u w:val="single"/>
              </w:rPr>
              <w:t xml:space="preserve"> 二 </w:t>
            </w:r>
            <w:r>
              <w:rPr>
                <w:rFonts w:hint="eastAsia" w:ascii="宋体" w:hAnsi="宋体"/>
                <w:sz w:val="24"/>
              </w:rPr>
              <w:t>级</w:t>
            </w:r>
            <w:r>
              <w:rPr>
                <w:rFonts w:hint="eastAsia" w:ascii="宋体" w:hAnsi="宋体"/>
                <w:sz w:val="24"/>
                <w:u w:val="single"/>
              </w:rPr>
              <w:t xml:space="preserve">  </w:t>
            </w:r>
            <w:r>
              <w:rPr>
                <w:rFonts w:hint="eastAsia" w:ascii="宋体" w:hAnsi="宋体"/>
                <w:b/>
                <w:bCs/>
                <w:sz w:val="24"/>
                <w:u w:val="single"/>
              </w:rPr>
              <w:t>建筑工程或市政公用工程</w:t>
            </w:r>
            <w:r>
              <w:rPr>
                <w:rFonts w:hint="eastAsia" w:ascii="宋体" w:hAnsi="宋体"/>
                <w:sz w:val="24"/>
                <w:u w:val="single"/>
              </w:rPr>
              <w:t xml:space="preserve"> </w:t>
            </w:r>
            <w:r>
              <w:rPr>
                <w:rFonts w:hint="eastAsia" w:ascii="宋体" w:hAnsi="宋体"/>
                <w:sz w:val="24"/>
              </w:rPr>
              <w:t>(专业)建造师注册证书且通过</w:t>
            </w:r>
            <w:bookmarkStart w:id="3" w:name="_GoBack"/>
            <w:bookmarkEnd w:id="3"/>
            <w:r>
              <w:rPr>
                <w:rFonts w:hint="eastAsia" w:ascii="宋体" w:hAnsi="宋体"/>
                <w:sz w:val="24"/>
              </w:rPr>
              <w:t>年审有效，并持有</w:t>
            </w:r>
            <w:r>
              <w:rPr>
                <w:rFonts w:hint="eastAsia" w:ascii="宋体" w:hAnsi="宋体"/>
                <w:bCs/>
                <w:sz w:val="24"/>
              </w:rPr>
              <w:t>有效的安全生产考核合格证书(B证)。</w:t>
            </w:r>
            <w:r>
              <w:rPr>
                <w:rFonts w:hint="eastAsia" w:ascii="宋体" w:hAnsi="宋体"/>
                <w:sz w:val="24"/>
              </w:rPr>
              <w:t>项目负责人必须是投标人的在职职工(以建造师注册证书上的所属单位为准)。</w:t>
            </w:r>
          </w:p>
        </w:tc>
      </w:tr>
      <w:tr w14:paraId="22CC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0" w:hRule="atLeast"/>
        </w:trPr>
        <w:tc>
          <w:tcPr>
            <w:tcW w:w="567" w:type="dxa"/>
            <w:vMerge w:val="continue"/>
            <w:tcBorders>
              <w:left w:val="single" w:color="auto" w:sz="4" w:space="0"/>
              <w:right w:val="single" w:color="auto" w:sz="4" w:space="0"/>
            </w:tcBorders>
            <w:vAlign w:val="center"/>
          </w:tcPr>
          <w:p w14:paraId="3EA2BEBD">
            <w:pPr>
              <w:widowControl/>
              <w:spacing w:line="480" w:lineRule="exact"/>
              <w:jc w:val="center"/>
              <w:rPr>
                <w:rFonts w:hint="eastAsia" w:ascii="宋体" w:hAnsi="宋体"/>
                <w:sz w:val="24"/>
              </w:rPr>
            </w:pPr>
          </w:p>
        </w:tc>
        <w:tc>
          <w:tcPr>
            <w:tcW w:w="683" w:type="dxa"/>
            <w:vMerge w:val="restart"/>
            <w:tcBorders>
              <w:top w:val="single" w:color="auto" w:sz="4" w:space="0"/>
              <w:left w:val="single" w:color="auto" w:sz="4" w:space="0"/>
              <w:right w:val="single" w:color="auto" w:sz="4" w:space="0"/>
            </w:tcBorders>
            <w:vAlign w:val="center"/>
          </w:tcPr>
          <w:p w14:paraId="5358CD02">
            <w:pPr>
              <w:spacing w:line="480" w:lineRule="exact"/>
              <w:jc w:val="center"/>
              <w:rPr>
                <w:rFonts w:hint="eastAsia" w:ascii="宋体" w:hAnsi="宋体"/>
                <w:sz w:val="24"/>
              </w:rPr>
            </w:pPr>
            <w:r>
              <w:rPr>
                <w:rFonts w:hint="eastAsia" w:ascii="宋体" w:hAnsi="宋体"/>
                <w:sz w:val="24"/>
              </w:rPr>
              <w:t>其</w:t>
            </w:r>
          </w:p>
          <w:p w14:paraId="68B70662">
            <w:pPr>
              <w:spacing w:line="480" w:lineRule="exact"/>
              <w:jc w:val="center"/>
              <w:rPr>
                <w:rFonts w:hint="eastAsia" w:ascii="宋体" w:hAnsi="宋体"/>
                <w:sz w:val="24"/>
              </w:rPr>
            </w:pPr>
            <w:r>
              <w:rPr>
                <w:rFonts w:hint="eastAsia" w:ascii="宋体" w:hAnsi="宋体"/>
                <w:sz w:val="24"/>
              </w:rPr>
              <w:t>他</w:t>
            </w:r>
          </w:p>
          <w:p w14:paraId="0FCC0AEF">
            <w:pPr>
              <w:spacing w:line="480" w:lineRule="exact"/>
              <w:jc w:val="center"/>
              <w:rPr>
                <w:rFonts w:hint="eastAsia" w:ascii="宋体" w:hAnsi="宋体"/>
                <w:sz w:val="24"/>
              </w:rPr>
            </w:pPr>
            <w:r>
              <w:rPr>
                <w:rFonts w:hint="eastAsia" w:ascii="宋体" w:hAnsi="宋体"/>
                <w:sz w:val="24"/>
              </w:rPr>
              <w:t>人</w:t>
            </w:r>
          </w:p>
          <w:p w14:paraId="39DD4E54">
            <w:pPr>
              <w:spacing w:line="480" w:lineRule="exact"/>
              <w:jc w:val="center"/>
              <w:rPr>
                <w:rFonts w:hint="eastAsia" w:ascii="宋体" w:hAnsi="宋体"/>
                <w:sz w:val="24"/>
              </w:rPr>
            </w:pPr>
            <w:r>
              <w:rPr>
                <w:rFonts w:hint="eastAsia" w:ascii="宋体" w:hAnsi="宋体"/>
                <w:sz w:val="24"/>
              </w:rPr>
              <w:t>员</w:t>
            </w:r>
          </w:p>
        </w:tc>
        <w:tc>
          <w:tcPr>
            <w:tcW w:w="8537" w:type="dxa"/>
            <w:gridSpan w:val="4"/>
            <w:tcBorders>
              <w:top w:val="single" w:color="auto" w:sz="4" w:space="0"/>
              <w:left w:val="single" w:color="auto" w:sz="4" w:space="0"/>
              <w:bottom w:val="single" w:color="auto" w:sz="4" w:space="0"/>
              <w:right w:val="single" w:color="auto" w:sz="4" w:space="0"/>
            </w:tcBorders>
            <w:vAlign w:val="center"/>
          </w:tcPr>
          <w:p w14:paraId="0678C3E0">
            <w:pPr>
              <w:spacing w:line="480" w:lineRule="exact"/>
              <w:jc w:val="center"/>
              <w:rPr>
                <w:rFonts w:hint="eastAsia" w:ascii="宋体" w:hAnsi="宋体"/>
                <w:sz w:val="24"/>
              </w:rPr>
            </w:pPr>
            <w:r>
              <w:rPr>
                <w:rFonts w:hint="eastAsia" w:ascii="宋体" w:hAnsi="宋体"/>
                <w:sz w:val="24"/>
              </w:rPr>
              <w:t>其它人员配备至少应达到下列要求：</w:t>
            </w:r>
          </w:p>
        </w:tc>
      </w:tr>
      <w:tr w14:paraId="409B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8" w:hRule="atLeast"/>
        </w:trPr>
        <w:tc>
          <w:tcPr>
            <w:tcW w:w="567" w:type="dxa"/>
            <w:vMerge w:val="continue"/>
            <w:tcBorders>
              <w:left w:val="single" w:color="auto" w:sz="4" w:space="0"/>
              <w:right w:val="single" w:color="auto" w:sz="4" w:space="0"/>
            </w:tcBorders>
            <w:vAlign w:val="center"/>
          </w:tcPr>
          <w:p w14:paraId="5D70C937">
            <w:pPr>
              <w:widowControl/>
              <w:spacing w:line="480" w:lineRule="exact"/>
              <w:jc w:val="center"/>
              <w:rPr>
                <w:rFonts w:hint="eastAsia" w:ascii="宋体" w:hAnsi="宋体"/>
                <w:sz w:val="24"/>
              </w:rPr>
            </w:pPr>
          </w:p>
        </w:tc>
        <w:tc>
          <w:tcPr>
            <w:tcW w:w="683" w:type="dxa"/>
            <w:vMerge w:val="continue"/>
            <w:tcBorders>
              <w:left w:val="single" w:color="auto" w:sz="4" w:space="0"/>
              <w:right w:val="single" w:color="auto" w:sz="4" w:space="0"/>
            </w:tcBorders>
            <w:vAlign w:val="center"/>
          </w:tcPr>
          <w:p w14:paraId="3550E3A0">
            <w:pPr>
              <w:widowControl/>
              <w:spacing w:line="480" w:lineRule="exact"/>
              <w:jc w:val="center"/>
              <w:rPr>
                <w:rFonts w:hint="eastAsia" w:ascii="宋体" w:hAnsi="宋体"/>
                <w:sz w:val="24"/>
              </w:rPr>
            </w:pPr>
          </w:p>
        </w:tc>
        <w:tc>
          <w:tcPr>
            <w:tcW w:w="2118" w:type="dxa"/>
            <w:tcBorders>
              <w:top w:val="single" w:color="auto" w:sz="4" w:space="0"/>
              <w:left w:val="single" w:color="auto" w:sz="4" w:space="0"/>
              <w:bottom w:val="single" w:color="auto" w:sz="4" w:space="0"/>
              <w:right w:val="single" w:color="auto" w:sz="4" w:space="0"/>
            </w:tcBorders>
            <w:vAlign w:val="center"/>
          </w:tcPr>
          <w:p w14:paraId="51EDF487">
            <w:pPr>
              <w:spacing w:line="480" w:lineRule="exact"/>
              <w:jc w:val="center"/>
              <w:rPr>
                <w:rFonts w:hint="eastAsia" w:ascii="宋体" w:hAnsi="宋体"/>
                <w:sz w:val="24"/>
              </w:rPr>
            </w:pPr>
            <w:r>
              <w:rPr>
                <w:rFonts w:hint="eastAsia" w:ascii="宋体" w:hAnsi="宋体"/>
                <w:sz w:val="24"/>
              </w:rPr>
              <w:t>职  位</w:t>
            </w:r>
          </w:p>
        </w:tc>
        <w:tc>
          <w:tcPr>
            <w:tcW w:w="1484" w:type="dxa"/>
            <w:tcBorders>
              <w:top w:val="single" w:color="auto" w:sz="4" w:space="0"/>
              <w:left w:val="single" w:color="auto" w:sz="4" w:space="0"/>
              <w:bottom w:val="single" w:color="auto" w:sz="4" w:space="0"/>
              <w:right w:val="single" w:color="auto" w:sz="4" w:space="0"/>
            </w:tcBorders>
            <w:vAlign w:val="center"/>
          </w:tcPr>
          <w:p w14:paraId="4AEA0EA5">
            <w:pPr>
              <w:spacing w:line="480" w:lineRule="exact"/>
              <w:jc w:val="center"/>
              <w:rPr>
                <w:rFonts w:hint="eastAsia" w:ascii="宋体" w:hAnsi="宋体"/>
                <w:sz w:val="24"/>
              </w:rPr>
            </w:pPr>
            <w:r>
              <w:rPr>
                <w:rFonts w:hint="eastAsia" w:ascii="宋体" w:hAnsi="宋体"/>
                <w:sz w:val="24"/>
              </w:rPr>
              <w:t>最低数量</w:t>
            </w:r>
          </w:p>
          <w:p w14:paraId="52C45A16">
            <w:pPr>
              <w:spacing w:line="480" w:lineRule="exact"/>
              <w:jc w:val="center"/>
              <w:rPr>
                <w:rFonts w:hint="eastAsia" w:ascii="宋体" w:hAnsi="宋体"/>
                <w:sz w:val="24"/>
              </w:rPr>
            </w:pPr>
            <w:r>
              <w:rPr>
                <w:rFonts w:hint="eastAsia" w:ascii="宋体" w:hAnsi="宋体"/>
                <w:sz w:val="24"/>
              </w:rPr>
              <w:t>要求(人)</w:t>
            </w:r>
          </w:p>
        </w:tc>
        <w:tc>
          <w:tcPr>
            <w:tcW w:w="4185" w:type="dxa"/>
            <w:tcBorders>
              <w:top w:val="single" w:color="auto" w:sz="4" w:space="0"/>
              <w:left w:val="single" w:color="auto" w:sz="4" w:space="0"/>
              <w:bottom w:val="single" w:color="auto" w:sz="4" w:space="0"/>
              <w:right w:val="single" w:color="auto" w:sz="4" w:space="0"/>
            </w:tcBorders>
            <w:vAlign w:val="center"/>
          </w:tcPr>
          <w:p w14:paraId="5BF68510">
            <w:pPr>
              <w:spacing w:line="480" w:lineRule="exact"/>
              <w:jc w:val="center"/>
              <w:rPr>
                <w:rFonts w:hint="eastAsia" w:ascii="宋体" w:hAnsi="宋体"/>
                <w:sz w:val="24"/>
              </w:rPr>
            </w:pPr>
            <w:r>
              <w:rPr>
                <w:rFonts w:hint="eastAsia" w:ascii="宋体" w:hAnsi="宋体"/>
                <w:sz w:val="24"/>
              </w:rPr>
              <w:t>职称、岗位资格要求</w:t>
            </w:r>
          </w:p>
        </w:tc>
        <w:tc>
          <w:tcPr>
            <w:tcW w:w="750" w:type="dxa"/>
            <w:tcBorders>
              <w:top w:val="single" w:color="auto" w:sz="4" w:space="0"/>
              <w:left w:val="single" w:color="auto" w:sz="4" w:space="0"/>
              <w:bottom w:val="single" w:color="auto" w:sz="4" w:space="0"/>
              <w:right w:val="single" w:color="auto" w:sz="4" w:space="0"/>
            </w:tcBorders>
            <w:vAlign w:val="center"/>
          </w:tcPr>
          <w:p w14:paraId="0267A6C1">
            <w:pPr>
              <w:spacing w:line="480" w:lineRule="exact"/>
              <w:jc w:val="center"/>
              <w:rPr>
                <w:rFonts w:hint="eastAsia" w:ascii="宋体" w:hAnsi="宋体"/>
                <w:sz w:val="24"/>
              </w:rPr>
            </w:pPr>
            <w:r>
              <w:rPr>
                <w:rFonts w:hint="eastAsia" w:ascii="宋体" w:hAnsi="宋体"/>
                <w:sz w:val="24"/>
              </w:rPr>
              <w:t>备注</w:t>
            </w:r>
          </w:p>
        </w:tc>
      </w:tr>
      <w:tr w14:paraId="032E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72" w:hRule="exact"/>
        </w:trPr>
        <w:tc>
          <w:tcPr>
            <w:tcW w:w="567" w:type="dxa"/>
            <w:vMerge w:val="continue"/>
            <w:tcBorders>
              <w:left w:val="single" w:color="auto" w:sz="4" w:space="0"/>
              <w:right w:val="single" w:color="auto" w:sz="4" w:space="0"/>
            </w:tcBorders>
            <w:vAlign w:val="center"/>
          </w:tcPr>
          <w:p w14:paraId="43095641">
            <w:pPr>
              <w:widowControl/>
              <w:spacing w:line="480" w:lineRule="exact"/>
              <w:jc w:val="center"/>
              <w:rPr>
                <w:rFonts w:hint="eastAsia" w:ascii="宋体" w:hAnsi="宋体"/>
                <w:sz w:val="24"/>
              </w:rPr>
            </w:pPr>
          </w:p>
        </w:tc>
        <w:tc>
          <w:tcPr>
            <w:tcW w:w="683" w:type="dxa"/>
            <w:vMerge w:val="continue"/>
            <w:tcBorders>
              <w:left w:val="single" w:color="auto" w:sz="4" w:space="0"/>
              <w:right w:val="single" w:color="auto" w:sz="4" w:space="0"/>
            </w:tcBorders>
            <w:vAlign w:val="center"/>
          </w:tcPr>
          <w:p w14:paraId="1E5A3F6D">
            <w:pPr>
              <w:widowControl/>
              <w:spacing w:line="480" w:lineRule="exact"/>
              <w:jc w:val="center"/>
              <w:rPr>
                <w:rFonts w:hint="eastAsia" w:ascii="宋体" w:hAnsi="宋体"/>
                <w:sz w:val="24"/>
              </w:rPr>
            </w:pPr>
          </w:p>
        </w:tc>
        <w:tc>
          <w:tcPr>
            <w:tcW w:w="2118" w:type="dxa"/>
            <w:tcBorders>
              <w:top w:val="single" w:color="auto" w:sz="4" w:space="0"/>
              <w:left w:val="single" w:color="auto" w:sz="4" w:space="0"/>
              <w:bottom w:val="single" w:color="auto" w:sz="4" w:space="0"/>
              <w:right w:val="single" w:color="auto" w:sz="4" w:space="0"/>
            </w:tcBorders>
            <w:vAlign w:val="center"/>
          </w:tcPr>
          <w:p w14:paraId="0524C8A7">
            <w:pPr>
              <w:spacing w:line="500" w:lineRule="exact"/>
              <w:jc w:val="center"/>
              <w:rPr>
                <w:rFonts w:hint="eastAsia" w:ascii="宋体" w:hAnsi="宋体"/>
                <w:sz w:val="24"/>
              </w:rPr>
            </w:pPr>
            <w:r>
              <w:rPr>
                <w:rFonts w:hint="eastAsia" w:ascii="宋体" w:hAnsi="宋体"/>
                <w:sz w:val="24"/>
              </w:rPr>
              <w:t>项目技术负责人</w:t>
            </w:r>
          </w:p>
        </w:tc>
        <w:tc>
          <w:tcPr>
            <w:tcW w:w="1484" w:type="dxa"/>
            <w:tcBorders>
              <w:top w:val="single" w:color="auto" w:sz="4" w:space="0"/>
              <w:left w:val="single" w:color="auto" w:sz="4" w:space="0"/>
              <w:bottom w:val="single" w:color="auto" w:sz="4" w:space="0"/>
              <w:right w:val="single" w:color="auto" w:sz="4" w:space="0"/>
            </w:tcBorders>
            <w:vAlign w:val="center"/>
          </w:tcPr>
          <w:p w14:paraId="796043D8">
            <w:pPr>
              <w:spacing w:line="500" w:lineRule="exact"/>
              <w:jc w:val="center"/>
              <w:rPr>
                <w:rFonts w:hint="eastAsia" w:ascii="宋体" w:hAnsi="宋体"/>
                <w:sz w:val="24"/>
              </w:rPr>
            </w:pPr>
            <w:r>
              <w:rPr>
                <w:rFonts w:hint="eastAsia" w:ascii="宋体" w:hAnsi="宋体"/>
                <w:sz w:val="24"/>
              </w:rPr>
              <w:t>1</w:t>
            </w:r>
          </w:p>
        </w:tc>
        <w:tc>
          <w:tcPr>
            <w:tcW w:w="4185" w:type="dxa"/>
            <w:tcBorders>
              <w:top w:val="single" w:color="auto" w:sz="4" w:space="0"/>
              <w:left w:val="single" w:color="auto" w:sz="4" w:space="0"/>
              <w:bottom w:val="single" w:color="auto" w:sz="4" w:space="0"/>
              <w:right w:val="single" w:color="auto" w:sz="4" w:space="0"/>
            </w:tcBorders>
            <w:vAlign w:val="center"/>
          </w:tcPr>
          <w:p w14:paraId="354E2771">
            <w:pPr>
              <w:spacing w:line="500" w:lineRule="exact"/>
              <w:jc w:val="center"/>
              <w:rPr>
                <w:rFonts w:hint="eastAsia" w:ascii="宋体" w:hAnsi="宋体"/>
                <w:sz w:val="24"/>
              </w:rPr>
            </w:pPr>
            <w:r>
              <w:rPr>
                <w:rFonts w:hint="eastAsia" w:ascii="宋体" w:hAnsi="宋体"/>
                <w:sz w:val="24"/>
              </w:rPr>
              <w:t>中级及以上技术职称</w:t>
            </w:r>
          </w:p>
        </w:tc>
        <w:tc>
          <w:tcPr>
            <w:tcW w:w="750" w:type="dxa"/>
            <w:tcBorders>
              <w:top w:val="single" w:color="auto" w:sz="4" w:space="0"/>
              <w:left w:val="single" w:color="auto" w:sz="4" w:space="0"/>
              <w:bottom w:val="single" w:color="auto" w:sz="4" w:space="0"/>
              <w:right w:val="single" w:color="auto" w:sz="4" w:space="0"/>
            </w:tcBorders>
            <w:vAlign w:val="center"/>
          </w:tcPr>
          <w:p w14:paraId="6F975D7E">
            <w:pPr>
              <w:spacing w:line="480" w:lineRule="exact"/>
              <w:jc w:val="center"/>
              <w:rPr>
                <w:rFonts w:hint="eastAsia" w:ascii="宋体" w:hAnsi="宋体"/>
                <w:sz w:val="24"/>
              </w:rPr>
            </w:pPr>
          </w:p>
        </w:tc>
      </w:tr>
      <w:tr w14:paraId="61B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2" w:hRule="atLeast"/>
        </w:trPr>
        <w:tc>
          <w:tcPr>
            <w:tcW w:w="567" w:type="dxa"/>
            <w:vMerge w:val="continue"/>
            <w:tcBorders>
              <w:left w:val="single" w:color="auto" w:sz="4" w:space="0"/>
              <w:right w:val="single" w:color="auto" w:sz="4" w:space="0"/>
            </w:tcBorders>
            <w:vAlign w:val="center"/>
          </w:tcPr>
          <w:p w14:paraId="4ABBF2E6">
            <w:pPr>
              <w:widowControl/>
              <w:spacing w:line="480" w:lineRule="exact"/>
              <w:jc w:val="center"/>
              <w:rPr>
                <w:rFonts w:hint="eastAsia" w:ascii="宋体" w:hAnsi="宋体"/>
                <w:sz w:val="24"/>
              </w:rPr>
            </w:pPr>
          </w:p>
        </w:tc>
        <w:tc>
          <w:tcPr>
            <w:tcW w:w="683" w:type="dxa"/>
            <w:vMerge w:val="continue"/>
            <w:tcBorders>
              <w:left w:val="single" w:color="auto" w:sz="4" w:space="0"/>
              <w:right w:val="single" w:color="auto" w:sz="4" w:space="0"/>
            </w:tcBorders>
            <w:vAlign w:val="center"/>
          </w:tcPr>
          <w:p w14:paraId="067A661F">
            <w:pPr>
              <w:widowControl/>
              <w:spacing w:line="480" w:lineRule="exact"/>
              <w:jc w:val="center"/>
              <w:rPr>
                <w:rFonts w:hint="eastAsia" w:ascii="宋体" w:hAnsi="宋体"/>
                <w:sz w:val="24"/>
              </w:rPr>
            </w:pPr>
          </w:p>
        </w:tc>
        <w:tc>
          <w:tcPr>
            <w:tcW w:w="2118" w:type="dxa"/>
            <w:tcBorders>
              <w:top w:val="single" w:color="auto" w:sz="4" w:space="0"/>
              <w:left w:val="single" w:color="auto" w:sz="4" w:space="0"/>
              <w:bottom w:val="single" w:color="auto" w:sz="4" w:space="0"/>
              <w:right w:val="single" w:color="auto" w:sz="4" w:space="0"/>
            </w:tcBorders>
            <w:vAlign w:val="center"/>
          </w:tcPr>
          <w:p w14:paraId="411BAEF0">
            <w:pPr>
              <w:spacing w:line="500" w:lineRule="exact"/>
              <w:jc w:val="center"/>
              <w:rPr>
                <w:rFonts w:hint="eastAsia" w:ascii="宋体" w:hAnsi="宋体"/>
                <w:sz w:val="24"/>
              </w:rPr>
            </w:pPr>
            <w:r>
              <w:rPr>
                <w:rFonts w:hint="eastAsia" w:ascii="宋体" w:hAnsi="宋体"/>
                <w:sz w:val="24"/>
              </w:rPr>
              <w:t>施工员</w:t>
            </w:r>
          </w:p>
        </w:tc>
        <w:tc>
          <w:tcPr>
            <w:tcW w:w="1484" w:type="dxa"/>
            <w:tcBorders>
              <w:top w:val="single" w:color="auto" w:sz="4" w:space="0"/>
              <w:left w:val="single" w:color="auto" w:sz="4" w:space="0"/>
              <w:right w:val="single" w:color="auto" w:sz="4" w:space="0"/>
            </w:tcBorders>
            <w:vAlign w:val="center"/>
          </w:tcPr>
          <w:p w14:paraId="6A4AC7B9">
            <w:pPr>
              <w:spacing w:line="500" w:lineRule="exact"/>
              <w:jc w:val="center"/>
              <w:rPr>
                <w:rFonts w:hint="eastAsia" w:ascii="宋体" w:hAnsi="宋体"/>
                <w:sz w:val="24"/>
              </w:rPr>
            </w:pPr>
            <w:r>
              <w:rPr>
                <w:rFonts w:hint="eastAsia" w:ascii="宋体" w:hAnsi="宋体"/>
                <w:sz w:val="24"/>
              </w:rPr>
              <w:t>1</w:t>
            </w:r>
          </w:p>
        </w:tc>
        <w:tc>
          <w:tcPr>
            <w:tcW w:w="4185" w:type="dxa"/>
            <w:tcBorders>
              <w:top w:val="single" w:color="auto" w:sz="4" w:space="0"/>
              <w:left w:val="single" w:color="auto" w:sz="4" w:space="0"/>
              <w:right w:val="single" w:color="auto" w:sz="4" w:space="0"/>
            </w:tcBorders>
            <w:vAlign w:val="center"/>
          </w:tcPr>
          <w:p w14:paraId="0B7AFA38">
            <w:pPr>
              <w:spacing w:line="500" w:lineRule="exact"/>
              <w:jc w:val="center"/>
              <w:rPr>
                <w:rFonts w:hint="eastAsia" w:ascii="宋体" w:hAnsi="宋体"/>
                <w:sz w:val="24"/>
              </w:rPr>
            </w:pPr>
            <w:r>
              <w:rPr>
                <w:rFonts w:hint="eastAsia" w:ascii="宋体" w:hAnsi="宋体"/>
                <w:sz w:val="24"/>
              </w:rPr>
              <w:t>取得上岗证或培训合格证</w:t>
            </w:r>
          </w:p>
        </w:tc>
        <w:tc>
          <w:tcPr>
            <w:tcW w:w="750" w:type="dxa"/>
            <w:vMerge w:val="restart"/>
            <w:tcBorders>
              <w:top w:val="single" w:color="auto" w:sz="4" w:space="0"/>
              <w:left w:val="single" w:color="auto" w:sz="4" w:space="0"/>
              <w:right w:val="single" w:color="auto" w:sz="4" w:space="0"/>
            </w:tcBorders>
            <w:vAlign w:val="center"/>
          </w:tcPr>
          <w:p w14:paraId="78609B81">
            <w:pPr>
              <w:spacing w:line="480" w:lineRule="exact"/>
              <w:jc w:val="center"/>
              <w:rPr>
                <w:rFonts w:hint="eastAsia" w:ascii="宋体" w:hAnsi="宋体"/>
                <w:sz w:val="24"/>
              </w:rPr>
            </w:pPr>
            <w:r>
              <w:rPr>
                <w:rFonts w:hint="eastAsia" w:ascii="宋体" w:hAnsi="宋体"/>
                <w:sz w:val="24"/>
              </w:rPr>
              <w:t>经</w:t>
            </w:r>
          </w:p>
          <w:p w14:paraId="1FE661C5">
            <w:pPr>
              <w:spacing w:line="480" w:lineRule="exact"/>
              <w:jc w:val="center"/>
              <w:rPr>
                <w:rFonts w:hint="eastAsia" w:ascii="宋体" w:hAnsi="宋体"/>
                <w:sz w:val="24"/>
              </w:rPr>
            </w:pPr>
            <w:r>
              <w:rPr>
                <w:rFonts w:hint="eastAsia" w:ascii="宋体" w:hAnsi="宋体"/>
                <w:sz w:val="24"/>
              </w:rPr>
              <w:t>年</w:t>
            </w:r>
          </w:p>
          <w:p w14:paraId="63E7F759">
            <w:pPr>
              <w:spacing w:line="480" w:lineRule="exact"/>
              <w:jc w:val="center"/>
              <w:rPr>
                <w:rFonts w:hint="eastAsia" w:ascii="宋体" w:hAnsi="宋体"/>
                <w:sz w:val="24"/>
              </w:rPr>
            </w:pPr>
            <w:r>
              <w:rPr>
                <w:rFonts w:hint="eastAsia" w:ascii="宋体" w:hAnsi="宋体"/>
                <w:sz w:val="24"/>
              </w:rPr>
              <w:t>检</w:t>
            </w:r>
          </w:p>
          <w:p w14:paraId="6A67C842">
            <w:pPr>
              <w:spacing w:line="480" w:lineRule="exact"/>
              <w:jc w:val="center"/>
              <w:rPr>
                <w:rFonts w:hint="eastAsia" w:ascii="宋体" w:hAnsi="宋体"/>
                <w:sz w:val="24"/>
              </w:rPr>
            </w:pPr>
            <w:r>
              <w:rPr>
                <w:rFonts w:hint="eastAsia" w:ascii="宋体" w:hAnsi="宋体"/>
                <w:sz w:val="24"/>
              </w:rPr>
              <w:t>合</w:t>
            </w:r>
          </w:p>
          <w:p w14:paraId="60D47ED9">
            <w:pPr>
              <w:spacing w:line="480" w:lineRule="exact"/>
              <w:jc w:val="center"/>
              <w:rPr>
                <w:rFonts w:hint="eastAsia" w:ascii="宋体" w:hAnsi="宋体"/>
                <w:sz w:val="24"/>
              </w:rPr>
            </w:pPr>
            <w:r>
              <w:rPr>
                <w:rFonts w:hint="eastAsia" w:ascii="宋体" w:hAnsi="宋体"/>
                <w:sz w:val="24"/>
              </w:rPr>
              <w:t>格</w:t>
            </w:r>
          </w:p>
        </w:tc>
      </w:tr>
      <w:tr w14:paraId="6F20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2" w:hRule="exact"/>
        </w:trPr>
        <w:tc>
          <w:tcPr>
            <w:tcW w:w="567" w:type="dxa"/>
            <w:vMerge w:val="continue"/>
            <w:tcBorders>
              <w:left w:val="single" w:color="auto" w:sz="4" w:space="0"/>
              <w:right w:val="single" w:color="auto" w:sz="4" w:space="0"/>
            </w:tcBorders>
            <w:vAlign w:val="center"/>
          </w:tcPr>
          <w:p w14:paraId="558A1313">
            <w:pPr>
              <w:widowControl/>
              <w:spacing w:line="480" w:lineRule="exact"/>
              <w:jc w:val="center"/>
              <w:rPr>
                <w:rFonts w:hint="eastAsia" w:ascii="宋体" w:hAnsi="宋体"/>
                <w:sz w:val="24"/>
              </w:rPr>
            </w:pPr>
          </w:p>
        </w:tc>
        <w:tc>
          <w:tcPr>
            <w:tcW w:w="683" w:type="dxa"/>
            <w:vMerge w:val="continue"/>
            <w:tcBorders>
              <w:left w:val="single" w:color="auto" w:sz="4" w:space="0"/>
              <w:right w:val="single" w:color="auto" w:sz="4" w:space="0"/>
            </w:tcBorders>
            <w:vAlign w:val="center"/>
          </w:tcPr>
          <w:p w14:paraId="6E16BA27">
            <w:pPr>
              <w:widowControl/>
              <w:spacing w:line="480" w:lineRule="exact"/>
              <w:jc w:val="center"/>
              <w:rPr>
                <w:rFonts w:hint="eastAsia" w:ascii="宋体" w:hAnsi="宋体"/>
                <w:sz w:val="24"/>
              </w:rPr>
            </w:pPr>
          </w:p>
        </w:tc>
        <w:tc>
          <w:tcPr>
            <w:tcW w:w="2118" w:type="dxa"/>
            <w:tcBorders>
              <w:top w:val="single" w:color="auto" w:sz="4" w:space="0"/>
              <w:left w:val="single" w:color="auto" w:sz="4" w:space="0"/>
              <w:bottom w:val="single" w:color="auto" w:sz="4" w:space="0"/>
              <w:right w:val="single" w:color="auto" w:sz="4" w:space="0"/>
            </w:tcBorders>
            <w:vAlign w:val="center"/>
          </w:tcPr>
          <w:p w14:paraId="10885543">
            <w:pPr>
              <w:spacing w:line="500" w:lineRule="exact"/>
              <w:jc w:val="center"/>
              <w:rPr>
                <w:rFonts w:hint="eastAsia" w:ascii="宋体" w:hAnsi="宋体"/>
                <w:sz w:val="24"/>
              </w:rPr>
            </w:pPr>
            <w:r>
              <w:rPr>
                <w:rFonts w:hint="eastAsia" w:ascii="宋体" w:hAnsi="宋体"/>
                <w:sz w:val="24"/>
              </w:rPr>
              <w:t>安装或水电施工员</w:t>
            </w:r>
          </w:p>
        </w:tc>
        <w:tc>
          <w:tcPr>
            <w:tcW w:w="1484" w:type="dxa"/>
            <w:tcBorders>
              <w:left w:val="single" w:color="auto" w:sz="4" w:space="0"/>
              <w:bottom w:val="single" w:color="auto" w:sz="4" w:space="0"/>
              <w:right w:val="single" w:color="auto" w:sz="4" w:space="0"/>
            </w:tcBorders>
            <w:vAlign w:val="center"/>
          </w:tcPr>
          <w:p w14:paraId="7D0A04FB">
            <w:pPr>
              <w:spacing w:line="500" w:lineRule="exact"/>
              <w:jc w:val="center"/>
              <w:rPr>
                <w:rFonts w:hint="eastAsia" w:ascii="宋体" w:hAnsi="宋体"/>
                <w:sz w:val="24"/>
              </w:rPr>
            </w:pPr>
            <w:r>
              <w:rPr>
                <w:rFonts w:hint="eastAsia" w:ascii="宋体" w:hAnsi="宋体"/>
                <w:sz w:val="24"/>
              </w:rPr>
              <w:t>1</w:t>
            </w:r>
          </w:p>
        </w:tc>
        <w:tc>
          <w:tcPr>
            <w:tcW w:w="4185" w:type="dxa"/>
            <w:tcBorders>
              <w:left w:val="single" w:color="auto" w:sz="4" w:space="0"/>
              <w:bottom w:val="single" w:color="auto" w:sz="4" w:space="0"/>
              <w:right w:val="single" w:color="auto" w:sz="4" w:space="0"/>
            </w:tcBorders>
            <w:vAlign w:val="center"/>
          </w:tcPr>
          <w:p w14:paraId="16938A5F">
            <w:pPr>
              <w:spacing w:line="500" w:lineRule="exact"/>
              <w:jc w:val="center"/>
              <w:rPr>
                <w:rFonts w:hint="eastAsia" w:ascii="宋体" w:hAnsi="宋体"/>
                <w:sz w:val="24"/>
              </w:rPr>
            </w:pPr>
            <w:r>
              <w:rPr>
                <w:rFonts w:hint="eastAsia" w:ascii="宋体" w:hAnsi="宋体"/>
                <w:sz w:val="24"/>
              </w:rPr>
              <w:t>取得上岗证</w:t>
            </w:r>
          </w:p>
        </w:tc>
        <w:tc>
          <w:tcPr>
            <w:tcW w:w="750" w:type="dxa"/>
            <w:vMerge w:val="continue"/>
            <w:tcBorders>
              <w:left w:val="single" w:color="auto" w:sz="4" w:space="0"/>
              <w:right w:val="single" w:color="auto" w:sz="4" w:space="0"/>
            </w:tcBorders>
            <w:vAlign w:val="center"/>
          </w:tcPr>
          <w:p w14:paraId="3AC36698">
            <w:pPr>
              <w:spacing w:line="480" w:lineRule="exact"/>
              <w:jc w:val="center"/>
              <w:rPr>
                <w:rFonts w:hint="eastAsia" w:ascii="宋体" w:hAnsi="宋体"/>
                <w:sz w:val="24"/>
              </w:rPr>
            </w:pPr>
          </w:p>
        </w:tc>
      </w:tr>
      <w:tr w14:paraId="280C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9" w:hRule="exact"/>
        </w:trPr>
        <w:tc>
          <w:tcPr>
            <w:tcW w:w="567" w:type="dxa"/>
            <w:vMerge w:val="continue"/>
            <w:tcBorders>
              <w:left w:val="single" w:color="auto" w:sz="4" w:space="0"/>
              <w:right w:val="single" w:color="auto" w:sz="4" w:space="0"/>
            </w:tcBorders>
            <w:vAlign w:val="center"/>
          </w:tcPr>
          <w:p w14:paraId="0071170C">
            <w:pPr>
              <w:widowControl/>
              <w:spacing w:line="480" w:lineRule="exact"/>
              <w:jc w:val="center"/>
              <w:rPr>
                <w:rFonts w:hint="eastAsia" w:ascii="宋体" w:hAnsi="宋体"/>
                <w:sz w:val="24"/>
              </w:rPr>
            </w:pPr>
          </w:p>
        </w:tc>
        <w:tc>
          <w:tcPr>
            <w:tcW w:w="683" w:type="dxa"/>
            <w:vMerge w:val="continue"/>
            <w:tcBorders>
              <w:left w:val="single" w:color="auto" w:sz="4" w:space="0"/>
              <w:right w:val="single" w:color="auto" w:sz="4" w:space="0"/>
            </w:tcBorders>
            <w:vAlign w:val="center"/>
          </w:tcPr>
          <w:p w14:paraId="76F6E324">
            <w:pPr>
              <w:widowControl/>
              <w:spacing w:line="480" w:lineRule="exact"/>
              <w:jc w:val="center"/>
              <w:rPr>
                <w:rFonts w:hint="eastAsia" w:ascii="宋体" w:hAnsi="宋体"/>
                <w:sz w:val="24"/>
              </w:rPr>
            </w:pPr>
          </w:p>
        </w:tc>
        <w:tc>
          <w:tcPr>
            <w:tcW w:w="2118" w:type="dxa"/>
            <w:tcBorders>
              <w:top w:val="single" w:color="auto" w:sz="4" w:space="0"/>
              <w:left w:val="single" w:color="auto" w:sz="4" w:space="0"/>
              <w:bottom w:val="single" w:color="auto" w:sz="4" w:space="0"/>
              <w:right w:val="single" w:color="auto" w:sz="4" w:space="0"/>
            </w:tcBorders>
            <w:vAlign w:val="center"/>
          </w:tcPr>
          <w:p w14:paraId="1ADEB3C2">
            <w:pPr>
              <w:spacing w:line="500" w:lineRule="exact"/>
              <w:jc w:val="center"/>
              <w:rPr>
                <w:rFonts w:hint="eastAsia" w:ascii="宋体" w:hAnsi="宋体"/>
                <w:sz w:val="24"/>
              </w:rPr>
            </w:pPr>
            <w:r>
              <w:rPr>
                <w:rFonts w:hint="eastAsia" w:ascii="宋体" w:hAnsi="宋体"/>
                <w:sz w:val="24"/>
              </w:rPr>
              <w:t>质量员</w:t>
            </w:r>
          </w:p>
        </w:tc>
        <w:tc>
          <w:tcPr>
            <w:tcW w:w="1484" w:type="dxa"/>
            <w:tcBorders>
              <w:top w:val="single" w:color="auto" w:sz="4" w:space="0"/>
              <w:left w:val="single" w:color="auto" w:sz="4" w:space="0"/>
              <w:bottom w:val="single" w:color="auto" w:sz="4" w:space="0"/>
              <w:right w:val="single" w:color="auto" w:sz="4" w:space="0"/>
            </w:tcBorders>
            <w:vAlign w:val="center"/>
          </w:tcPr>
          <w:p w14:paraId="17B2F71E">
            <w:pPr>
              <w:spacing w:line="500" w:lineRule="exact"/>
              <w:jc w:val="center"/>
              <w:rPr>
                <w:rFonts w:hint="eastAsia" w:ascii="宋体" w:hAnsi="宋体"/>
                <w:sz w:val="24"/>
              </w:rPr>
            </w:pPr>
            <w:r>
              <w:rPr>
                <w:rFonts w:hint="eastAsia" w:ascii="宋体" w:hAnsi="宋体"/>
                <w:sz w:val="24"/>
              </w:rPr>
              <w:t>1</w:t>
            </w:r>
          </w:p>
        </w:tc>
        <w:tc>
          <w:tcPr>
            <w:tcW w:w="4185" w:type="dxa"/>
            <w:tcBorders>
              <w:top w:val="single" w:color="auto" w:sz="4" w:space="0"/>
              <w:left w:val="single" w:color="auto" w:sz="4" w:space="0"/>
              <w:bottom w:val="single" w:color="auto" w:sz="4" w:space="0"/>
              <w:right w:val="single" w:color="auto" w:sz="4" w:space="0"/>
            </w:tcBorders>
            <w:vAlign w:val="center"/>
          </w:tcPr>
          <w:p w14:paraId="55543613">
            <w:pPr>
              <w:spacing w:line="500" w:lineRule="exact"/>
              <w:jc w:val="center"/>
              <w:rPr>
                <w:rFonts w:hint="eastAsia" w:ascii="宋体" w:hAnsi="宋体"/>
                <w:sz w:val="24"/>
              </w:rPr>
            </w:pPr>
            <w:r>
              <w:rPr>
                <w:rFonts w:hint="eastAsia" w:ascii="宋体" w:hAnsi="宋体"/>
                <w:sz w:val="24"/>
              </w:rPr>
              <w:t>取得上岗证</w:t>
            </w:r>
          </w:p>
          <w:p w14:paraId="0358D256">
            <w:pPr>
              <w:spacing w:line="500" w:lineRule="exact"/>
              <w:jc w:val="center"/>
              <w:rPr>
                <w:rFonts w:hint="eastAsia" w:ascii="宋体" w:hAnsi="宋体"/>
                <w:sz w:val="24"/>
              </w:rPr>
            </w:pPr>
            <w:r>
              <w:rPr>
                <w:rFonts w:hint="eastAsia" w:ascii="宋体" w:hAnsi="宋体"/>
                <w:sz w:val="24"/>
              </w:rPr>
              <w:t>员替代）</w:t>
            </w:r>
          </w:p>
        </w:tc>
        <w:tc>
          <w:tcPr>
            <w:tcW w:w="750" w:type="dxa"/>
            <w:vMerge w:val="continue"/>
            <w:tcBorders>
              <w:left w:val="single" w:color="auto" w:sz="4" w:space="0"/>
              <w:right w:val="single" w:color="auto" w:sz="4" w:space="0"/>
            </w:tcBorders>
            <w:vAlign w:val="center"/>
          </w:tcPr>
          <w:p w14:paraId="39EC5E60">
            <w:pPr>
              <w:widowControl/>
              <w:spacing w:line="480" w:lineRule="exact"/>
              <w:jc w:val="left"/>
              <w:rPr>
                <w:rFonts w:hint="eastAsia" w:ascii="宋体" w:hAnsi="宋体"/>
                <w:sz w:val="24"/>
              </w:rPr>
            </w:pPr>
          </w:p>
        </w:tc>
      </w:tr>
      <w:tr w14:paraId="6AD0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exact"/>
        </w:trPr>
        <w:tc>
          <w:tcPr>
            <w:tcW w:w="567" w:type="dxa"/>
            <w:vMerge w:val="continue"/>
            <w:tcBorders>
              <w:left w:val="single" w:color="auto" w:sz="4" w:space="0"/>
              <w:right w:val="single" w:color="auto" w:sz="4" w:space="0"/>
            </w:tcBorders>
            <w:vAlign w:val="center"/>
          </w:tcPr>
          <w:p w14:paraId="7E60586F">
            <w:pPr>
              <w:widowControl/>
              <w:spacing w:line="480" w:lineRule="exact"/>
              <w:jc w:val="center"/>
              <w:rPr>
                <w:rFonts w:hint="eastAsia" w:ascii="宋体" w:hAnsi="宋体"/>
                <w:sz w:val="24"/>
              </w:rPr>
            </w:pPr>
          </w:p>
        </w:tc>
        <w:tc>
          <w:tcPr>
            <w:tcW w:w="683" w:type="dxa"/>
            <w:vMerge w:val="continue"/>
            <w:tcBorders>
              <w:left w:val="single" w:color="auto" w:sz="4" w:space="0"/>
              <w:right w:val="single" w:color="auto" w:sz="4" w:space="0"/>
            </w:tcBorders>
            <w:vAlign w:val="center"/>
          </w:tcPr>
          <w:p w14:paraId="7B0A6F28">
            <w:pPr>
              <w:widowControl/>
              <w:spacing w:line="480" w:lineRule="exact"/>
              <w:jc w:val="center"/>
              <w:rPr>
                <w:rFonts w:hint="eastAsia" w:ascii="宋体" w:hAnsi="宋体"/>
                <w:sz w:val="24"/>
              </w:rPr>
            </w:pPr>
          </w:p>
        </w:tc>
        <w:tc>
          <w:tcPr>
            <w:tcW w:w="2118" w:type="dxa"/>
            <w:tcBorders>
              <w:top w:val="single" w:color="auto" w:sz="4" w:space="0"/>
              <w:left w:val="single" w:color="auto" w:sz="4" w:space="0"/>
              <w:bottom w:val="single" w:color="auto" w:sz="4" w:space="0"/>
              <w:right w:val="single" w:color="auto" w:sz="4" w:space="0"/>
            </w:tcBorders>
            <w:vAlign w:val="center"/>
          </w:tcPr>
          <w:p w14:paraId="506F7EF7">
            <w:pPr>
              <w:spacing w:line="500" w:lineRule="exact"/>
              <w:jc w:val="center"/>
              <w:rPr>
                <w:rFonts w:hint="eastAsia" w:ascii="宋体" w:hAnsi="宋体"/>
                <w:sz w:val="24"/>
              </w:rPr>
            </w:pPr>
            <w:r>
              <w:rPr>
                <w:rFonts w:hint="eastAsia" w:ascii="宋体" w:hAnsi="宋体"/>
                <w:sz w:val="24"/>
              </w:rPr>
              <w:t>安全员</w:t>
            </w:r>
          </w:p>
        </w:tc>
        <w:tc>
          <w:tcPr>
            <w:tcW w:w="1484" w:type="dxa"/>
            <w:tcBorders>
              <w:top w:val="single" w:color="auto" w:sz="4" w:space="0"/>
              <w:left w:val="single" w:color="auto" w:sz="4" w:space="0"/>
              <w:bottom w:val="single" w:color="auto" w:sz="4" w:space="0"/>
              <w:right w:val="single" w:color="auto" w:sz="4" w:space="0"/>
            </w:tcBorders>
            <w:vAlign w:val="center"/>
          </w:tcPr>
          <w:p w14:paraId="2F95B138">
            <w:pPr>
              <w:spacing w:line="500" w:lineRule="exact"/>
              <w:jc w:val="center"/>
              <w:rPr>
                <w:rFonts w:hint="eastAsia" w:ascii="宋体" w:hAnsi="宋体"/>
                <w:sz w:val="24"/>
              </w:rPr>
            </w:pPr>
            <w:r>
              <w:rPr>
                <w:rFonts w:hint="eastAsia" w:ascii="宋体" w:hAnsi="宋体"/>
                <w:sz w:val="24"/>
              </w:rPr>
              <w:t>1</w:t>
            </w:r>
          </w:p>
        </w:tc>
        <w:tc>
          <w:tcPr>
            <w:tcW w:w="4185" w:type="dxa"/>
            <w:tcBorders>
              <w:top w:val="single" w:color="auto" w:sz="4" w:space="0"/>
              <w:left w:val="single" w:color="auto" w:sz="4" w:space="0"/>
              <w:bottom w:val="single" w:color="auto" w:sz="4" w:space="0"/>
              <w:right w:val="single" w:color="auto" w:sz="4" w:space="0"/>
            </w:tcBorders>
            <w:vAlign w:val="center"/>
          </w:tcPr>
          <w:p w14:paraId="5ED109A3">
            <w:pPr>
              <w:spacing w:line="500" w:lineRule="exact"/>
              <w:jc w:val="center"/>
              <w:rPr>
                <w:rFonts w:hint="eastAsia" w:ascii="宋体" w:hAnsi="宋体"/>
                <w:sz w:val="24"/>
              </w:rPr>
            </w:pPr>
            <w:r>
              <w:rPr>
                <w:rFonts w:hint="eastAsia" w:ascii="宋体" w:hAnsi="宋体"/>
                <w:sz w:val="24"/>
              </w:rPr>
              <w:t>取得上岗证</w:t>
            </w:r>
          </w:p>
        </w:tc>
        <w:tc>
          <w:tcPr>
            <w:tcW w:w="750" w:type="dxa"/>
            <w:vMerge w:val="continue"/>
            <w:tcBorders>
              <w:left w:val="single" w:color="auto" w:sz="4" w:space="0"/>
              <w:right w:val="single" w:color="auto" w:sz="4" w:space="0"/>
            </w:tcBorders>
            <w:vAlign w:val="center"/>
          </w:tcPr>
          <w:p w14:paraId="15DD3EAF">
            <w:pPr>
              <w:widowControl/>
              <w:spacing w:line="480" w:lineRule="exact"/>
              <w:jc w:val="left"/>
              <w:rPr>
                <w:rFonts w:hint="eastAsia" w:ascii="宋体" w:hAnsi="宋体"/>
                <w:sz w:val="24"/>
              </w:rPr>
            </w:pPr>
          </w:p>
        </w:tc>
      </w:tr>
      <w:tr w14:paraId="5FA3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4" w:hRule="exact"/>
        </w:trPr>
        <w:tc>
          <w:tcPr>
            <w:tcW w:w="567" w:type="dxa"/>
            <w:vMerge w:val="continue"/>
            <w:tcBorders>
              <w:left w:val="single" w:color="auto" w:sz="4" w:space="0"/>
              <w:right w:val="single" w:color="auto" w:sz="4" w:space="0"/>
            </w:tcBorders>
            <w:vAlign w:val="center"/>
          </w:tcPr>
          <w:p w14:paraId="1839AB32">
            <w:pPr>
              <w:widowControl/>
              <w:spacing w:line="480" w:lineRule="exact"/>
              <w:jc w:val="center"/>
              <w:rPr>
                <w:rFonts w:hint="eastAsia" w:ascii="宋体" w:hAnsi="宋体"/>
                <w:sz w:val="24"/>
              </w:rPr>
            </w:pPr>
          </w:p>
        </w:tc>
        <w:tc>
          <w:tcPr>
            <w:tcW w:w="683" w:type="dxa"/>
            <w:vMerge w:val="continue"/>
            <w:tcBorders>
              <w:left w:val="single" w:color="auto" w:sz="4" w:space="0"/>
              <w:right w:val="single" w:color="auto" w:sz="4" w:space="0"/>
            </w:tcBorders>
            <w:vAlign w:val="center"/>
          </w:tcPr>
          <w:p w14:paraId="5036434E">
            <w:pPr>
              <w:widowControl/>
              <w:spacing w:line="480" w:lineRule="exact"/>
              <w:jc w:val="center"/>
              <w:rPr>
                <w:rFonts w:hint="eastAsia" w:ascii="宋体" w:hAnsi="宋体"/>
                <w:sz w:val="24"/>
              </w:rPr>
            </w:pPr>
          </w:p>
        </w:tc>
        <w:tc>
          <w:tcPr>
            <w:tcW w:w="2118" w:type="dxa"/>
            <w:tcBorders>
              <w:top w:val="single" w:color="auto" w:sz="4" w:space="0"/>
              <w:left w:val="single" w:color="auto" w:sz="4" w:space="0"/>
              <w:bottom w:val="single" w:color="auto" w:sz="4" w:space="0"/>
              <w:right w:val="single" w:color="auto" w:sz="4" w:space="0"/>
            </w:tcBorders>
            <w:vAlign w:val="center"/>
          </w:tcPr>
          <w:p w14:paraId="27CC8656">
            <w:pPr>
              <w:spacing w:line="500" w:lineRule="exact"/>
              <w:jc w:val="center"/>
              <w:rPr>
                <w:rFonts w:hint="eastAsia" w:ascii="宋体" w:hAnsi="宋体"/>
                <w:sz w:val="24"/>
              </w:rPr>
            </w:pPr>
            <w:r>
              <w:rPr>
                <w:rFonts w:hint="eastAsia" w:ascii="宋体" w:hAnsi="宋体"/>
                <w:sz w:val="24"/>
              </w:rPr>
              <w:t>材料员</w:t>
            </w:r>
          </w:p>
        </w:tc>
        <w:tc>
          <w:tcPr>
            <w:tcW w:w="1484" w:type="dxa"/>
            <w:tcBorders>
              <w:top w:val="single" w:color="auto" w:sz="4" w:space="0"/>
              <w:left w:val="single" w:color="auto" w:sz="4" w:space="0"/>
              <w:bottom w:val="single" w:color="auto" w:sz="4" w:space="0"/>
              <w:right w:val="single" w:color="auto" w:sz="4" w:space="0"/>
            </w:tcBorders>
            <w:vAlign w:val="center"/>
          </w:tcPr>
          <w:p w14:paraId="569297D6">
            <w:pPr>
              <w:spacing w:line="500" w:lineRule="exact"/>
              <w:jc w:val="center"/>
              <w:rPr>
                <w:rFonts w:hint="eastAsia" w:ascii="宋体" w:hAnsi="宋体"/>
                <w:sz w:val="24"/>
              </w:rPr>
            </w:pPr>
            <w:r>
              <w:rPr>
                <w:rFonts w:hint="eastAsia" w:ascii="宋体" w:hAnsi="宋体"/>
                <w:sz w:val="24"/>
              </w:rPr>
              <w:t>1</w:t>
            </w:r>
          </w:p>
        </w:tc>
        <w:tc>
          <w:tcPr>
            <w:tcW w:w="4185" w:type="dxa"/>
            <w:tcBorders>
              <w:top w:val="single" w:color="auto" w:sz="4" w:space="0"/>
              <w:left w:val="single" w:color="auto" w:sz="4" w:space="0"/>
              <w:bottom w:val="single" w:color="auto" w:sz="4" w:space="0"/>
              <w:right w:val="single" w:color="auto" w:sz="4" w:space="0"/>
            </w:tcBorders>
            <w:vAlign w:val="center"/>
          </w:tcPr>
          <w:p w14:paraId="5004A258">
            <w:pPr>
              <w:spacing w:line="500" w:lineRule="exact"/>
              <w:jc w:val="center"/>
              <w:rPr>
                <w:rFonts w:hint="eastAsia" w:ascii="宋体" w:hAnsi="宋体"/>
                <w:sz w:val="24"/>
              </w:rPr>
            </w:pPr>
            <w:r>
              <w:rPr>
                <w:rFonts w:hint="eastAsia" w:ascii="宋体" w:hAnsi="宋体"/>
                <w:sz w:val="24"/>
              </w:rPr>
              <w:t>取得上岗证</w:t>
            </w:r>
          </w:p>
          <w:p w14:paraId="47ED7E06">
            <w:pPr>
              <w:spacing w:line="500" w:lineRule="exact"/>
              <w:jc w:val="center"/>
              <w:rPr>
                <w:rFonts w:hint="eastAsia" w:ascii="宋体" w:hAnsi="宋体"/>
                <w:sz w:val="24"/>
              </w:rPr>
            </w:pPr>
          </w:p>
        </w:tc>
        <w:tc>
          <w:tcPr>
            <w:tcW w:w="750" w:type="dxa"/>
            <w:vMerge w:val="continue"/>
            <w:tcBorders>
              <w:left w:val="single" w:color="auto" w:sz="4" w:space="0"/>
              <w:right w:val="single" w:color="auto" w:sz="4" w:space="0"/>
            </w:tcBorders>
            <w:vAlign w:val="center"/>
          </w:tcPr>
          <w:p w14:paraId="3A84315A">
            <w:pPr>
              <w:widowControl/>
              <w:spacing w:line="480" w:lineRule="exact"/>
              <w:jc w:val="left"/>
              <w:rPr>
                <w:rFonts w:hint="eastAsia" w:ascii="宋体" w:hAnsi="宋体"/>
                <w:sz w:val="24"/>
              </w:rPr>
            </w:pPr>
          </w:p>
        </w:tc>
      </w:tr>
      <w:tr w14:paraId="1400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2" w:hRule="exact"/>
        </w:trPr>
        <w:tc>
          <w:tcPr>
            <w:tcW w:w="567" w:type="dxa"/>
            <w:vMerge w:val="continue"/>
            <w:tcBorders>
              <w:left w:val="single" w:color="auto" w:sz="4" w:space="0"/>
              <w:bottom w:val="single" w:color="auto" w:sz="4" w:space="0"/>
              <w:right w:val="single" w:color="auto" w:sz="4" w:space="0"/>
            </w:tcBorders>
            <w:vAlign w:val="center"/>
          </w:tcPr>
          <w:p w14:paraId="721A2201">
            <w:pPr>
              <w:widowControl/>
              <w:spacing w:line="480" w:lineRule="exact"/>
              <w:jc w:val="center"/>
              <w:rPr>
                <w:rFonts w:hint="eastAsia" w:ascii="宋体" w:hAnsi="宋体"/>
                <w:sz w:val="24"/>
              </w:rPr>
            </w:pPr>
          </w:p>
        </w:tc>
        <w:tc>
          <w:tcPr>
            <w:tcW w:w="683" w:type="dxa"/>
            <w:vMerge w:val="continue"/>
            <w:tcBorders>
              <w:left w:val="single" w:color="auto" w:sz="4" w:space="0"/>
              <w:bottom w:val="single" w:color="auto" w:sz="4" w:space="0"/>
              <w:right w:val="single" w:color="auto" w:sz="4" w:space="0"/>
            </w:tcBorders>
            <w:vAlign w:val="center"/>
          </w:tcPr>
          <w:p w14:paraId="683086B7">
            <w:pPr>
              <w:widowControl/>
              <w:spacing w:line="480" w:lineRule="exact"/>
              <w:jc w:val="center"/>
              <w:rPr>
                <w:rFonts w:hint="eastAsia" w:ascii="宋体" w:hAnsi="宋体"/>
                <w:sz w:val="24"/>
              </w:rPr>
            </w:pPr>
          </w:p>
        </w:tc>
        <w:tc>
          <w:tcPr>
            <w:tcW w:w="2118" w:type="dxa"/>
            <w:tcBorders>
              <w:top w:val="single" w:color="auto" w:sz="4" w:space="0"/>
              <w:left w:val="single" w:color="auto" w:sz="4" w:space="0"/>
              <w:bottom w:val="single" w:color="auto" w:sz="4" w:space="0"/>
              <w:right w:val="single" w:color="auto" w:sz="4" w:space="0"/>
            </w:tcBorders>
            <w:vAlign w:val="center"/>
          </w:tcPr>
          <w:p w14:paraId="40E6BA91">
            <w:pPr>
              <w:spacing w:line="480" w:lineRule="exact"/>
              <w:jc w:val="center"/>
              <w:rPr>
                <w:rFonts w:hint="eastAsia" w:ascii="宋体" w:hAnsi="宋体"/>
                <w:sz w:val="24"/>
              </w:rPr>
            </w:pPr>
            <w:r>
              <w:rPr>
                <w:rFonts w:hint="eastAsia" w:ascii="宋体" w:hAnsi="宋体"/>
                <w:sz w:val="24"/>
              </w:rPr>
              <w:t>……</w:t>
            </w:r>
          </w:p>
        </w:tc>
        <w:tc>
          <w:tcPr>
            <w:tcW w:w="1484" w:type="dxa"/>
            <w:tcBorders>
              <w:top w:val="single" w:color="auto" w:sz="4" w:space="0"/>
              <w:left w:val="single" w:color="auto" w:sz="4" w:space="0"/>
              <w:bottom w:val="single" w:color="auto" w:sz="4" w:space="0"/>
              <w:right w:val="single" w:color="auto" w:sz="4" w:space="0"/>
            </w:tcBorders>
            <w:vAlign w:val="center"/>
          </w:tcPr>
          <w:p w14:paraId="3F4CF47F">
            <w:pPr>
              <w:spacing w:line="480" w:lineRule="exact"/>
              <w:jc w:val="center"/>
              <w:rPr>
                <w:rFonts w:hint="eastAsia" w:ascii="宋体" w:hAnsi="宋体"/>
                <w:sz w:val="24"/>
              </w:rPr>
            </w:pPr>
          </w:p>
        </w:tc>
        <w:tc>
          <w:tcPr>
            <w:tcW w:w="4185" w:type="dxa"/>
            <w:tcBorders>
              <w:top w:val="single" w:color="auto" w:sz="4" w:space="0"/>
              <w:left w:val="single" w:color="auto" w:sz="4" w:space="0"/>
              <w:bottom w:val="single" w:color="auto" w:sz="4" w:space="0"/>
              <w:right w:val="single" w:color="auto" w:sz="4" w:space="0"/>
            </w:tcBorders>
            <w:vAlign w:val="center"/>
          </w:tcPr>
          <w:p w14:paraId="06C6D510">
            <w:pPr>
              <w:spacing w:line="480" w:lineRule="exact"/>
              <w:jc w:val="center"/>
              <w:rPr>
                <w:rFonts w:hint="eastAsia" w:ascii="宋体" w:hAnsi="宋体"/>
                <w:sz w:val="24"/>
              </w:rPr>
            </w:pPr>
          </w:p>
        </w:tc>
        <w:tc>
          <w:tcPr>
            <w:tcW w:w="750" w:type="dxa"/>
            <w:vMerge w:val="continue"/>
            <w:tcBorders>
              <w:left w:val="single" w:color="auto" w:sz="4" w:space="0"/>
              <w:bottom w:val="single" w:color="auto" w:sz="4" w:space="0"/>
              <w:right w:val="single" w:color="auto" w:sz="4" w:space="0"/>
            </w:tcBorders>
            <w:vAlign w:val="center"/>
          </w:tcPr>
          <w:p w14:paraId="1BAA63D4">
            <w:pPr>
              <w:widowControl/>
              <w:spacing w:line="480" w:lineRule="exact"/>
              <w:jc w:val="left"/>
              <w:rPr>
                <w:rFonts w:hint="eastAsia" w:ascii="宋体" w:hAnsi="宋体"/>
                <w:sz w:val="24"/>
              </w:rPr>
            </w:pPr>
          </w:p>
        </w:tc>
      </w:tr>
    </w:tbl>
    <w:p w14:paraId="02E04155">
      <w:pPr>
        <w:snapToGrid w:val="0"/>
        <w:spacing w:line="480" w:lineRule="exact"/>
        <w:ind w:firstLine="480" w:firstLineChars="200"/>
        <w:jc w:val="left"/>
        <w:rPr>
          <w:rFonts w:hint="eastAsia" w:ascii="宋体" w:hAnsi="宋体"/>
          <w:sz w:val="24"/>
        </w:rPr>
      </w:pPr>
      <w:r>
        <w:rPr>
          <w:rFonts w:hint="eastAsia" w:ascii="宋体" w:hAnsi="宋体"/>
          <w:sz w:val="24"/>
        </w:rPr>
        <w:t>备注：</w:t>
      </w:r>
    </w:p>
    <w:p w14:paraId="0D08AC9A">
      <w:pPr>
        <w:pStyle w:val="54"/>
        <w:widowControl w:val="0"/>
        <w:numPr>
          <w:ilvl w:val="0"/>
          <w:numId w:val="0"/>
        </w:numPr>
        <w:tabs>
          <w:tab w:val="left" w:pos="800"/>
        </w:tabs>
        <w:spacing w:line="480" w:lineRule="exact"/>
        <w:ind w:firstLine="480" w:firstLineChars="200"/>
        <w:rPr>
          <w:rFonts w:hint="eastAsia"/>
          <w:color w:val="000000"/>
          <w:u w:val="single"/>
        </w:rPr>
      </w:pPr>
      <w:r>
        <w:rPr>
          <w:rFonts w:hint="eastAsia"/>
          <w:color w:val="000000"/>
          <w:u w:val="single"/>
        </w:rPr>
        <w:t>(1)投标人应按《拟派出主要项目管理人员配备标准》要求配备项目管理人员，拟派项目管理人员不能同时兼任两个或两个以上项目管理职位。</w:t>
      </w:r>
    </w:p>
    <w:p w14:paraId="637EA1E6">
      <w:pPr>
        <w:pStyle w:val="54"/>
        <w:widowControl w:val="0"/>
        <w:numPr>
          <w:ilvl w:val="0"/>
          <w:numId w:val="0"/>
        </w:numPr>
        <w:tabs>
          <w:tab w:val="left" w:pos="800"/>
        </w:tabs>
        <w:spacing w:line="480" w:lineRule="exact"/>
        <w:ind w:firstLine="480" w:firstLineChars="200"/>
        <w:rPr>
          <w:rFonts w:hint="eastAsia"/>
          <w:color w:val="000000"/>
          <w:u w:val="single"/>
        </w:rPr>
      </w:pPr>
      <w:r>
        <w:rPr>
          <w:rFonts w:hint="eastAsia"/>
          <w:color w:val="000000"/>
          <w:u w:val="single"/>
        </w:rPr>
        <w:t>(2)投</w:t>
      </w:r>
      <w:r>
        <w:rPr>
          <w:rFonts w:hint="eastAsia"/>
          <w:bCs/>
          <w:color w:val="000000"/>
          <w:u w:val="single"/>
        </w:rPr>
        <w:t>标人在投标时应按招标文件第四章“投标文件格式”中的要求填写拟派建造师的具体信息。</w:t>
      </w:r>
    </w:p>
    <w:p w14:paraId="5240B5BD">
      <w:pPr>
        <w:pStyle w:val="54"/>
        <w:widowControl w:val="0"/>
        <w:numPr>
          <w:ilvl w:val="0"/>
          <w:numId w:val="0"/>
        </w:numPr>
        <w:tabs>
          <w:tab w:val="left" w:pos="800"/>
        </w:tabs>
        <w:spacing w:line="480" w:lineRule="exact"/>
        <w:ind w:firstLine="480" w:firstLineChars="200"/>
        <w:rPr>
          <w:rFonts w:hint="eastAsia"/>
          <w:bCs/>
          <w:color w:val="000000"/>
          <w:u w:val="single"/>
        </w:rPr>
      </w:pPr>
      <w:r>
        <w:rPr>
          <w:rFonts w:hint="eastAsia"/>
          <w:bCs/>
          <w:color w:val="000000"/>
          <w:u w:val="single"/>
        </w:rPr>
        <w:t>(3)投标人在投标时不需填写项目技术负责人等其他项目管理人员的具体信息。</w:t>
      </w:r>
    </w:p>
    <w:p w14:paraId="10ABA293">
      <w:pPr>
        <w:pStyle w:val="54"/>
        <w:widowControl w:val="0"/>
        <w:numPr>
          <w:ilvl w:val="0"/>
          <w:numId w:val="0"/>
        </w:numPr>
        <w:tabs>
          <w:tab w:val="left" w:pos="800"/>
        </w:tabs>
        <w:spacing w:line="480" w:lineRule="exact"/>
        <w:ind w:firstLine="480" w:firstLineChars="200"/>
        <w:rPr>
          <w:rFonts w:hint="eastAsia"/>
          <w:bCs/>
          <w:color w:val="000000"/>
          <w:u w:val="single"/>
        </w:rPr>
      </w:pPr>
      <w:r>
        <w:rPr>
          <w:rFonts w:hint="eastAsia"/>
          <w:bCs/>
          <w:color w:val="000000"/>
          <w:u w:val="single"/>
        </w:rPr>
        <w:t>30.3投标人中标后若不能按闽建建（2018）37号和《拟派出主要项目管理人员配备标准》要求配备项目技术负责人等其他项目管理人员的，招标人将取消中标人的中标资格和没收其投标保证金。中标单位应无条件配备充足人员，不另行支付费用。</w:t>
      </w:r>
    </w:p>
    <w:p w14:paraId="73E9ED78">
      <w:pPr>
        <w:pStyle w:val="15"/>
        <w:numPr>
          <w:ilvl w:val="0"/>
          <w:numId w:val="6"/>
        </w:numPr>
        <w:spacing w:before="0" w:after="0" w:line="480" w:lineRule="exact"/>
        <w:jc w:val="center"/>
        <w:rPr>
          <w:rFonts w:ascii="宋体" w:hAnsi="宋体"/>
          <w:sz w:val="36"/>
          <w:szCs w:val="36"/>
        </w:rPr>
      </w:pPr>
      <w:r>
        <w:rPr>
          <w:rFonts w:ascii="宋体" w:hAnsi="宋体"/>
          <w:sz w:val="36"/>
          <w:szCs w:val="36"/>
        </w:rPr>
        <w:br w:type="page"/>
      </w:r>
      <w:r>
        <w:rPr>
          <w:rFonts w:hint="eastAsia" w:ascii="宋体" w:hAnsi="宋体"/>
          <w:sz w:val="36"/>
          <w:szCs w:val="36"/>
        </w:rPr>
        <w:t xml:space="preserve"> 合 同 条 款</w:t>
      </w:r>
    </w:p>
    <w:p w14:paraId="7AA39F0D">
      <w:pPr>
        <w:pStyle w:val="28"/>
        <w:spacing w:line="420" w:lineRule="exact"/>
        <w:ind w:firstLine="482" w:firstLineChars="200"/>
        <w:rPr>
          <w:rFonts w:hint="eastAsia" w:hAnsi="宋体"/>
          <w:b/>
          <w:sz w:val="24"/>
        </w:rPr>
      </w:pPr>
      <w:r>
        <w:rPr>
          <w:rFonts w:hint="eastAsia" w:hAnsi="宋体"/>
          <w:b/>
          <w:sz w:val="24"/>
        </w:rPr>
        <w:t>32.合同条款</w:t>
      </w:r>
    </w:p>
    <w:p w14:paraId="24923BD4">
      <w:pPr>
        <w:pStyle w:val="28"/>
        <w:spacing w:line="420" w:lineRule="exact"/>
        <w:ind w:right="-185" w:rightChars="-88" w:firstLine="480" w:firstLineChars="200"/>
        <w:rPr>
          <w:rFonts w:hint="eastAsia"/>
          <w:sz w:val="24"/>
        </w:rPr>
      </w:pPr>
      <w:r>
        <w:rPr>
          <w:rFonts w:hint="eastAsia"/>
          <w:sz w:val="24"/>
        </w:rPr>
        <w:t>32.1本招标项目的合同条款及格式见《建设工程施工合同（示范文本）》(GF-2017-0201)。</w:t>
      </w:r>
    </w:p>
    <w:p w14:paraId="5FC3F3DF">
      <w:pPr>
        <w:pStyle w:val="28"/>
        <w:spacing w:line="420" w:lineRule="exact"/>
        <w:ind w:right="-185" w:rightChars="-88" w:firstLine="480" w:firstLineChars="200"/>
        <w:rPr>
          <w:rFonts w:hint="eastAsia"/>
          <w:sz w:val="24"/>
        </w:rPr>
      </w:pPr>
      <w:r>
        <w:rPr>
          <w:rFonts w:hint="eastAsia"/>
          <w:sz w:val="24"/>
        </w:rPr>
        <w:t>32.2《建设工程施工合同（示范文本）》(GF-2017-0201)合同条款原则上不应修改，但特殊情况时确需对合同条款修改、补充的，拟修改、补充的合同条款内容应在第29.4款“合同条款的修改、补充”中列明。</w:t>
      </w:r>
    </w:p>
    <w:p w14:paraId="238502D6">
      <w:pPr>
        <w:pStyle w:val="28"/>
        <w:spacing w:line="420" w:lineRule="exact"/>
        <w:ind w:right="-185" w:rightChars="-88" w:firstLine="480" w:firstLineChars="200"/>
        <w:rPr>
          <w:rFonts w:hint="eastAsia"/>
          <w:sz w:val="24"/>
        </w:rPr>
      </w:pPr>
      <w:r>
        <w:rPr>
          <w:rFonts w:hint="eastAsia"/>
          <w:sz w:val="24"/>
        </w:rPr>
        <w:t>32.3专用合同条款中如需要明确的，在第29.5款“专用合同条款的填写”中列明。</w:t>
      </w:r>
    </w:p>
    <w:p w14:paraId="4269932A">
      <w:pPr>
        <w:pStyle w:val="28"/>
        <w:spacing w:line="420" w:lineRule="exact"/>
        <w:ind w:right="-185" w:rightChars="-88" w:firstLine="480" w:firstLineChars="200"/>
        <w:rPr>
          <w:rFonts w:hint="eastAsia"/>
          <w:sz w:val="24"/>
        </w:rPr>
      </w:pPr>
      <w:r>
        <w:rPr>
          <w:rFonts w:hint="eastAsia"/>
          <w:sz w:val="24"/>
        </w:rPr>
        <w:t>32.4合同条款的修改和补充：</w:t>
      </w:r>
    </w:p>
    <w:p w14:paraId="2D7CEE89">
      <w:pPr>
        <w:pStyle w:val="28"/>
        <w:wordWrap w:val="0"/>
        <w:spacing w:line="300" w:lineRule="auto"/>
        <w:ind w:firstLine="480" w:firstLineChars="200"/>
        <w:rPr>
          <w:sz w:val="24"/>
        </w:rPr>
      </w:pPr>
      <w:r>
        <w:rPr>
          <w:sz w:val="24"/>
        </w:rPr>
        <w:t>(1)</w:t>
      </w:r>
      <w:r>
        <w:rPr>
          <w:rFonts w:hint="eastAsia"/>
          <w:sz w:val="24"/>
        </w:rPr>
        <w:t>专用合同条款中的“中标降幅系数”更改为“工程预算价下浮率”。</w:t>
      </w:r>
    </w:p>
    <w:p w14:paraId="79460E2C">
      <w:pPr>
        <w:pStyle w:val="28"/>
        <w:spacing w:line="420" w:lineRule="exact"/>
        <w:ind w:right="-185" w:rightChars="-88" w:firstLine="480" w:firstLineChars="200"/>
        <w:rPr>
          <w:rFonts w:hint="eastAsia"/>
          <w:sz w:val="24"/>
        </w:rPr>
      </w:pPr>
      <w:r>
        <w:rPr>
          <w:rFonts w:hint="eastAsia"/>
          <w:sz w:val="24"/>
        </w:rPr>
        <w:t xml:space="preserve">(2) 专用合同条款中增加“若审计部门对项目进行审计，审计部门的审核结论应该作为最终结算的依据。”   </w:t>
      </w:r>
    </w:p>
    <w:p w14:paraId="1BD5657D">
      <w:pPr>
        <w:pStyle w:val="28"/>
        <w:spacing w:line="420" w:lineRule="exact"/>
        <w:ind w:right="-185" w:rightChars="-88" w:firstLine="480" w:firstLineChars="200"/>
        <w:rPr>
          <w:rFonts w:hint="eastAsia"/>
          <w:sz w:val="24"/>
        </w:rPr>
      </w:pPr>
      <w:r>
        <w:rPr>
          <w:rFonts w:hint="eastAsia"/>
          <w:sz w:val="24"/>
        </w:rPr>
        <w:t xml:space="preserve">（3）专用合同条款中增加“中标人必须按法律、法规和《莆田市建筑垃圾处置管理办法》等要求处置建筑垃圾，不得与不具备资质的渣土企业签订运输合同。” 根据莆发服〔2013〕59号文件执行。 </w:t>
      </w:r>
    </w:p>
    <w:p w14:paraId="7C167027">
      <w:pPr>
        <w:pStyle w:val="28"/>
        <w:spacing w:line="420" w:lineRule="exact"/>
        <w:ind w:right="-185" w:rightChars="-88" w:firstLine="480" w:firstLineChars="200"/>
        <w:rPr>
          <w:rFonts w:hint="eastAsia"/>
          <w:sz w:val="24"/>
        </w:rPr>
      </w:pPr>
      <w:r>
        <w:rPr>
          <w:rFonts w:hint="eastAsia"/>
          <w:sz w:val="24"/>
        </w:rPr>
        <w:t>32.5专用合同条款的填写：</w:t>
      </w:r>
    </w:p>
    <w:p w14:paraId="16C3F04E">
      <w:pPr>
        <w:pStyle w:val="28"/>
        <w:spacing w:line="300" w:lineRule="auto"/>
        <w:ind w:firstLine="482" w:firstLineChars="200"/>
        <w:rPr>
          <w:rFonts w:hint="eastAsia"/>
          <w:b/>
          <w:bCs/>
          <w:sz w:val="24"/>
        </w:rPr>
      </w:pPr>
      <w:r>
        <w:rPr>
          <w:rFonts w:hint="eastAsia"/>
          <w:b/>
          <w:bCs/>
          <w:sz w:val="24"/>
        </w:rPr>
        <w:t>1、专用合同条款第3.2.3款关于承包人更换项目经理和技术负责人违约责任的填写内容：</w:t>
      </w:r>
      <w:r>
        <w:rPr>
          <w:rFonts w:hint="eastAsia"/>
          <w:sz w:val="24"/>
        </w:rPr>
        <w:t xml:space="preserve">“除不可抗力外，承包人如要求更换项目管理人员，必须经发包人和监理工程师批准后方可更换，且所变更人员的资格、业绩和信誉不得低于投标承诺。同时，承包人应承担违约责任，更换项目经理或项目技术负责人每人次支付违约金10000元人民币，更换其他人员每人次支付违约金5000元人民币，并直接从承包人的工程款中扣除。 </w:t>
      </w:r>
    </w:p>
    <w:p w14:paraId="76A0679F">
      <w:pPr>
        <w:pStyle w:val="28"/>
        <w:spacing w:line="420" w:lineRule="exact"/>
        <w:ind w:right="-185" w:rightChars="-88" w:firstLine="482" w:firstLineChars="200"/>
        <w:rPr>
          <w:rFonts w:hint="eastAsia"/>
          <w:b/>
          <w:bCs/>
          <w:sz w:val="24"/>
        </w:rPr>
      </w:pPr>
      <w:r>
        <w:rPr>
          <w:rFonts w:hint="eastAsia"/>
          <w:b/>
          <w:bCs/>
          <w:sz w:val="24"/>
        </w:rPr>
        <w:t>2、专用合同条款第3.3.5款关于承包人项目管理班组人员施工期间不在岗的违约责任的填写内容：</w:t>
      </w:r>
      <w:r>
        <w:rPr>
          <w:rFonts w:hint="eastAsia"/>
          <w:sz w:val="24"/>
        </w:rPr>
        <w:t>“</w:t>
      </w:r>
      <w:r>
        <w:rPr>
          <w:rFonts w:hint="eastAsia"/>
          <w:sz w:val="24"/>
          <w:u w:val="single"/>
        </w:rPr>
        <w:t>发包人、监理人或相关行政部门检查时，</w:t>
      </w:r>
      <w:r>
        <w:rPr>
          <w:rFonts w:hint="eastAsia"/>
          <w:sz w:val="24"/>
          <w:szCs w:val="24"/>
          <w:u w:val="single"/>
        </w:rPr>
        <w:t>若发现项目负责人不在岗且不能说明合理理由、或经通知不能在合理的时间内达到现场的，发包人将对承包人给予项目负责人每次2000元、施工员等其他人员每人次1000元的罚款，并直接从工程款中扣除。由此引发的一切责任、后果由承包人承担</w:t>
      </w:r>
      <w:r>
        <w:rPr>
          <w:rFonts w:hint="eastAsia"/>
          <w:sz w:val="24"/>
        </w:rPr>
        <w:t xml:space="preserve">”。    </w:t>
      </w:r>
    </w:p>
    <w:p w14:paraId="36A2679F">
      <w:pPr>
        <w:pStyle w:val="28"/>
        <w:spacing w:line="420" w:lineRule="exact"/>
        <w:ind w:right="-185" w:rightChars="-88" w:firstLine="482" w:firstLineChars="200"/>
        <w:rPr>
          <w:rFonts w:hint="eastAsia"/>
          <w:b/>
          <w:bCs/>
          <w:sz w:val="24"/>
        </w:rPr>
      </w:pPr>
      <w:r>
        <w:rPr>
          <w:rFonts w:hint="eastAsia"/>
          <w:b/>
          <w:bCs/>
          <w:sz w:val="24"/>
        </w:rPr>
        <w:t>3、专用合同条款第7.5.2款关于因承包人原因造成工期延误，逾期竣工违约金的计算方法：</w:t>
      </w:r>
      <w:r>
        <w:rPr>
          <w:rFonts w:hint="eastAsia"/>
          <w:sz w:val="24"/>
        </w:rPr>
        <w:t>“</w:t>
      </w:r>
      <w:r>
        <w:rPr>
          <w:rFonts w:hint="eastAsia"/>
          <w:sz w:val="24"/>
          <w:szCs w:val="24"/>
          <w:u w:val="single"/>
        </w:rPr>
        <w:t>若承包人不能在合同工期内完成工程施工的，每延误一天，应向发包人支付逾期竣工违约金1000元；违约金由发包人从承包人的工程款中扣除，违约金上限为合同价的10%</w:t>
      </w:r>
      <w:r>
        <w:rPr>
          <w:rFonts w:hint="eastAsia"/>
          <w:sz w:val="24"/>
        </w:rPr>
        <w:t>”。</w:t>
      </w:r>
    </w:p>
    <w:p w14:paraId="0E62CD12">
      <w:pPr>
        <w:wordWrap w:val="0"/>
        <w:spacing w:line="460" w:lineRule="atLeast"/>
        <w:ind w:left="120" w:leftChars="57" w:firstLine="361" w:firstLineChars="150"/>
        <w:jc w:val="left"/>
        <w:rPr>
          <w:rFonts w:hint="eastAsia"/>
          <w:b/>
          <w:bCs/>
          <w:sz w:val="24"/>
        </w:rPr>
      </w:pPr>
      <w:r>
        <w:rPr>
          <w:rFonts w:hint="eastAsia"/>
          <w:b/>
          <w:bCs/>
          <w:sz w:val="24"/>
        </w:rPr>
        <w:t>4、专用合同条款第12.1.3</w:t>
      </w:r>
      <w:r>
        <w:rPr>
          <w:rFonts w:hint="eastAsia" w:ascii="宋体" w:hAnsi="宋体"/>
          <w:b/>
          <w:bCs/>
          <w:sz w:val="24"/>
        </w:rPr>
        <w:t>其他价格方式</w:t>
      </w:r>
      <w:r>
        <w:rPr>
          <w:rFonts w:hint="eastAsia" w:ascii="宋体" w:hAnsi="宋体"/>
          <w:sz w:val="24"/>
        </w:rPr>
        <w:t>：</w:t>
      </w:r>
    </w:p>
    <w:p w14:paraId="0554040E">
      <w:pPr>
        <w:wordWrap w:val="0"/>
        <w:spacing w:line="460" w:lineRule="atLeast"/>
        <w:ind w:firstLine="480" w:firstLineChars="200"/>
        <w:jc w:val="left"/>
        <w:rPr>
          <w:rFonts w:hint="eastAsia"/>
          <w:sz w:val="24"/>
        </w:rPr>
      </w:pPr>
      <w:r>
        <w:rPr>
          <w:rFonts w:hint="eastAsia"/>
          <w:sz w:val="24"/>
        </w:rPr>
        <w:t xml:space="preserve">12.1.3.1 </w:t>
      </w:r>
      <w:r>
        <w:rPr>
          <w:rFonts w:hint="eastAsia" w:ascii="宋体" w:hAnsi="宋体"/>
          <w:sz w:val="24"/>
        </w:rPr>
        <w:t>1）承包期间单项零星修缮改造工程工程预算价（不含甲供材料）在260万元以下的项目，其预算编制时套用施工当月省造价部门发布的月份信息价。工程量按现场签证结算（按工程下浮率进行下浮）。</w:t>
      </w:r>
    </w:p>
    <w:p w14:paraId="7E53421B">
      <w:pPr>
        <w:tabs>
          <w:tab w:val="left" w:pos="1260"/>
        </w:tabs>
        <w:spacing w:line="460" w:lineRule="atLeast"/>
        <w:ind w:firstLine="480" w:firstLineChars="200"/>
        <w:jc w:val="left"/>
        <w:rPr>
          <w:rFonts w:hint="eastAsia" w:ascii="宋体" w:hAnsi="宋体"/>
          <w:sz w:val="24"/>
        </w:rPr>
      </w:pPr>
      <w:r>
        <w:rPr>
          <w:rFonts w:hint="eastAsia" w:ascii="宋体" w:hAnsi="宋体"/>
          <w:sz w:val="24"/>
        </w:rPr>
        <w:t>2）不可竞争费用（包括文明施工费、安全施工费、临时设施费、规费、税金等）计入工程预算价时应列明。</w:t>
      </w:r>
    </w:p>
    <w:p w14:paraId="6032AEA7">
      <w:pPr>
        <w:tabs>
          <w:tab w:val="left" w:pos="1260"/>
        </w:tabs>
        <w:spacing w:line="460" w:lineRule="atLeast"/>
        <w:ind w:firstLine="480" w:firstLineChars="200"/>
        <w:jc w:val="left"/>
        <w:rPr>
          <w:rFonts w:hint="eastAsia" w:ascii="宋体" w:hAnsi="宋体"/>
          <w:sz w:val="24"/>
        </w:rPr>
      </w:pPr>
      <w:r>
        <w:rPr>
          <w:rFonts w:hint="eastAsia" w:ascii="宋体" w:hAnsi="宋体"/>
          <w:sz w:val="24"/>
        </w:rPr>
        <w:t>3）工程税率按9％计取。</w:t>
      </w:r>
    </w:p>
    <w:p w14:paraId="048FC765">
      <w:pPr>
        <w:pStyle w:val="36"/>
        <w:spacing w:after="0" w:line="460" w:lineRule="atLeast"/>
        <w:ind w:left="0" w:leftChars="0" w:firstLine="480" w:firstLineChars="200"/>
        <w:rPr>
          <w:rFonts w:hint="eastAsia"/>
          <w:sz w:val="24"/>
        </w:rPr>
      </w:pPr>
      <w:r>
        <w:rPr>
          <w:rFonts w:hint="eastAsia"/>
          <w:sz w:val="24"/>
        </w:rPr>
        <w:t>12.1.3.2</w:t>
      </w:r>
      <w:r>
        <w:rPr>
          <w:rFonts w:hint="eastAsia" w:ascii="宋体" w:hAnsi="宋体"/>
          <w:b/>
          <w:bCs/>
          <w:sz w:val="24"/>
        </w:rPr>
        <w:t>工程合同价控制</w:t>
      </w:r>
    </w:p>
    <w:p w14:paraId="57E96E1A">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1）本工程竣工结算的工程量以发包人和承包人双方认可的工程竣工图纸（可由设计施工图和设计变更资料组成）、内业资料（需附现场及其周边参照物图片资料），以及双方现场代表的现场签证资料为准。</w:t>
      </w:r>
    </w:p>
    <w:p w14:paraId="2663129F">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2）风险因素包括下列范围：</w:t>
      </w:r>
    </w:p>
    <w:p w14:paraId="18FB1EC3">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1工程量清单核对澄清之后，仍有错、漏，导致工程预算不准确的（指在中标通知书发出的一个月内，发包人和承包人双方进行核对工程量清单的）；</w:t>
      </w:r>
    </w:p>
    <w:p w14:paraId="1A797037">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2市场变化，政策性调整导致主要材料（设备）价格与编制预算价是采用的信息价相比，上涨或下跌幅度在10%以内（含10%）的；</w:t>
      </w:r>
    </w:p>
    <w:p w14:paraId="3572B6F1">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3施工期间出主要材料以外的其他材料价格变化的（主要材料指招标人工程预算价的主要材料项目表中所列的材料）；</w:t>
      </w:r>
    </w:p>
    <w:p w14:paraId="5688F3DC">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4天气、地形、地质等自然条件（不可抗力的除外）变化而采取的临时措施的；</w:t>
      </w:r>
    </w:p>
    <w:p w14:paraId="6F4B254B">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5人工、机械费价格变化的。</w:t>
      </w:r>
    </w:p>
    <w:p w14:paraId="1808CEBC">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3）材料价格风险控制</w:t>
      </w:r>
    </w:p>
    <w:p w14:paraId="130194C2">
      <w:pPr>
        <w:pStyle w:val="36"/>
        <w:spacing w:after="0" w:line="460" w:lineRule="atLeast"/>
        <w:ind w:left="0" w:leftChars="0" w:firstLine="480" w:firstLineChars="200"/>
        <w:rPr>
          <w:rFonts w:hint="eastAsia" w:ascii="宋体" w:hAnsi="宋体"/>
          <w:bCs/>
          <w:kern w:val="0"/>
          <w:sz w:val="24"/>
        </w:rPr>
      </w:pPr>
      <w:r>
        <w:rPr>
          <w:rFonts w:hint="eastAsia" w:ascii="宋体" w:hAnsi="宋体"/>
          <w:bCs/>
          <w:kern w:val="0"/>
          <w:sz w:val="24"/>
        </w:rPr>
        <w:t>因发包人原因造成工期拖延的，在拖延期间的材料上涨价差有发包人承担；因承包人原因造成拖延的，在拖延期间的材料上涨价差有承包人承担。</w:t>
      </w:r>
    </w:p>
    <w:p w14:paraId="3EED547E">
      <w:pPr>
        <w:tabs>
          <w:tab w:val="left" w:pos="1260"/>
        </w:tabs>
        <w:spacing w:line="480" w:lineRule="exact"/>
        <w:ind w:firstLine="480" w:firstLineChars="200"/>
        <w:jc w:val="left"/>
        <w:rPr>
          <w:rFonts w:hint="eastAsia"/>
          <w:sz w:val="24"/>
        </w:rPr>
      </w:pPr>
      <w:r>
        <w:rPr>
          <w:rFonts w:hint="eastAsia"/>
          <w:sz w:val="24"/>
        </w:rPr>
        <w:t>4）设计变更控制</w:t>
      </w:r>
    </w:p>
    <w:p w14:paraId="02E5B8CC">
      <w:pPr>
        <w:tabs>
          <w:tab w:val="left" w:pos="1260"/>
        </w:tabs>
        <w:spacing w:line="480" w:lineRule="exact"/>
        <w:ind w:firstLine="480" w:firstLineChars="200"/>
        <w:jc w:val="left"/>
        <w:rPr>
          <w:rFonts w:hint="eastAsia"/>
          <w:sz w:val="24"/>
        </w:rPr>
      </w:pPr>
      <w:r>
        <w:rPr>
          <w:rFonts w:hint="eastAsia"/>
          <w:sz w:val="24"/>
        </w:rPr>
        <w:t>各单项工程变更类别累计增加造价在4万（含4万元）以下的，由发包人加强管理；各单项工程变更类别累计增加造价在4-40万元（含40万元）到行政主管部门进行备案，不以比例控制，各单项工程变更后结算总价不得超过400万元。</w:t>
      </w:r>
    </w:p>
    <w:p w14:paraId="5EAC934D">
      <w:pPr>
        <w:tabs>
          <w:tab w:val="left" w:pos="1260"/>
        </w:tabs>
        <w:spacing w:line="480" w:lineRule="exact"/>
        <w:ind w:firstLine="480" w:firstLineChars="200"/>
        <w:jc w:val="left"/>
        <w:rPr>
          <w:rFonts w:hint="eastAsia"/>
          <w:sz w:val="24"/>
        </w:rPr>
      </w:pPr>
      <w:r>
        <w:rPr>
          <w:rFonts w:hint="eastAsia"/>
          <w:sz w:val="24"/>
        </w:rPr>
        <w:t>各单项工程变更类别累计超过40万元和合同价达400万元及以上的工程，变更类别按累计增加合同价比例和金额共同确定，从严控制。</w:t>
      </w:r>
    </w:p>
    <w:p w14:paraId="3516E517">
      <w:pPr>
        <w:tabs>
          <w:tab w:val="left" w:pos="1260"/>
        </w:tabs>
        <w:spacing w:line="480" w:lineRule="exact"/>
        <w:ind w:firstLine="480" w:firstLineChars="200"/>
        <w:jc w:val="left"/>
        <w:rPr>
          <w:rFonts w:hint="eastAsia"/>
          <w:sz w:val="24"/>
        </w:rPr>
      </w:pPr>
      <w:r>
        <w:rPr>
          <w:rFonts w:hint="eastAsia"/>
          <w:sz w:val="24"/>
        </w:rPr>
        <w:t>5）发生工程量增减，按下列办法计算相关费用：</w:t>
      </w:r>
    </w:p>
    <w:p w14:paraId="3F6445EF">
      <w:pPr>
        <w:tabs>
          <w:tab w:val="left" w:pos="1260"/>
        </w:tabs>
        <w:spacing w:line="480" w:lineRule="exact"/>
        <w:ind w:firstLine="720" w:firstLineChars="300"/>
        <w:jc w:val="left"/>
        <w:rPr>
          <w:rFonts w:hint="eastAsia"/>
          <w:sz w:val="24"/>
        </w:rPr>
      </w:pPr>
      <w:r>
        <w:rPr>
          <w:rFonts w:hint="eastAsia"/>
          <w:sz w:val="24"/>
        </w:rPr>
        <w:t>1增减工程量的单价确定</w:t>
      </w:r>
    </w:p>
    <w:p w14:paraId="047653ED">
      <w:pPr>
        <w:tabs>
          <w:tab w:val="left" w:pos="1260"/>
        </w:tabs>
        <w:spacing w:line="480" w:lineRule="exact"/>
        <w:ind w:firstLine="480" w:firstLineChars="200"/>
        <w:jc w:val="left"/>
        <w:rPr>
          <w:rFonts w:hint="eastAsia"/>
          <w:sz w:val="24"/>
        </w:rPr>
      </w:pPr>
      <w:r>
        <w:rPr>
          <w:rFonts w:hint="eastAsia"/>
          <w:sz w:val="24"/>
        </w:rPr>
        <w:t>在工程预算内的项目综合单价，按预算内相应项目的综合单价及下浮率计算。</w:t>
      </w:r>
    </w:p>
    <w:p w14:paraId="466E4B1A">
      <w:pPr>
        <w:tabs>
          <w:tab w:val="left" w:pos="1260"/>
        </w:tabs>
        <w:spacing w:line="480" w:lineRule="exact"/>
        <w:ind w:firstLine="480" w:firstLineChars="200"/>
        <w:jc w:val="left"/>
        <w:rPr>
          <w:rFonts w:hint="eastAsia"/>
          <w:sz w:val="24"/>
        </w:rPr>
      </w:pPr>
      <w:r>
        <w:rPr>
          <w:rFonts w:hint="eastAsia"/>
          <w:sz w:val="24"/>
        </w:rPr>
        <w:t>工程预算内的项目综合单价=预算内相应项目的综合单价×（1-下浮率）</w:t>
      </w:r>
    </w:p>
    <w:p w14:paraId="23F6100A">
      <w:pPr>
        <w:tabs>
          <w:tab w:val="left" w:pos="1260"/>
        </w:tabs>
        <w:spacing w:line="480" w:lineRule="exact"/>
        <w:ind w:firstLine="480" w:firstLineChars="200"/>
        <w:jc w:val="left"/>
        <w:rPr>
          <w:rFonts w:hint="eastAsia"/>
          <w:sz w:val="24"/>
        </w:rPr>
      </w:pPr>
      <w:r>
        <w:rPr>
          <w:rFonts w:hint="eastAsia"/>
          <w:sz w:val="24"/>
        </w:rPr>
        <w:t>不在工程预算内的项目综合单价，按照市相关部门造价管理机构颁布的施工期间的消耗量定额、费用定额、材料（设备）信息价及下浮率计算。即：</w:t>
      </w:r>
    </w:p>
    <w:p w14:paraId="58D47E71">
      <w:pPr>
        <w:tabs>
          <w:tab w:val="left" w:pos="1260"/>
        </w:tabs>
        <w:spacing w:line="480" w:lineRule="exact"/>
        <w:ind w:firstLine="480" w:firstLineChars="200"/>
        <w:jc w:val="left"/>
        <w:rPr>
          <w:rFonts w:hint="eastAsia"/>
          <w:sz w:val="24"/>
        </w:rPr>
      </w:pPr>
      <w:r>
        <w:rPr>
          <w:rFonts w:hint="eastAsia"/>
          <w:sz w:val="24"/>
        </w:rPr>
        <w:t>不在工程预算内的项目综合单价=按本项规定计算的综合单价×（1-下浮率）</w:t>
      </w:r>
    </w:p>
    <w:p w14:paraId="78A64E57">
      <w:pPr>
        <w:tabs>
          <w:tab w:val="left" w:pos="1260"/>
        </w:tabs>
        <w:spacing w:line="480" w:lineRule="exact"/>
        <w:ind w:firstLine="480" w:firstLineChars="200"/>
        <w:jc w:val="left"/>
        <w:rPr>
          <w:rFonts w:hint="eastAsia"/>
          <w:sz w:val="24"/>
        </w:rPr>
      </w:pPr>
      <w:r>
        <w:rPr>
          <w:rFonts w:hint="eastAsia"/>
          <w:sz w:val="24"/>
        </w:rPr>
        <w:t>若定额缺项的，有中标人提出定额，经招标人会同工程预（决）算编制单位审核确定。</w:t>
      </w:r>
    </w:p>
    <w:p w14:paraId="7CC3E5FE">
      <w:pPr>
        <w:tabs>
          <w:tab w:val="left" w:pos="1260"/>
        </w:tabs>
        <w:spacing w:line="480" w:lineRule="exact"/>
        <w:ind w:firstLine="480" w:firstLineChars="200"/>
        <w:jc w:val="left"/>
        <w:rPr>
          <w:rFonts w:hint="eastAsia"/>
          <w:sz w:val="24"/>
        </w:rPr>
      </w:pPr>
      <w:r>
        <w:rPr>
          <w:rFonts w:hint="eastAsia"/>
          <w:sz w:val="24"/>
        </w:rPr>
        <w:t>如双方不能达成一致的，双方可提请工程所在地工程造价管理机构进行咨询或按合同约定的争议或纠纷解决程序办理。</w:t>
      </w:r>
    </w:p>
    <w:p w14:paraId="2425BB33">
      <w:pPr>
        <w:tabs>
          <w:tab w:val="left" w:pos="1260"/>
        </w:tabs>
        <w:spacing w:line="480" w:lineRule="exact"/>
        <w:ind w:firstLine="480" w:firstLineChars="200"/>
        <w:jc w:val="left"/>
        <w:rPr>
          <w:rFonts w:hint="eastAsia"/>
          <w:sz w:val="24"/>
        </w:rPr>
      </w:pPr>
      <w:r>
        <w:rPr>
          <w:rFonts w:hint="eastAsia"/>
          <w:sz w:val="24"/>
        </w:rPr>
        <w:t xml:space="preserve"> 2材料变更的价格确定</w:t>
      </w:r>
    </w:p>
    <w:p w14:paraId="3003F4C6">
      <w:pPr>
        <w:tabs>
          <w:tab w:val="left" w:pos="1260"/>
        </w:tabs>
        <w:spacing w:line="480" w:lineRule="exact"/>
        <w:ind w:firstLine="480" w:firstLineChars="200"/>
        <w:jc w:val="left"/>
        <w:rPr>
          <w:rFonts w:hint="eastAsia"/>
          <w:sz w:val="24"/>
        </w:rPr>
      </w:pPr>
      <w:r>
        <w:rPr>
          <w:rFonts w:hint="eastAsia"/>
          <w:sz w:val="24"/>
        </w:rPr>
        <w:t>工程预算的材料价格明细总中没有的材料，按照相关行政主管部门指定的信息发布媒介公布的建设工程施工期间材料单价及下浮率计算。即：</w:t>
      </w:r>
    </w:p>
    <w:p w14:paraId="0F446F8E">
      <w:pPr>
        <w:tabs>
          <w:tab w:val="left" w:pos="1260"/>
        </w:tabs>
        <w:spacing w:line="480" w:lineRule="exact"/>
        <w:ind w:firstLine="480" w:firstLineChars="200"/>
        <w:jc w:val="left"/>
        <w:rPr>
          <w:rFonts w:hint="eastAsia"/>
          <w:sz w:val="24"/>
        </w:rPr>
      </w:pPr>
      <w:r>
        <w:rPr>
          <w:rFonts w:hint="eastAsia"/>
          <w:sz w:val="24"/>
        </w:rPr>
        <w:t>材料价格明细表中没有的材料价格+信息价×（1-下浮率）</w:t>
      </w:r>
    </w:p>
    <w:p w14:paraId="042CB16F">
      <w:pPr>
        <w:tabs>
          <w:tab w:val="left" w:pos="1260"/>
        </w:tabs>
        <w:spacing w:line="480" w:lineRule="exact"/>
        <w:ind w:firstLine="480" w:firstLineChars="200"/>
        <w:jc w:val="left"/>
        <w:rPr>
          <w:rFonts w:hint="eastAsia"/>
          <w:sz w:val="24"/>
        </w:rPr>
      </w:pPr>
      <w:r>
        <w:rPr>
          <w:rFonts w:hint="eastAsia"/>
          <w:sz w:val="24"/>
        </w:rPr>
        <w:t>上述发布媒介没有公布的材料单价，由中标人提出适当的价格，经招标人会同工程预（决）算编制单位审核确定，报市相关部门造价管理机构备案，</w:t>
      </w:r>
    </w:p>
    <w:p w14:paraId="130A18E3">
      <w:pPr>
        <w:pStyle w:val="28"/>
        <w:spacing w:line="420" w:lineRule="exact"/>
        <w:ind w:right="-185" w:rightChars="-88" w:firstLine="482" w:firstLineChars="200"/>
        <w:rPr>
          <w:rFonts w:hint="eastAsia"/>
          <w:b/>
          <w:bCs/>
          <w:sz w:val="24"/>
        </w:rPr>
      </w:pPr>
      <w:r>
        <w:rPr>
          <w:rFonts w:hint="eastAsia"/>
          <w:b/>
          <w:bCs/>
          <w:sz w:val="24"/>
        </w:rPr>
        <w:t>5、专用合同条款第12.2预付款：</w:t>
      </w:r>
      <w:r>
        <w:rPr>
          <w:rFonts w:hint="eastAsia"/>
          <w:sz w:val="24"/>
        </w:rPr>
        <w:t>本工程无预付款。</w:t>
      </w:r>
    </w:p>
    <w:p w14:paraId="5B1A3EB6">
      <w:pPr>
        <w:spacing w:line="480" w:lineRule="exact"/>
        <w:ind w:firstLine="482" w:firstLineChars="200"/>
        <w:rPr>
          <w:rFonts w:hint="eastAsia"/>
          <w:b/>
          <w:bCs/>
          <w:sz w:val="24"/>
        </w:rPr>
      </w:pPr>
      <w:r>
        <w:rPr>
          <w:rFonts w:hint="eastAsia"/>
          <w:b/>
          <w:bCs/>
          <w:sz w:val="24"/>
        </w:rPr>
        <w:t>6、专用合同条款第12.4.关于付款周期的约定：</w:t>
      </w:r>
      <w:r>
        <w:rPr>
          <w:rFonts w:hint="eastAsia"/>
          <w:sz w:val="24"/>
          <w:u w:val="single"/>
        </w:rPr>
        <w:t>1）工程量待每个标段竣工验收后进行汇总，最终工程造价以经学院审计科审核的工程结算价为准，按实进行结算。</w:t>
      </w:r>
    </w:p>
    <w:p w14:paraId="05B826DE">
      <w:pPr>
        <w:spacing w:line="480" w:lineRule="exact"/>
        <w:ind w:firstLine="480" w:firstLineChars="200"/>
        <w:rPr>
          <w:rFonts w:hint="eastAsia"/>
          <w:sz w:val="24"/>
          <w:u w:val="single"/>
        </w:rPr>
      </w:pPr>
      <w:r>
        <w:rPr>
          <w:rFonts w:hint="eastAsia"/>
          <w:sz w:val="24"/>
          <w:u w:val="single"/>
        </w:rPr>
        <w:t>2）每标段工程竣工验收结算、通过造价咨询单位第三方审核结算后，</w:t>
      </w:r>
      <w:r>
        <w:rPr>
          <w:rFonts w:hint="eastAsia" w:ascii="宋体" w:hAnsi="宋体"/>
          <w:sz w:val="24"/>
          <w:u w:val="single"/>
        </w:rPr>
        <w:t>发包人收到承包人送达的材料，并对材料进行审查，在材料齐全并且审查合格后，</w:t>
      </w:r>
      <w:r>
        <w:rPr>
          <w:rFonts w:hint="eastAsia"/>
          <w:sz w:val="24"/>
          <w:u w:val="single"/>
        </w:rPr>
        <w:t>发包人在收到承包人开具的税务发票后支付工程结算审核后总价的97%，余下的3 %作为保修金，保修金待保修期满后，无工程质量问题，一个月内无息返还。</w:t>
      </w:r>
    </w:p>
    <w:p w14:paraId="553EE5C4">
      <w:pPr>
        <w:spacing w:line="400" w:lineRule="exact"/>
        <w:ind w:firstLine="480" w:firstLineChars="200"/>
        <w:rPr>
          <w:rFonts w:hint="eastAsia" w:ascii="宋体" w:hAnsi="宋体"/>
          <w:sz w:val="24"/>
          <w:u w:val="single"/>
        </w:rPr>
      </w:pPr>
      <w:r>
        <w:rPr>
          <w:rFonts w:hint="eastAsia" w:ascii="宋体" w:hAnsi="宋体"/>
          <w:sz w:val="24"/>
          <w:u w:val="single"/>
        </w:rPr>
        <w:t>备注：发包人在工程款支付时，原预算书中要求提供税率为9%的增值税发票，但承包人实际提供的发票票面税率与要求的税率不同时，则发包人实际付款金额=结算价/1.09*（1+票面税率），例如：若开票税率为3%，则发包人实际付款金额=结算价/1.09*（1+3%）。若国家出台新的税收政策，则按新政策执行。</w:t>
      </w:r>
    </w:p>
    <w:p w14:paraId="77B0CA28">
      <w:pPr>
        <w:spacing w:line="400" w:lineRule="exact"/>
        <w:ind w:firstLine="480" w:firstLineChars="200"/>
        <w:rPr>
          <w:rFonts w:hint="eastAsia" w:ascii="宋体" w:hAnsi="宋体"/>
          <w:sz w:val="24"/>
          <w:u w:val="single"/>
        </w:rPr>
      </w:pPr>
      <w:r>
        <w:rPr>
          <w:rFonts w:hint="eastAsia" w:ascii="宋体" w:hAnsi="宋体"/>
          <w:sz w:val="24"/>
          <w:u w:val="single"/>
        </w:rPr>
        <w:t>3）本项目工程款由发包人依照双方施工合同关于支付进度及支付方式的约定，与承包人进行结算，并向发包人开具等额正式发票。</w:t>
      </w:r>
    </w:p>
    <w:p w14:paraId="29F0083E">
      <w:pPr>
        <w:spacing w:line="400" w:lineRule="exact"/>
        <w:ind w:firstLine="482" w:firstLineChars="200"/>
        <w:rPr>
          <w:rFonts w:hint="eastAsia" w:ascii="宋体" w:hAnsi="宋体"/>
          <w:b/>
          <w:bCs/>
          <w:sz w:val="24"/>
        </w:rPr>
      </w:pPr>
      <w:r>
        <w:rPr>
          <w:rFonts w:hint="eastAsia" w:ascii="宋体" w:hAnsi="宋体"/>
          <w:b/>
          <w:bCs/>
          <w:sz w:val="24"/>
        </w:rPr>
        <w:t>7、</w:t>
      </w:r>
      <w:r>
        <w:rPr>
          <w:rFonts w:hint="eastAsia"/>
          <w:b/>
          <w:bCs/>
          <w:sz w:val="24"/>
        </w:rPr>
        <w:t>专用合同条款</w:t>
      </w:r>
      <w:r>
        <w:rPr>
          <w:rFonts w:hint="eastAsia" w:ascii="宋体" w:hAnsi="宋体"/>
          <w:b/>
          <w:bCs/>
          <w:sz w:val="24"/>
        </w:rPr>
        <w:t>21.补充条款：</w:t>
      </w:r>
      <w:r>
        <w:rPr>
          <w:rFonts w:hint="eastAsia"/>
        </w:rPr>
        <w:t xml:space="preserve"> （1）</w:t>
      </w:r>
      <w:r>
        <w:rPr>
          <w:rFonts w:hint="eastAsia" w:ascii="宋体" w:hAnsi="宋体"/>
          <w:sz w:val="24"/>
        </w:rPr>
        <w:t>承包区域内单项工程预算价（不含甲供材料）在</w:t>
      </w:r>
      <w:r>
        <w:rPr>
          <w:rFonts w:hint="eastAsia" w:ascii="宋体" w:hAnsi="宋体"/>
          <w:sz w:val="24"/>
          <w:lang w:val="en-US" w:eastAsia="zh-CN"/>
        </w:rPr>
        <w:t>2</w:t>
      </w:r>
      <w:r>
        <w:rPr>
          <w:rFonts w:hint="eastAsia" w:ascii="宋体" w:hAnsi="宋体"/>
          <w:sz w:val="24"/>
        </w:rPr>
        <w:t>60万元以下的施工任务。按照发包人的要求进行实施。擅自施工及超范围施工的发包人不予以认定。</w:t>
      </w:r>
    </w:p>
    <w:p w14:paraId="473473A8">
      <w:pPr>
        <w:spacing w:line="400" w:lineRule="exact"/>
        <w:ind w:firstLine="480" w:firstLineChars="200"/>
        <w:rPr>
          <w:rFonts w:hint="eastAsia" w:ascii="宋体" w:hAnsi="宋体"/>
          <w:sz w:val="24"/>
        </w:rPr>
      </w:pPr>
      <w:r>
        <w:rPr>
          <w:rFonts w:hint="eastAsia" w:ascii="宋体" w:hAnsi="宋体"/>
          <w:sz w:val="24"/>
        </w:rPr>
        <w:t>（2）承包人未能在发包人人要求，规范和规定时限内施工的，未能按照有关作业安全防护的，产生的质量问题、安全事故及一切后果由承包人自行承担。发包人有权每次扣除该项目工程费用的5%。</w:t>
      </w:r>
    </w:p>
    <w:p w14:paraId="157C4FCC">
      <w:pPr>
        <w:spacing w:line="480" w:lineRule="exact"/>
        <w:ind w:firstLine="480" w:firstLineChars="200"/>
        <w:rPr>
          <w:rFonts w:hint="eastAsia"/>
          <w:sz w:val="24"/>
        </w:rPr>
      </w:pPr>
      <w:r>
        <w:rPr>
          <w:rFonts w:hint="eastAsia"/>
          <w:sz w:val="24"/>
        </w:rPr>
        <w:t>（3）如承包人无法完成规定的标准或施工期限的，发包人有权按规定的“扣款标准”进行扣款，产生一切后果由承包人承担，发包人不承担任何经济及法律责任。</w:t>
      </w:r>
    </w:p>
    <w:p w14:paraId="219CCDEB">
      <w:pPr>
        <w:spacing w:line="480" w:lineRule="exact"/>
        <w:ind w:firstLine="480" w:firstLineChars="200"/>
        <w:rPr>
          <w:rFonts w:hint="eastAsia"/>
          <w:sz w:val="24"/>
        </w:rPr>
      </w:pPr>
      <w:r>
        <w:rPr>
          <w:rFonts w:hint="eastAsia"/>
          <w:sz w:val="24"/>
        </w:rPr>
        <w:t>（4）出现工程质量安全事故，按质量安全有关规定查处，每次事故至少扣承包人500元，年内发生三起安全事故，不论事故大小，扣除履约保证金，取消其承包人资格，并赔偿相应损失。同时发包人成立事故调查组，深入调查并追究责任。</w:t>
      </w:r>
    </w:p>
    <w:p w14:paraId="7D3E137F">
      <w:pPr>
        <w:spacing w:line="480" w:lineRule="exact"/>
        <w:ind w:firstLine="480" w:firstLineChars="200"/>
        <w:rPr>
          <w:rFonts w:hint="eastAsia" w:ascii="宋体" w:hAnsi="宋体"/>
          <w:bCs/>
          <w:sz w:val="24"/>
        </w:rPr>
      </w:pPr>
      <w:r>
        <w:rPr>
          <w:rFonts w:hint="eastAsia" w:ascii="宋体" w:hAnsi="宋体"/>
          <w:bCs/>
          <w:sz w:val="24"/>
        </w:rPr>
        <w:t>（5）现场施工应遵守国家和地</w:t>
      </w:r>
      <w:r>
        <w:rPr>
          <w:rFonts w:ascii="宋体" w:hAnsi="宋体"/>
          <w:bCs/>
          <w:sz w:val="24"/>
        </w:rPr>
        <w:t>方</w:t>
      </w:r>
      <w:r>
        <w:rPr>
          <w:rFonts w:hint="eastAsia" w:ascii="宋体" w:hAnsi="宋体"/>
          <w:bCs/>
          <w:sz w:val="24"/>
        </w:rPr>
        <w:t>关于劳</w:t>
      </w:r>
      <w:r>
        <w:rPr>
          <w:rFonts w:ascii="宋体" w:hAnsi="宋体"/>
          <w:bCs/>
          <w:sz w:val="24"/>
        </w:rPr>
        <w:t>动</w:t>
      </w:r>
      <w:r>
        <w:rPr>
          <w:rFonts w:hint="eastAsia" w:ascii="宋体" w:hAnsi="宋体"/>
          <w:bCs/>
          <w:sz w:val="24"/>
        </w:rPr>
        <w:t>安全、劳务用工法律</w:t>
      </w:r>
      <w:r>
        <w:rPr>
          <w:rFonts w:ascii="宋体" w:hAnsi="宋体"/>
          <w:bCs/>
          <w:sz w:val="24"/>
        </w:rPr>
        <w:t>法</w:t>
      </w:r>
      <w:r>
        <w:rPr>
          <w:rFonts w:hint="eastAsia" w:ascii="宋体" w:hAnsi="宋体"/>
          <w:bCs/>
          <w:sz w:val="24"/>
        </w:rPr>
        <w:t>规及规章制度，保证其用工的合法性。承包人必须按国家有关规定，为</w:t>
      </w:r>
      <w:r>
        <w:rPr>
          <w:rFonts w:ascii="宋体" w:hAnsi="宋体"/>
          <w:bCs/>
          <w:sz w:val="24"/>
        </w:rPr>
        <w:t>施</w:t>
      </w:r>
      <w:r>
        <w:rPr>
          <w:rFonts w:hint="eastAsia" w:ascii="宋体" w:hAnsi="宋体"/>
          <w:bCs/>
          <w:sz w:val="24"/>
        </w:rPr>
        <w:t>工人员参加工伤保险缴纳工</w:t>
      </w:r>
      <w:r>
        <w:rPr>
          <w:rFonts w:ascii="宋体" w:hAnsi="宋体"/>
          <w:bCs/>
          <w:sz w:val="24"/>
        </w:rPr>
        <w:t>伤</w:t>
      </w:r>
      <w:r>
        <w:rPr>
          <w:rFonts w:hint="eastAsia" w:ascii="宋体" w:hAnsi="宋体"/>
          <w:bCs/>
          <w:sz w:val="24"/>
        </w:rPr>
        <w:t>保险费，对从事危</w:t>
      </w:r>
      <w:r>
        <w:rPr>
          <w:rFonts w:ascii="宋体" w:hAnsi="宋体"/>
          <w:bCs/>
          <w:sz w:val="24"/>
        </w:rPr>
        <w:t>险</w:t>
      </w:r>
      <w:r>
        <w:rPr>
          <w:rFonts w:hint="eastAsia" w:ascii="宋体" w:hAnsi="宋体"/>
          <w:bCs/>
          <w:sz w:val="24"/>
        </w:rPr>
        <w:t>作业的职工办理意外伤害保</w:t>
      </w:r>
      <w:r>
        <w:rPr>
          <w:rFonts w:ascii="宋体" w:hAnsi="宋体"/>
          <w:bCs/>
          <w:sz w:val="24"/>
        </w:rPr>
        <w:t>险</w:t>
      </w:r>
      <w:r>
        <w:rPr>
          <w:rFonts w:hint="eastAsia" w:ascii="宋体" w:hAnsi="宋体"/>
          <w:bCs/>
          <w:sz w:val="24"/>
        </w:rPr>
        <w:t>。</w:t>
      </w:r>
    </w:p>
    <w:p w14:paraId="6B6E45B7">
      <w:pPr>
        <w:pStyle w:val="28"/>
        <w:wordWrap w:val="0"/>
        <w:spacing w:line="480" w:lineRule="exact"/>
        <w:ind w:firstLine="480" w:firstLineChars="200"/>
        <w:rPr>
          <w:rFonts w:hint="eastAsia" w:hAnsi="宋体"/>
          <w:sz w:val="24"/>
          <w:u w:val="single"/>
        </w:rPr>
      </w:pPr>
      <w:r>
        <w:rPr>
          <w:rFonts w:hint="eastAsia" w:hAnsi="宋体"/>
          <w:sz w:val="24"/>
          <w:u w:val="single"/>
        </w:rPr>
        <w:t>（6）</w:t>
      </w:r>
      <w:r>
        <w:rPr>
          <w:rFonts w:hint="eastAsia" w:hAnsi="宋体"/>
          <w:kern w:val="2"/>
          <w:sz w:val="24"/>
          <w:szCs w:val="24"/>
          <w:u w:val="single"/>
        </w:rPr>
        <w:t>若承包人在施工作业期间不按发包人要求施工或拒绝施工</w:t>
      </w:r>
      <w:r>
        <w:rPr>
          <w:rFonts w:hint="eastAsia" w:ascii="Malgun Gothic" w:hAnsi="宋体"/>
          <w:kern w:val="2"/>
          <w:sz w:val="24"/>
          <w:szCs w:val="24"/>
          <w:u w:val="single"/>
        </w:rPr>
        <w:t>，</w:t>
      </w:r>
      <w:r>
        <w:rPr>
          <w:rFonts w:hint="eastAsia" w:hAnsi="宋体"/>
          <w:kern w:val="2"/>
          <w:sz w:val="24"/>
          <w:szCs w:val="24"/>
          <w:u w:val="single"/>
        </w:rPr>
        <w:t>人员不能到位或严重违反施工作业要求的</w:t>
      </w:r>
      <w:r>
        <w:rPr>
          <w:rFonts w:hint="eastAsia" w:ascii="Malgun Gothic" w:hAnsi="宋体"/>
          <w:kern w:val="2"/>
          <w:sz w:val="24"/>
          <w:szCs w:val="24"/>
          <w:u w:val="single"/>
        </w:rPr>
        <w:t>，</w:t>
      </w:r>
      <w:r>
        <w:rPr>
          <w:rFonts w:hint="eastAsia" w:hAnsi="宋体"/>
          <w:kern w:val="2"/>
          <w:sz w:val="24"/>
          <w:szCs w:val="24"/>
          <w:u w:val="single"/>
        </w:rPr>
        <w:t>累计出现三次</w:t>
      </w:r>
      <w:r>
        <w:rPr>
          <w:rFonts w:hint="eastAsia" w:ascii="Malgun Gothic" w:hAnsi="宋体"/>
          <w:kern w:val="2"/>
          <w:sz w:val="24"/>
          <w:szCs w:val="24"/>
          <w:u w:val="single"/>
        </w:rPr>
        <w:t>，</w:t>
      </w:r>
      <w:r>
        <w:rPr>
          <w:rFonts w:hint="eastAsia" w:hAnsi="宋体"/>
          <w:kern w:val="2"/>
          <w:sz w:val="24"/>
          <w:szCs w:val="24"/>
          <w:u w:val="single"/>
        </w:rPr>
        <w:t>发包人有权解除合同</w:t>
      </w:r>
      <w:r>
        <w:rPr>
          <w:rFonts w:hint="eastAsia" w:ascii="Malgun Gothic" w:hAnsi="宋体"/>
          <w:kern w:val="2"/>
          <w:sz w:val="24"/>
          <w:szCs w:val="24"/>
          <w:u w:val="single"/>
        </w:rPr>
        <w:t>，</w:t>
      </w:r>
      <w:r>
        <w:rPr>
          <w:rFonts w:hint="eastAsia" w:hAnsi="宋体"/>
          <w:kern w:val="2"/>
          <w:sz w:val="24"/>
          <w:szCs w:val="24"/>
          <w:u w:val="single"/>
        </w:rPr>
        <w:t>并按有关规定处罚</w:t>
      </w:r>
      <w:r>
        <w:rPr>
          <w:rFonts w:hint="eastAsia" w:ascii="Malgun Gothic" w:hAnsi="宋体"/>
          <w:kern w:val="2"/>
          <w:sz w:val="24"/>
          <w:szCs w:val="24"/>
          <w:u w:val="single"/>
        </w:rPr>
        <w:t>。</w:t>
      </w:r>
      <w:r>
        <w:rPr>
          <w:rFonts w:hint="eastAsia" w:hAnsi="宋体"/>
          <w:sz w:val="24"/>
          <w:u w:val="single"/>
        </w:rPr>
        <w:t xml:space="preserve"> </w:t>
      </w:r>
    </w:p>
    <w:p w14:paraId="6E2FEF14">
      <w:pPr>
        <w:pStyle w:val="28"/>
        <w:wordWrap w:val="0"/>
        <w:spacing w:line="480" w:lineRule="exact"/>
        <w:ind w:firstLine="480" w:firstLineChars="200"/>
        <w:rPr>
          <w:rFonts w:hint="eastAsia" w:hAnsi="宋体"/>
          <w:sz w:val="24"/>
          <w:u w:val="single"/>
        </w:rPr>
      </w:pPr>
      <w:r>
        <w:rPr>
          <w:rFonts w:hint="eastAsia" w:hAnsi="宋体"/>
          <w:sz w:val="24"/>
          <w:u w:val="single"/>
        </w:rPr>
        <w:t>（7）现场签证涉及机械台班费按所需机械大小型号结合当月最新信息价现场签证，个别单项若无相应定额套用或与定额套用存在差异的，双方可按市场价或协商价结算。</w:t>
      </w:r>
    </w:p>
    <w:p w14:paraId="146E8436">
      <w:pPr>
        <w:pStyle w:val="28"/>
        <w:wordWrap w:val="0"/>
        <w:spacing w:line="480" w:lineRule="exact"/>
        <w:ind w:firstLine="480" w:firstLineChars="200"/>
        <w:rPr>
          <w:rFonts w:hint="eastAsia" w:hAnsi="宋体"/>
          <w:sz w:val="24"/>
          <w:u w:val="single"/>
        </w:rPr>
      </w:pPr>
      <w:r>
        <w:rPr>
          <w:rFonts w:hint="eastAsia" w:hAnsi="宋体"/>
          <w:sz w:val="24"/>
          <w:u w:val="single"/>
        </w:rPr>
        <w:t>(8)发包人与承包人必须按莆建管〔2019〕83号关于莆田市住房和城乡建设局关于发布莆田市建设工程扬尘防治措施费的通知文件执行。</w:t>
      </w:r>
    </w:p>
    <w:p w14:paraId="1AFDEDAF">
      <w:pPr>
        <w:spacing w:line="480" w:lineRule="exact"/>
        <w:ind w:firstLine="480" w:firstLineChars="200"/>
        <w:rPr>
          <w:rFonts w:hint="eastAsia" w:ascii="宋体" w:hAnsi="宋体"/>
          <w:kern w:val="0"/>
          <w:sz w:val="24"/>
          <w:szCs w:val="20"/>
          <w:u w:val="single"/>
        </w:rPr>
      </w:pPr>
      <w:r>
        <w:rPr>
          <w:rFonts w:hint="eastAsia" w:ascii="宋体" w:hAnsi="宋体"/>
          <w:kern w:val="0"/>
          <w:sz w:val="24"/>
          <w:szCs w:val="20"/>
          <w:u w:val="single"/>
        </w:rPr>
        <w:t>（9）发包人与承包人应按照《保障农民工工资支付条例》、《关于印发&lt;工程建设领域农民工工资保证金规定&gt;的通知》（人社部发〔2021〕65号）、《关于转发福建省人力资源和社会保障厅等九部门&lt;关于印发福建省工程建设领域农民工工资专用账户管理实施细则的通知&gt;的通知》（莆治欠办发〔2021〕19号）文件的规定在施工合同内约定设立农民工工资专用账户，实行农民工工资与其他工程款分账管理制度。</w:t>
      </w:r>
    </w:p>
    <w:p w14:paraId="37B504FB">
      <w:pPr>
        <w:spacing w:line="480" w:lineRule="exact"/>
        <w:ind w:firstLine="480" w:firstLineChars="200"/>
        <w:rPr>
          <w:rFonts w:hint="eastAsia" w:ascii="宋体" w:hAnsi="宋体"/>
          <w:kern w:val="0"/>
          <w:sz w:val="24"/>
          <w:szCs w:val="20"/>
          <w:u w:val="single"/>
        </w:rPr>
      </w:pPr>
      <w:r>
        <w:rPr>
          <w:rFonts w:hint="eastAsia" w:ascii="宋体" w:hAnsi="宋体"/>
          <w:kern w:val="0"/>
          <w:sz w:val="24"/>
          <w:szCs w:val="20"/>
          <w:u w:val="single"/>
        </w:rPr>
        <w:t>（10）承包人在施工期间的水电及一切费用自行承担。</w:t>
      </w:r>
    </w:p>
    <w:p w14:paraId="11AFE148">
      <w:pPr>
        <w:spacing w:line="480" w:lineRule="exact"/>
        <w:ind w:firstLine="480" w:firstLineChars="200"/>
        <w:rPr>
          <w:rFonts w:hint="eastAsia" w:ascii="宋体" w:hAnsi="宋体"/>
          <w:kern w:val="0"/>
          <w:sz w:val="24"/>
          <w:szCs w:val="20"/>
          <w:u w:val="single"/>
        </w:rPr>
      </w:pPr>
      <w:r>
        <w:rPr>
          <w:rFonts w:hint="eastAsia" w:ascii="宋体" w:hAnsi="宋体"/>
          <w:kern w:val="0"/>
          <w:sz w:val="24"/>
          <w:szCs w:val="20"/>
          <w:u w:val="single"/>
        </w:rPr>
        <w:t>（11）承包人应根据《中华人民共和国建筑法》和《建设工程质量管理条例》，签订工程质量保修书。</w:t>
      </w:r>
    </w:p>
    <w:p w14:paraId="3B71A560">
      <w:pPr>
        <w:spacing w:line="480" w:lineRule="exact"/>
        <w:ind w:firstLine="480" w:firstLineChars="200"/>
        <w:rPr>
          <w:rFonts w:hint="eastAsia" w:ascii="宋体" w:hAnsi="宋体"/>
          <w:kern w:val="0"/>
          <w:sz w:val="24"/>
          <w:szCs w:val="20"/>
          <w:u w:val="single"/>
        </w:rPr>
      </w:pPr>
      <w:r>
        <w:rPr>
          <w:rFonts w:hint="eastAsia" w:ascii="宋体" w:hAnsi="宋体"/>
          <w:kern w:val="0"/>
          <w:sz w:val="24"/>
          <w:szCs w:val="20"/>
          <w:u w:val="single"/>
        </w:rPr>
        <w:t>（12）本项目原则上按时间分为3个标段，每个标段施工承包的工期各为四个月，通过随机抽签方式进行排序（（即一家中标候选单位中选一个施工时间段，具体抽取时间以建设单位通知为准））。</w:t>
      </w:r>
    </w:p>
    <w:p w14:paraId="6EDA30EE">
      <w:pPr>
        <w:pStyle w:val="39"/>
        <w:ind w:firstLine="560"/>
        <w:rPr>
          <w:rFonts w:hint="eastAsia"/>
          <w:sz w:val="24"/>
        </w:rPr>
      </w:pPr>
      <w:r>
        <w:rPr>
          <w:rFonts w:hint="eastAsia"/>
        </w:rPr>
        <w:t>（13）</w:t>
      </w:r>
      <w:r>
        <w:rPr>
          <w:rFonts w:hint="eastAsia" w:hAnsi="宋体"/>
          <w:kern w:val="0"/>
          <w:sz w:val="24"/>
          <w:szCs w:val="20"/>
          <w:u w:val="single"/>
        </w:rPr>
        <w:t>承包人在修缮施工过程中所使用的材料，涉及观感要求的部分，如市政铺装、文化砖、瓷砖、玻璃等，其规格、材质、色差原则上应与原材料保持一致或尽量接近，否则发包人有权不予验收，并要求返工整改。</w:t>
      </w:r>
    </w:p>
    <w:p w14:paraId="2EADAC0E">
      <w:pPr>
        <w:spacing w:line="480" w:lineRule="exact"/>
        <w:ind w:firstLine="560" w:firstLineChars="200"/>
        <w:rPr>
          <w:rFonts w:hint="eastAsia" w:ascii="宋体" w:hAnsi="宋体" w:eastAsia="宋体" w:cs="Times New Roman"/>
          <w:kern w:val="0"/>
          <w:sz w:val="24"/>
          <w:szCs w:val="20"/>
          <w:u w:val="single"/>
          <w:lang w:val="en-US" w:eastAsia="zh-CN" w:bidi="ar-SA"/>
        </w:rPr>
      </w:pPr>
      <w:r>
        <w:rPr>
          <w:rFonts w:hint="eastAsia" w:ascii="宋体" w:hAnsi="Times New Roman" w:eastAsia="宋体" w:cs="Times New Roman"/>
          <w:kern w:val="2"/>
          <w:sz w:val="28"/>
          <w:szCs w:val="24"/>
          <w:lang w:val="en-US" w:eastAsia="zh-CN" w:bidi="ar-SA"/>
        </w:rPr>
        <w:t>(14)</w:t>
      </w:r>
      <w:r>
        <w:rPr>
          <w:rFonts w:hint="eastAsia" w:ascii="宋体" w:hAnsi="宋体" w:eastAsia="宋体" w:cs="Times New Roman"/>
          <w:kern w:val="0"/>
          <w:sz w:val="24"/>
          <w:szCs w:val="20"/>
          <w:u w:val="single"/>
          <w:lang w:val="en-US" w:eastAsia="zh-CN" w:bidi="ar-SA"/>
        </w:rPr>
        <w:t>承包人进场施工前，向学院物业一次性缴纳施工押金人民币20000元（大写：贰万元整）。工程完工并退场后，经学院物业验收确认无遗留问题的，押金予以全额无息退还。</w:t>
      </w:r>
    </w:p>
    <w:p w14:paraId="0B20CCEF">
      <w:pPr>
        <w:spacing w:line="480" w:lineRule="exact"/>
        <w:ind w:firstLine="560" w:firstLineChars="200"/>
        <w:rPr>
          <w:rFonts w:hint="eastAsia" w:ascii="宋体" w:hAnsi="宋体" w:eastAsia="宋体" w:cs="Times New Roman"/>
          <w:kern w:val="0"/>
          <w:sz w:val="24"/>
          <w:szCs w:val="20"/>
          <w:u w:val="single"/>
          <w:lang w:val="en-US" w:eastAsia="zh-CN" w:bidi="ar-SA"/>
        </w:rPr>
      </w:pPr>
      <w:r>
        <w:rPr>
          <w:rFonts w:hint="eastAsia" w:ascii="宋体" w:hAnsi="Times New Roman" w:eastAsia="宋体" w:cs="Times New Roman"/>
          <w:kern w:val="2"/>
          <w:sz w:val="28"/>
          <w:szCs w:val="24"/>
          <w:lang w:val="en-US" w:eastAsia="zh-CN" w:bidi="ar-SA"/>
        </w:rPr>
        <w:t>(15)</w:t>
      </w:r>
      <w:r>
        <w:rPr>
          <w:rFonts w:hint="eastAsia" w:ascii="宋体" w:hAnsi="宋体" w:eastAsia="宋体" w:cs="Times New Roman"/>
          <w:kern w:val="0"/>
          <w:sz w:val="24"/>
          <w:szCs w:val="20"/>
          <w:u w:val="single"/>
          <w:lang w:val="en-US" w:eastAsia="zh-CN" w:bidi="ar-SA"/>
        </w:rPr>
        <w:t>施工方须指派专职驻场人员1名，在本工程施工期间每日驻场办公，负责现场协调、问题处理、线上报修系统的运行与响应，及与监理单位、建设单位的日常对接工作。</w:t>
      </w:r>
    </w:p>
    <w:p w14:paraId="5D8A8E1C">
      <w:pPr>
        <w:rPr>
          <w:rFonts w:hint="eastAsia"/>
          <w:sz w:val="24"/>
        </w:rPr>
      </w:pPr>
      <w:r>
        <w:rPr>
          <w:rFonts w:hint="eastAsia"/>
          <w:sz w:val="24"/>
        </w:rPr>
        <w:br w:type="page"/>
      </w:r>
    </w:p>
    <w:p w14:paraId="2F1EC27D">
      <w:pPr>
        <w:spacing w:line="480" w:lineRule="exact"/>
        <w:ind w:firstLine="480" w:firstLineChars="200"/>
        <w:rPr>
          <w:rFonts w:hint="eastAsia"/>
          <w:sz w:val="24"/>
        </w:rPr>
      </w:pPr>
    </w:p>
    <w:p w14:paraId="0E7313E7">
      <w:pPr>
        <w:pStyle w:val="28"/>
        <w:spacing w:line="420" w:lineRule="exact"/>
        <w:ind w:right="-185" w:rightChars="-88" w:firstLine="480" w:firstLineChars="200"/>
        <w:rPr>
          <w:rFonts w:hint="eastAsia"/>
          <w:sz w:val="24"/>
        </w:rPr>
      </w:pPr>
    </w:p>
    <w:p w14:paraId="5639E338">
      <w:pPr>
        <w:rPr>
          <w:rFonts w:hint="eastAsia" w:ascii="宋体" w:hAnsi="宋体"/>
          <w:b/>
          <w:sz w:val="36"/>
          <w:szCs w:val="36"/>
        </w:rPr>
      </w:pPr>
    </w:p>
    <w:p w14:paraId="4C09BC48">
      <w:pPr>
        <w:jc w:val="center"/>
        <w:rPr>
          <w:rFonts w:hint="eastAsia" w:ascii="宋体" w:hAnsi="宋体"/>
          <w:b/>
          <w:sz w:val="36"/>
          <w:szCs w:val="36"/>
        </w:rPr>
      </w:pPr>
    </w:p>
    <w:p w14:paraId="1FDFC873">
      <w:pPr>
        <w:jc w:val="center"/>
        <w:rPr>
          <w:rFonts w:hint="eastAsia" w:ascii="宋体" w:hAnsi="宋体"/>
          <w:b/>
          <w:sz w:val="36"/>
          <w:szCs w:val="36"/>
        </w:rPr>
      </w:pPr>
    </w:p>
    <w:p w14:paraId="09DC8B05">
      <w:pPr>
        <w:jc w:val="center"/>
        <w:rPr>
          <w:rFonts w:hint="eastAsia" w:ascii="宋体" w:hAnsi="宋体"/>
          <w:b/>
          <w:sz w:val="36"/>
          <w:szCs w:val="36"/>
        </w:rPr>
      </w:pPr>
      <w:r>
        <w:rPr>
          <w:rFonts w:hint="eastAsia" w:ascii="宋体" w:hAnsi="宋体"/>
          <w:b/>
          <w:sz w:val="36"/>
          <w:szCs w:val="36"/>
        </w:rPr>
        <w:t>第四章  投标文件格式</w:t>
      </w:r>
    </w:p>
    <w:p w14:paraId="3B505D0B">
      <w:pPr>
        <w:rPr>
          <w:rFonts w:hint="eastAsia" w:ascii="宋体" w:hAnsi="宋体"/>
          <w:b/>
          <w:sz w:val="36"/>
          <w:szCs w:val="36"/>
        </w:rPr>
      </w:pPr>
    </w:p>
    <w:p w14:paraId="2DD02499">
      <w:pPr>
        <w:jc w:val="center"/>
        <w:rPr>
          <w:rFonts w:hint="eastAsia" w:ascii="宋体" w:hAnsi="宋体" w:eastAsia="宋体"/>
          <w:b/>
          <w:bCs/>
          <w:sz w:val="48"/>
          <w:szCs w:val="48"/>
          <w:lang w:eastAsia="zh-CN"/>
        </w:rPr>
      </w:pPr>
      <w:r>
        <w:rPr>
          <w:rFonts w:hint="eastAsia" w:ascii="宋体" w:hAnsi="宋体"/>
          <w:b/>
          <w:bCs/>
          <w:sz w:val="48"/>
          <w:szCs w:val="48"/>
          <w:lang w:eastAsia="zh-CN"/>
        </w:rPr>
        <w:t>2026年度校园零星修缮及改造工程</w:t>
      </w:r>
    </w:p>
    <w:p w14:paraId="5DE47432">
      <w:pPr>
        <w:ind w:firstLine="2850"/>
        <w:jc w:val="center"/>
        <w:rPr>
          <w:rFonts w:hint="eastAsia" w:ascii="宋体" w:hAnsi="宋体"/>
          <w:sz w:val="44"/>
        </w:rPr>
      </w:pPr>
    </w:p>
    <w:p w14:paraId="26E331AA">
      <w:pPr>
        <w:pStyle w:val="36"/>
        <w:rPr>
          <w:rFonts w:hint="eastAsia"/>
        </w:rPr>
      </w:pPr>
    </w:p>
    <w:p w14:paraId="0ADF43E4">
      <w:pPr>
        <w:jc w:val="center"/>
        <w:rPr>
          <w:rFonts w:hint="eastAsia" w:ascii="宋体" w:hAnsi="宋体"/>
          <w:bCs/>
          <w:sz w:val="72"/>
          <w:szCs w:val="72"/>
        </w:rPr>
      </w:pPr>
      <w:r>
        <w:rPr>
          <w:rFonts w:hint="eastAsia" w:ascii="宋体" w:hAnsi="宋体"/>
          <w:bCs/>
          <w:sz w:val="72"/>
          <w:szCs w:val="72"/>
        </w:rPr>
        <w:t>投 标 文 件</w:t>
      </w:r>
    </w:p>
    <w:p w14:paraId="5FF97399">
      <w:pPr>
        <w:ind w:firstLine="2200" w:firstLineChars="500"/>
        <w:rPr>
          <w:rFonts w:hint="eastAsia" w:ascii="宋体" w:hAnsi="宋体"/>
          <w:sz w:val="44"/>
        </w:rPr>
      </w:pPr>
    </w:p>
    <w:p w14:paraId="3BDB810E">
      <w:pPr>
        <w:ind w:firstLine="3755" w:firstLineChars="850"/>
        <w:rPr>
          <w:rFonts w:hint="eastAsia" w:ascii="宋体" w:hAnsi="宋体"/>
          <w:b/>
          <w:sz w:val="44"/>
          <w:szCs w:val="44"/>
        </w:rPr>
      </w:pPr>
    </w:p>
    <w:p w14:paraId="61300946">
      <w:pPr>
        <w:ind w:firstLine="3498" w:firstLineChars="792"/>
        <w:rPr>
          <w:rFonts w:hint="eastAsia" w:ascii="宋体" w:hAnsi="宋体"/>
          <w:b/>
          <w:sz w:val="44"/>
          <w:szCs w:val="44"/>
        </w:rPr>
      </w:pPr>
    </w:p>
    <w:p w14:paraId="0F29561A">
      <w:pPr>
        <w:ind w:firstLine="3498" w:firstLineChars="792"/>
        <w:rPr>
          <w:rFonts w:hint="eastAsia" w:ascii="宋体" w:hAnsi="宋体"/>
          <w:b/>
          <w:sz w:val="44"/>
          <w:szCs w:val="44"/>
        </w:rPr>
      </w:pPr>
    </w:p>
    <w:p w14:paraId="067FC6D2">
      <w:pPr>
        <w:jc w:val="center"/>
        <w:rPr>
          <w:rFonts w:hint="eastAsia" w:ascii="宋体" w:hAnsi="宋体"/>
          <w:b/>
          <w:sz w:val="36"/>
          <w:szCs w:val="36"/>
        </w:rPr>
      </w:pPr>
    </w:p>
    <w:p w14:paraId="7F642CC0">
      <w:pPr>
        <w:rPr>
          <w:rFonts w:hint="eastAsia" w:ascii="宋体" w:hAnsi="宋体"/>
          <w:b/>
          <w:sz w:val="36"/>
          <w:szCs w:val="36"/>
        </w:rPr>
      </w:pPr>
    </w:p>
    <w:p w14:paraId="66DEC383">
      <w:pPr>
        <w:rPr>
          <w:rFonts w:hint="eastAsia" w:ascii="宋体" w:hAnsi="宋体"/>
          <w:sz w:val="28"/>
        </w:rPr>
      </w:pPr>
    </w:p>
    <w:p w14:paraId="773355C5">
      <w:pPr>
        <w:spacing w:line="480" w:lineRule="auto"/>
        <w:ind w:firstLine="640" w:firstLineChars="200"/>
        <w:rPr>
          <w:rFonts w:hint="eastAsia" w:ascii="宋体" w:hAnsi="宋体"/>
          <w:sz w:val="32"/>
          <w:szCs w:val="32"/>
        </w:rPr>
      </w:pPr>
      <w:r>
        <w:rPr>
          <w:rFonts w:hint="eastAsia" w:ascii="宋体" w:hAnsi="宋体"/>
          <w:sz w:val="32"/>
          <w:szCs w:val="32"/>
        </w:rPr>
        <w:t>招标项目名称：</w:t>
      </w:r>
      <w:r>
        <w:rPr>
          <w:rFonts w:hint="eastAsia" w:ascii="宋体" w:hAnsi="宋体"/>
          <w:sz w:val="32"/>
          <w:szCs w:val="32"/>
          <w:u w:val="single"/>
        </w:rPr>
        <w:t xml:space="preserve">                                  </w:t>
      </w:r>
    </w:p>
    <w:p w14:paraId="5FAEE54D">
      <w:pPr>
        <w:spacing w:line="480" w:lineRule="auto"/>
        <w:ind w:firstLine="640" w:firstLineChars="200"/>
        <w:rPr>
          <w:rFonts w:hint="eastAsia"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(盖单位章) </w:t>
      </w:r>
    </w:p>
    <w:p w14:paraId="4CB8AF57">
      <w:pPr>
        <w:spacing w:line="480" w:lineRule="auto"/>
        <w:ind w:firstLine="640" w:firstLineChars="200"/>
        <w:rPr>
          <w:rFonts w:hint="eastAsia" w:ascii="宋体" w:hAnsi="宋体"/>
          <w:sz w:val="32"/>
          <w:szCs w:val="32"/>
        </w:rPr>
      </w:pPr>
      <w:r>
        <w:rPr>
          <w:rFonts w:hint="eastAsia" w:ascii="宋体" w:hAnsi="宋体"/>
          <w:sz w:val="32"/>
          <w:szCs w:val="32"/>
        </w:rPr>
        <w:t>法定代表人或其委托代理人：</w:t>
      </w:r>
      <w:r>
        <w:rPr>
          <w:rFonts w:hint="eastAsia" w:ascii="宋体" w:hAnsi="宋体"/>
          <w:sz w:val="32"/>
          <w:szCs w:val="32"/>
          <w:u w:val="single"/>
        </w:rPr>
        <w:t xml:space="preserve">                </w:t>
      </w:r>
      <w:r>
        <w:rPr>
          <w:rStyle w:val="71"/>
          <w:rFonts w:ascii="宋体" w:hAnsi="宋体"/>
          <w:sz w:val="32"/>
          <w:szCs w:val="32"/>
          <w:u w:val="single"/>
        </w:rPr>
        <w:t>(姓名)</w:t>
      </w:r>
    </w:p>
    <w:p w14:paraId="6CB39145">
      <w:pPr>
        <w:jc w:val="center"/>
        <w:rPr>
          <w:rFonts w:hint="eastAsia" w:ascii="宋体" w:hAnsi="宋体"/>
          <w:sz w:val="36"/>
        </w:rPr>
      </w:pPr>
    </w:p>
    <w:p w14:paraId="2A0F1291">
      <w:pPr>
        <w:jc w:val="center"/>
        <w:rPr>
          <w:rFonts w:hint="eastAsia" w:ascii="宋体" w:hAnsi="宋体"/>
          <w:sz w:val="36"/>
        </w:rPr>
      </w:pPr>
    </w:p>
    <w:p w14:paraId="4AC90486">
      <w:pPr>
        <w:jc w:val="center"/>
        <w:rPr>
          <w:rFonts w:hint="eastAsia" w:ascii="宋体" w:hAnsi="宋体"/>
          <w:sz w:val="36"/>
        </w:rPr>
      </w:pPr>
    </w:p>
    <w:p w14:paraId="64EDA5E2">
      <w:pPr>
        <w:rPr>
          <w:rFonts w:hint="eastAsia" w:ascii="宋体" w:hAnsi="宋体"/>
          <w:sz w:val="36"/>
        </w:rPr>
      </w:pPr>
    </w:p>
    <w:p w14:paraId="5D6ED734">
      <w:pPr>
        <w:jc w:val="center"/>
        <w:rPr>
          <w:rFonts w:hint="eastAsia" w:ascii="宋体" w:hAnsi="宋体"/>
          <w:sz w:val="32"/>
          <w:szCs w:val="32"/>
        </w:rPr>
      </w:pPr>
      <w:r>
        <w:rPr>
          <w:rFonts w:hint="eastAsia" w:ascii="宋体" w:hAnsi="宋体"/>
          <w:sz w:val="32"/>
          <w:szCs w:val="32"/>
        </w:rPr>
        <w:t>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2B66E85B">
      <w:pPr>
        <w:jc w:val="center"/>
        <w:rPr>
          <w:rFonts w:hint="eastAsia" w:ascii="宋体" w:hAnsi="宋体"/>
          <w:sz w:val="32"/>
          <w:szCs w:val="32"/>
        </w:rPr>
      </w:pPr>
    </w:p>
    <w:p w14:paraId="31A5A1C8">
      <w:pPr>
        <w:jc w:val="center"/>
        <w:rPr>
          <w:rFonts w:hint="eastAsia" w:ascii="宋体" w:hAnsi="宋体"/>
          <w:sz w:val="32"/>
          <w:szCs w:val="32"/>
        </w:rPr>
      </w:pPr>
    </w:p>
    <w:p w14:paraId="75B770AF">
      <w:pPr>
        <w:jc w:val="center"/>
        <w:rPr>
          <w:rFonts w:hint="eastAsia" w:ascii="宋体" w:hAnsi="宋体"/>
          <w:sz w:val="32"/>
          <w:szCs w:val="32"/>
        </w:rPr>
      </w:pPr>
    </w:p>
    <w:p w14:paraId="7E7A17B9">
      <w:pPr>
        <w:jc w:val="center"/>
        <w:rPr>
          <w:rFonts w:hint="eastAsia" w:ascii="宋体" w:hAnsi="宋体"/>
          <w:sz w:val="32"/>
          <w:szCs w:val="32"/>
        </w:rPr>
      </w:pPr>
    </w:p>
    <w:p w14:paraId="4BC4876E">
      <w:pPr>
        <w:jc w:val="center"/>
        <w:rPr>
          <w:rFonts w:hint="eastAsia" w:ascii="宋体" w:hAnsi="宋体"/>
          <w:sz w:val="32"/>
          <w:szCs w:val="32"/>
        </w:rPr>
      </w:pPr>
    </w:p>
    <w:p w14:paraId="40456CAC">
      <w:pPr>
        <w:jc w:val="center"/>
        <w:rPr>
          <w:rFonts w:hint="eastAsia" w:ascii="宋体" w:hAnsi="宋体"/>
          <w:sz w:val="32"/>
          <w:szCs w:val="32"/>
        </w:rPr>
      </w:pPr>
    </w:p>
    <w:p w14:paraId="575C5509">
      <w:pPr>
        <w:jc w:val="center"/>
        <w:rPr>
          <w:rFonts w:hint="eastAsia" w:ascii="宋体" w:hAnsi="宋体"/>
          <w:b/>
          <w:sz w:val="44"/>
          <w:szCs w:val="44"/>
        </w:rPr>
      </w:pPr>
    </w:p>
    <w:p w14:paraId="23B9F288">
      <w:pPr>
        <w:jc w:val="center"/>
        <w:rPr>
          <w:rFonts w:hint="eastAsia" w:ascii="宋体" w:hAnsi="宋体"/>
          <w:b/>
          <w:sz w:val="44"/>
          <w:szCs w:val="44"/>
        </w:rPr>
      </w:pPr>
      <w:r>
        <w:rPr>
          <w:rFonts w:hint="eastAsia" w:ascii="宋体" w:hAnsi="宋体"/>
          <w:b/>
          <w:sz w:val="44"/>
          <w:szCs w:val="44"/>
        </w:rPr>
        <w:t>目录</w:t>
      </w:r>
    </w:p>
    <w:p w14:paraId="333DF13E">
      <w:pPr>
        <w:rPr>
          <w:rFonts w:hint="eastAsia" w:ascii="宋体" w:hAnsi="宋体"/>
        </w:rPr>
      </w:pPr>
    </w:p>
    <w:p w14:paraId="1003843D">
      <w:pPr>
        <w:pStyle w:val="73"/>
        <w:snapToGrid w:val="0"/>
        <w:spacing w:line="360" w:lineRule="auto"/>
        <w:ind w:left="392" w:right="-304"/>
        <w:rPr>
          <w:rStyle w:val="71"/>
          <w:rFonts w:ascii="宋体" w:hAnsi="宋体"/>
          <w:sz w:val="24"/>
          <w:szCs w:val="24"/>
        </w:rPr>
      </w:pPr>
      <w:r>
        <w:rPr>
          <w:rStyle w:val="71"/>
          <w:rFonts w:ascii="宋体" w:hAnsi="宋体"/>
          <w:sz w:val="24"/>
          <w:szCs w:val="24"/>
        </w:rPr>
        <w:t>（一）投标承诺函</w:t>
      </w:r>
    </w:p>
    <w:p w14:paraId="647BBBEF">
      <w:pPr>
        <w:pStyle w:val="73"/>
        <w:snapToGrid w:val="0"/>
        <w:spacing w:line="360" w:lineRule="auto"/>
        <w:ind w:left="392" w:right="-304"/>
        <w:rPr>
          <w:rStyle w:val="71"/>
          <w:rFonts w:ascii="宋体" w:hAnsi="宋体"/>
          <w:sz w:val="24"/>
          <w:szCs w:val="24"/>
        </w:rPr>
      </w:pPr>
      <w:r>
        <w:rPr>
          <w:rStyle w:val="71"/>
          <w:rFonts w:ascii="宋体" w:hAnsi="宋体"/>
          <w:sz w:val="24"/>
          <w:szCs w:val="24"/>
        </w:rPr>
        <w:t>（二）企业及项目经理人员的证书、证件扫描件。</w:t>
      </w:r>
    </w:p>
    <w:p w14:paraId="22223850">
      <w:pPr>
        <w:pStyle w:val="73"/>
        <w:snapToGrid w:val="0"/>
        <w:spacing w:before="120" w:after="120" w:line="360" w:lineRule="auto"/>
        <w:ind w:left="-195" w:leftChars="-93" w:right="-304" w:firstLine="556" w:firstLineChars="232"/>
        <w:jc w:val="both"/>
        <w:rPr>
          <w:rStyle w:val="71"/>
          <w:rFonts w:ascii="宋体" w:hAnsi="宋体"/>
          <w:sz w:val="24"/>
          <w:szCs w:val="24"/>
        </w:rPr>
      </w:pPr>
      <w:r>
        <w:rPr>
          <w:rStyle w:val="71"/>
          <w:rFonts w:ascii="宋体" w:hAnsi="宋体"/>
          <w:sz w:val="24"/>
          <w:szCs w:val="24"/>
        </w:rPr>
        <w:t>（三） 法定代表人资格证明书、法定代表人授权委托书（格式）</w:t>
      </w:r>
    </w:p>
    <w:p w14:paraId="795EB909">
      <w:pPr>
        <w:pStyle w:val="33"/>
        <w:spacing w:line="240" w:lineRule="auto"/>
        <w:ind w:left="-359" w:leftChars="-171" w:right="-359" w:rightChars="-171"/>
        <w:jc w:val="both"/>
        <w:rPr>
          <w:rFonts w:hint="eastAsia" w:ascii="宋体" w:hAnsi="宋体"/>
          <w:b/>
          <w:sz w:val="30"/>
          <w:szCs w:val="30"/>
        </w:rPr>
      </w:pPr>
    </w:p>
    <w:p w14:paraId="16C34421">
      <w:pPr>
        <w:pStyle w:val="33"/>
        <w:spacing w:line="360" w:lineRule="auto"/>
        <w:ind w:firstLine="480" w:firstLineChars="200"/>
        <w:jc w:val="both"/>
        <w:rPr>
          <w:rFonts w:hint="eastAsia" w:ascii="宋体" w:hAnsi="宋体"/>
          <w:sz w:val="24"/>
          <w:szCs w:val="24"/>
        </w:rPr>
      </w:pPr>
    </w:p>
    <w:p w14:paraId="6C700F18">
      <w:pPr>
        <w:spacing w:line="360" w:lineRule="auto"/>
        <w:ind w:firstLine="200"/>
        <w:rPr>
          <w:rFonts w:hint="eastAsia" w:ascii="宋体" w:hAnsi="宋体"/>
          <w:sz w:val="24"/>
        </w:rPr>
      </w:pPr>
    </w:p>
    <w:p w14:paraId="1798FB02">
      <w:pPr>
        <w:rPr>
          <w:rFonts w:hint="eastAsia" w:ascii="宋体" w:hAnsi="宋体"/>
        </w:rPr>
      </w:pPr>
    </w:p>
    <w:p w14:paraId="06DA4FC8">
      <w:pPr>
        <w:rPr>
          <w:rFonts w:hint="eastAsia" w:ascii="宋体" w:hAnsi="宋体"/>
        </w:rPr>
      </w:pPr>
    </w:p>
    <w:p w14:paraId="56153D7F">
      <w:pPr>
        <w:rPr>
          <w:rFonts w:hint="eastAsia" w:ascii="宋体" w:hAnsi="宋体"/>
        </w:rPr>
      </w:pPr>
    </w:p>
    <w:p w14:paraId="327753E6">
      <w:pPr>
        <w:rPr>
          <w:rFonts w:hint="eastAsia" w:ascii="宋体" w:hAnsi="宋体"/>
        </w:rPr>
      </w:pPr>
    </w:p>
    <w:p w14:paraId="09178972">
      <w:pPr>
        <w:rPr>
          <w:rFonts w:hint="eastAsia" w:ascii="宋体" w:hAnsi="宋体"/>
        </w:rPr>
      </w:pPr>
    </w:p>
    <w:p w14:paraId="6C7EF10A">
      <w:pPr>
        <w:rPr>
          <w:rFonts w:hint="eastAsia" w:ascii="宋体" w:hAnsi="宋体"/>
        </w:rPr>
      </w:pPr>
    </w:p>
    <w:p w14:paraId="03027BFA">
      <w:pPr>
        <w:rPr>
          <w:rFonts w:hint="eastAsia" w:ascii="宋体" w:hAnsi="宋体"/>
        </w:rPr>
      </w:pPr>
    </w:p>
    <w:p w14:paraId="5BB69458">
      <w:pPr>
        <w:rPr>
          <w:rFonts w:hint="eastAsia" w:ascii="宋体" w:hAnsi="宋体"/>
        </w:rPr>
      </w:pPr>
    </w:p>
    <w:p w14:paraId="4C2223F1">
      <w:pPr>
        <w:rPr>
          <w:rFonts w:hint="eastAsia" w:ascii="宋体" w:hAnsi="宋体"/>
        </w:rPr>
      </w:pPr>
    </w:p>
    <w:p w14:paraId="6AB88B68">
      <w:pPr>
        <w:rPr>
          <w:rFonts w:hint="eastAsia" w:ascii="宋体" w:hAnsi="宋体"/>
        </w:rPr>
      </w:pPr>
    </w:p>
    <w:p w14:paraId="44BDBA41">
      <w:pPr>
        <w:rPr>
          <w:rFonts w:hint="eastAsia" w:ascii="宋体" w:hAnsi="宋体"/>
        </w:rPr>
      </w:pPr>
    </w:p>
    <w:p w14:paraId="5EC724D3">
      <w:pPr>
        <w:rPr>
          <w:rFonts w:hint="eastAsia" w:ascii="宋体" w:hAnsi="宋体"/>
        </w:rPr>
      </w:pPr>
    </w:p>
    <w:p w14:paraId="797B8653">
      <w:pPr>
        <w:rPr>
          <w:rFonts w:hint="eastAsia" w:ascii="宋体" w:hAnsi="宋体"/>
        </w:rPr>
      </w:pPr>
    </w:p>
    <w:p w14:paraId="263B37A6">
      <w:pPr>
        <w:pStyle w:val="17"/>
        <w:spacing w:before="0" w:after="0" w:line="240" w:lineRule="auto"/>
        <w:jc w:val="center"/>
        <w:rPr>
          <w:rFonts w:hint="eastAsia" w:ascii="宋体" w:hAnsi="宋体"/>
        </w:rPr>
      </w:pPr>
    </w:p>
    <w:p w14:paraId="0295F001">
      <w:pPr>
        <w:rPr>
          <w:rFonts w:hint="eastAsia" w:ascii="宋体" w:hAnsi="宋体"/>
        </w:rPr>
      </w:pPr>
    </w:p>
    <w:p w14:paraId="2325D1BE">
      <w:pPr>
        <w:rPr>
          <w:rFonts w:hint="eastAsia" w:ascii="宋体" w:hAnsi="宋体"/>
        </w:rPr>
      </w:pPr>
    </w:p>
    <w:p w14:paraId="145488C3">
      <w:pPr>
        <w:rPr>
          <w:rFonts w:hint="eastAsia" w:ascii="宋体" w:hAnsi="宋体"/>
        </w:rPr>
      </w:pPr>
    </w:p>
    <w:p w14:paraId="3C99F4DE">
      <w:pPr>
        <w:rPr>
          <w:rFonts w:hint="eastAsia" w:ascii="宋体" w:hAnsi="宋体"/>
        </w:rPr>
      </w:pPr>
    </w:p>
    <w:p w14:paraId="65116C18">
      <w:pPr>
        <w:rPr>
          <w:rFonts w:hint="eastAsia" w:ascii="宋体" w:hAnsi="宋体"/>
        </w:rPr>
      </w:pPr>
    </w:p>
    <w:p w14:paraId="237759BA">
      <w:pPr>
        <w:rPr>
          <w:rFonts w:hint="eastAsia" w:ascii="宋体" w:hAnsi="宋体"/>
        </w:rPr>
      </w:pPr>
    </w:p>
    <w:p w14:paraId="52D43A07">
      <w:pPr>
        <w:rPr>
          <w:rFonts w:hint="eastAsia" w:ascii="宋体" w:hAnsi="宋体"/>
        </w:rPr>
      </w:pPr>
    </w:p>
    <w:p w14:paraId="7DFECDD4">
      <w:pPr>
        <w:rPr>
          <w:rFonts w:hint="eastAsia" w:ascii="宋体" w:hAnsi="宋体"/>
        </w:rPr>
      </w:pPr>
    </w:p>
    <w:p w14:paraId="33CD0543">
      <w:pPr>
        <w:rPr>
          <w:rFonts w:hint="eastAsia" w:ascii="宋体" w:hAnsi="宋体"/>
        </w:rPr>
      </w:pPr>
    </w:p>
    <w:p w14:paraId="29D7263D">
      <w:pPr>
        <w:rPr>
          <w:rFonts w:hint="eastAsia" w:ascii="宋体" w:hAnsi="宋体"/>
        </w:rPr>
      </w:pPr>
    </w:p>
    <w:p w14:paraId="39B99BCB">
      <w:pPr>
        <w:rPr>
          <w:rFonts w:hint="eastAsia" w:ascii="宋体" w:hAnsi="宋体"/>
        </w:rPr>
      </w:pPr>
    </w:p>
    <w:p w14:paraId="5B148105">
      <w:pPr>
        <w:rPr>
          <w:rFonts w:hint="eastAsia" w:ascii="宋体" w:hAnsi="宋体"/>
        </w:rPr>
      </w:pPr>
    </w:p>
    <w:p w14:paraId="5D91BC98">
      <w:pPr>
        <w:pStyle w:val="17"/>
        <w:pageBreakBefore/>
        <w:spacing w:before="0" w:after="0" w:line="380" w:lineRule="exact"/>
        <w:jc w:val="center"/>
        <w:rPr>
          <w:rFonts w:hint="eastAsia" w:ascii="宋体" w:hAnsi="宋体"/>
        </w:rPr>
      </w:pPr>
      <w:r>
        <w:rPr>
          <w:rFonts w:hint="eastAsia" w:ascii="宋体" w:hAnsi="宋体"/>
        </w:rPr>
        <w:t>（一）投标承诺函</w:t>
      </w:r>
    </w:p>
    <w:p w14:paraId="46629D03">
      <w:pPr>
        <w:spacing w:line="46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{招标人名称}   </w:t>
      </w:r>
    </w:p>
    <w:p w14:paraId="49A9BEA9">
      <w:pPr>
        <w:numPr>
          <w:ilvl w:val="0"/>
          <w:numId w:val="7"/>
        </w:numPr>
        <w:spacing w:line="460" w:lineRule="exact"/>
        <w:ind w:firstLine="490"/>
        <w:rPr>
          <w:rFonts w:hint="eastAsia" w:ascii="宋体" w:hAnsi="宋体"/>
          <w:sz w:val="24"/>
        </w:rPr>
      </w:pPr>
      <w:r>
        <w:rPr>
          <w:rFonts w:hint="eastAsia" w:ascii="宋体" w:hAnsi="宋体"/>
          <w:sz w:val="24"/>
        </w:rPr>
        <w:t>根据你方招标工程项目编号为</w:t>
      </w:r>
      <w:r>
        <w:rPr>
          <w:rFonts w:hint="eastAsia" w:ascii="宋体" w:hAnsi="宋体"/>
          <w:sz w:val="24"/>
          <w:u w:val="single"/>
        </w:rPr>
        <w:t xml:space="preserve"> {招标编号} </w:t>
      </w:r>
      <w:r>
        <w:rPr>
          <w:rFonts w:hint="eastAsia" w:ascii="宋体" w:hAnsi="宋体"/>
          <w:sz w:val="24"/>
        </w:rPr>
        <w:t>的</w:t>
      </w:r>
      <w:r>
        <w:rPr>
          <w:rFonts w:hint="eastAsia" w:ascii="宋体" w:hAnsi="宋体"/>
          <w:sz w:val="24"/>
          <w:u w:val="single"/>
        </w:rPr>
        <w:t xml:space="preserve">  {招标工程项目名称}      </w:t>
      </w:r>
      <w:r>
        <w:rPr>
          <w:rFonts w:hint="eastAsia" w:ascii="宋体" w:hAnsi="宋体"/>
          <w:sz w:val="24"/>
        </w:rPr>
        <w:t>工程招标文件，按照《莆田市建设工程施工招标评标管理规定》等有关规定，经研究上述招标文件的投标须知、合同条款、工程建设标准、考核要求及其他有关文件后，</w:t>
      </w:r>
      <w:r>
        <w:rPr>
          <w:rFonts w:hint="eastAsia" w:ascii="宋体" w:hAnsi="宋体"/>
          <w:b/>
          <w:bCs/>
          <w:sz w:val="24"/>
        </w:rPr>
        <w:t>我方愿承接贵方所属范围内校园零星修缮改造工程发包价以</w:t>
      </w:r>
      <w:r>
        <w:rPr>
          <w:rFonts w:hint="eastAsia" w:ascii="宋体" w:hAnsi="宋体"/>
          <w:b/>
          <w:bCs/>
          <w:sz w:val="24"/>
          <w:u w:val="single"/>
        </w:rPr>
        <w:t xml:space="preserve"> 每单项项目工程发包价=工程定额预算价×(1-下浮率),工程下浮率为1</w:t>
      </w:r>
      <w:r>
        <w:rPr>
          <w:rFonts w:hint="eastAsia" w:ascii="宋体" w:hAnsi="宋体"/>
          <w:b/>
          <w:bCs/>
          <w:sz w:val="24"/>
          <w:u w:val="single"/>
          <w:lang w:val="en-US" w:eastAsia="zh-CN"/>
        </w:rPr>
        <w:t>2</w:t>
      </w:r>
      <w:r>
        <w:rPr>
          <w:rFonts w:hint="eastAsia" w:ascii="宋体" w:hAnsi="宋体"/>
          <w:b/>
          <w:bCs/>
          <w:sz w:val="24"/>
          <w:u w:val="single"/>
        </w:rPr>
        <w:t xml:space="preserve">% </w:t>
      </w:r>
      <w:r>
        <w:rPr>
          <w:rFonts w:hint="eastAsia" w:ascii="宋体" w:hAnsi="宋体"/>
          <w:b/>
          <w:bCs/>
          <w:sz w:val="24"/>
        </w:rPr>
        <w:t>作为中标价</w:t>
      </w:r>
      <w:r>
        <w:rPr>
          <w:rFonts w:hint="eastAsia" w:ascii="宋体" w:hAnsi="宋体"/>
          <w:sz w:val="24"/>
        </w:rPr>
        <w:t>，并根据招标文件要求发包价作为签约合同价，并按上述图纸、合同条款和工程建设标准的要求承包本工程的施工，并承担任何质量缺陷保修责任。</w:t>
      </w:r>
    </w:p>
    <w:p w14:paraId="45A6B897">
      <w:pPr>
        <w:spacing w:line="460" w:lineRule="exact"/>
        <w:ind w:firstLine="480" w:firstLineChars="200"/>
        <w:rPr>
          <w:rFonts w:hint="eastAsia" w:ascii="宋体" w:hAnsi="宋体"/>
          <w:sz w:val="24"/>
        </w:rPr>
      </w:pPr>
      <w:r>
        <w:rPr>
          <w:rFonts w:hint="eastAsia" w:ascii="宋体" w:hAnsi="宋体"/>
          <w:sz w:val="24"/>
        </w:rPr>
        <w:t>2、我方已详细审阅全部招标文件、答疑纪要、补充通知及有关附件。我方不存在资质和项目负责人不能满足招标文件要求的条件。</w:t>
      </w:r>
    </w:p>
    <w:p w14:paraId="46516ACD">
      <w:pPr>
        <w:spacing w:line="460" w:lineRule="exact"/>
        <w:ind w:firstLine="480" w:firstLineChars="200"/>
        <w:rPr>
          <w:rFonts w:hint="eastAsia" w:ascii="宋体" w:hAnsi="宋体"/>
          <w:sz w:val="24"/>
        </w:rPr>
      </w:pPr>
      <w:r>
        <w:rPr>
          <w:rFonts w:hint="eastAsia" w:ascii="宋体" w:hAnsi="宋体"/>
          <w:sz w:val="24"/>
        </w:rPr>
        <w:t>3、我方的投标文件是真实和准确的，并保证不存在招标文件第二章投标须知第3.9款规定的任一情形,若有弄虚作假的，愿承担法律和经济责任。</w:t>
      </w:r>
    </w:p>
    <w:p w14:paraId="26BE7400">
      <w:pPr>
        <w:spacing w:line="460" w:lineRule="exact"/>
        <w:ind w:firstLine="490"/>
        <w:rPr>
          <w:rFonts w:hint="eastAsia" w:ascii="宋体" w:hAnsi="宋体"/>
          <w:sz w:val="24"/>
        </w:rPr>
      </w:pPr>
      <w:r>
        <w:rPr>
          <w:rFonts w:hint="eastAsia" w:ascii="宋体" w:hAnsi="宋体"/>
          <w:sz w:val="24"/>
        </w:rPr>
        <w:t>4、</w:t>
      </w:r>
      <w:r>
        <w:rPr>
          <w:rFonts w:hint="eastAsia" w:ascii="宋体" w:hAnsi="宋体"/>
          <w:kern w:val="0"/>
          <w:sz w:val="24"/>
          <w:shd w:val="clear" w:color="auto" w:fill="FFFFFF"/>
          <w:lang w:bidi="ar"/>
        </w:rPr>
        <w:t xml:space="preserve">若我方中标，我方保证按招标文件规定的要求工期 </w:t>
      </w:r>
      <w:r>
        <w:rPr>
          <w:rFonts w:hint="eastAsia" w:ascii="宋体" w:hAnsi="宋体"/>
          <w:kern w:val="0"/>
          <w:sz w:val="24"/>
          <w:u w:val="single"/>
          <w:shd w:val="clear" w:color="auto" w:fill="FFFFFF"/>
          <w:lang w:bidi="ar"/>
        </w:rPr>
        <w:t>承包期限：合同签订之日起365天；工期：</w:t>
      </w:r>
      <w:r>
        <w:rPr>
          <w:rFonts w:hint="eastAsia" w:ascii="宋体" w:hAnsi="宋体"/>
          <w:sz w:val="24"/>
          <w:u w:val="single"/>
        </w:rPr>
        <w:t xml:space="preserve">根据招标人的实际项目情况和进度安排，由招标人确定工期 </w:t>
      </w:r>
      <w:r>
        <w:rPr>
          <w:rFonts w:hint="eastAsia" w:ascii="宋体" w:hAnsi="宋体"/>
          <w:kern w:val="0"/>
          <w:sz w:val="24"/>
          <w:shd w:val="clear" w:color="auto" w:fill="FFFFFF"/>
          <w:lang w:bidi="ar"/>
        </w:rPr>
        <w:t>内完成并移交全部工程，工程质量达到</w:t>
      </w:r>
      <w:r>
        <w:rPr>
          <w:rFonts w:hint="eastAsia" w:ascii="宋体" w:hAnsi="宋体"/>
          <w:kern w:val="0"/>
          <w:sz w:val="24"/>
          <w:u w:val="single"/>
          <w:shd w:val="clear" w:color="auto" w:fill="FFFFFF"/>
          <w:lang w:bidi="ar"/>
        </w:rPr>
        <w:t>       </w:t>
      </w:r>
      <w:r>
        <w:rPr>
          <w:rFonts w:hint="eastAsia" w:ascii="宋体" w:hAnsi="宋体"/>
          <w:kern w:val="0"/>
          <w:sz w:val="24"/>
          <w:shd w:val="clear" w:color="auto" w:fill="FFFFFF"/>
          <w:lang w:bidi="ar"/>
        </w:rPr>
        <w:t>标准</w:t>
      </w:r>
    </w:p>
    <w:p w14:paraId="7E7E7779">
      <w:pPr>
        <w:spacing w:line="460" w:lineRule="exact"/>
        <w:ind w:firstLine="490"/>
        <w:rPr>
          <w:rFonts w:hint="eastAsia" w:ascii="宋体" w:hAnsi="宋体"/>
          <w:sz w:val="24"/>
          <w:u w:val="single"/>
        </w:rPr>
      </w:pPr>
      <w:r>
        <w:rPr>
          <w:rFonts w:hint="eastAsia" w:ascii="宋体" w:hAnsi="宋体"/>
          <w:sz w:val="24"/>
          <w:u w:val="single"/>
        </w:rPr>
        <w:t>5、若我方中标，我方将派       (姓名)( 建造师证书注册编号         ，项目经理安全生产考核证编号     ) 担任项目经理。</w:t>
      </w:r>
    </w:p>
    <w:p w14:paraId="769A8A1F">
      <w:pPr>
        <w:spacing w:line="460" w:lineRule="exact"/>
        <w:ind w:firstLine="490"/>
        <w:rPr>
          <w:rFonts w:hint="eastAsia" w:ascii="宋体" w:hAnsi="宋体"/>
          <w:sz w:val="24"/>
          <w:u w:val="single"/>
        </w:rPr>
      </w:pPr>
      <w:r>
        <w:rPr>
          <w:rFonts w:hint="eastAsia" w:ascii="宋体" w:hAnsi="宋体"/>
          <w:sz w:val="24"/>
          <w:u w:val="single"/>
        </w:rPr>
        <w:t>6、若我方中标，我方保证按招标文件附表1要求配备项目技术负责人等其他项目管理人员。</w:t>
      </w:r>
    </w:p>
    <w:p w14:paraId="20B1702C">
      <w:pPr>
        <w:spacing w:line="460" w:lineRule="exact"/>
        <w:ind w:firstLine="490"/>
        <w:rPr>
          <w:rFonts w:hint="eastAsia" w:ascii="宋体" w:hAnsi="宋体"/>
          <w:sz w:val="24"/>
        </w:rPr>
      </w:pPr>
      <w:r>
        <w:rPr>
          <w:rFonts w:hint="eastAsia" w:ascii="宋体" w:hAnsi="宋体"/>
          <w:sz w:val="24"/>
        </w:rPr>
        <w:t>7、若我方中标，我方保证拟派出的本合同工程的主要施工管理人员在施工期间到位。</w:t>
      </w:r>
    </w:p>
    <w:p w14:paraId="08B284DA">
      <w:pPr>
        <w:spacing w:line="460" w:lineRule="exact"/>
        <w:ind w:firstLine="488"/>
        <w:rPr>
          <w:rFonts w:hint="eastAsia" w:ascii="宋体" w:hAnsi="宋体"/>
          <w:sz w:val="24"/>
        </w:rPr>
      </w:pPr>
      <w:r>
        <w:rPr>
          <w:rFonts w:hint="eastAsia" w:ascii="宋体" w:hAnsi="宋体"/>
          <w:sz w:val="24"/>
        </w:rPr>
        <w:t>8、我方同意所提交的投标文件在招标文件规定的投标有效期内有效，在此期间内如果中标，我方将受此约束。</w:t>
      </w:r>
    </w:p>
    <w:p w14:paraId="4B4CBC23">
      <w:pPr>
        <w:spacing w:line="460" w:lineRule="exact"/>
        <w:ind w:firstLine="490"/>
        <w:rPr>
          <w:rFonts w:hint="eastAsia" w:ascii="宋体" w:hAnsi="宋体"/>
          <w:sz w:val="24"/>
        </w:rPr>
      </w:pPr>
      <w:r>
        <w:rPr>
          <w:rFonts w:hint="eastAsia" w:ascii="宋体" w:hAnsi="宋体"/>
          <w:sz w:val="24"/>
        </w:rPr>
        <w:t>9、除非另外达成协议并生效，你方的招标文件、中标通知书和本投标承诺函将构成约束双方合同文件的组成部分。</w:t>
      </w:r>
    </w:p>
    <w:p w14:paraId="08F6A277">
      <w:pPr>
        <w:spacing w:line="460" w:lineRule="exact"/>
        <w:ind w:firstLine="480" w:firstLineChars="200"/>
        <w:rPr>
          <w:rFonts w:hint="eastAsia" w:ascii="宋体" w:hAnsi="宋体"/>
          <w:sz w:val="24"/>
        </w:rPr>
      </w:pPr>
      <w:r>
        <w:rPr>
          <w:rFonts w:hint="eastAsia" w:ascii="宋体" w:hAnsi="宋体"/>
          <w:sz w:val="24"/>
        </w:rPr>
        <w:t>10、若我方中标，我方将按照招标文件的规定提交履约保证金。</w:t>
      </w:r>
    </w:p>
    <w:p w14:paraId="49A65408">
      <w:pPr>
        <w:spacing w:line="460" w:lineRule="exact"/>
        <w:ind w:firstLine="480" w:firstLineChars="200"/>
        <w:rPr>
          <w:rFonts w:hint="eastAsia" w:ascii="宋体" w:hAnsi="宋体"/>
          <w:sz w:val="24"/>
        </w:rPr>
      </w:pPr>
      <w:r>
        <w:rPr>
          <w:rFonts w:hint="eastAsia" w:ascii="宋体" w:hAnsi="宋体"/>
          <w:sz w:val="24"/>
        </w:rPr>
        <w:t>11、</w:t>
      </w:r>
      <w:r>
        <w:rPr>
          <w:rFonts w:ascii="宋体" w:hAnsi="宋体"/>
          <w:sz w:val="24"/>
        </w:rPr>
        <w:t>我方</w:t>
      </w:r>
      <w:r>
        <w:rPr>
          <w:rFonts w:hint="eastAsia" w:ascii="宋体" w:hAnsi="宋体"/>
          <w:sz w:val="24"/>
        </w:rPr>
        <w:t>承诺，若有违反相关规定的行为，愿意接受相应的扣分处理。</w:t>
      </w:r>
    </w:p>
    <w:p w14:paraId="07AA33A0">
      <w:pPr>
        <w:spacing w:line="460" w:lineRule="exact"/>
        <w:ind w:left="1000" w:leftChars="476" w:firstLine="1180" w:firstLineChars="492"/>
        <w:jc w:val="right"/>
        <w:rPr>
          <w:rFonts w:hint="eastAsia" w:ascii="宋体" w:hAnsi="宋体"/>
          <w:sz w:val="24"/>
        </w:rPr>
      </w:pPr>
      <w:r>
        <w:rPr>
          <w:rFonts w:hint="eastAsia" w:ascii="宋体" w:hAnsi="宋体"/>
          <w:sz w:val="24"/>
        </w:rPr>
        <w:t>投 标 人：</w:t>
      </w:r>
      <w:r>
        <w:rPr>
          <w:rFonts w:hint="eastAsia" w:ascii="宋体" w:hAnsi="宋体"/>
          <w:sz w:val="24"/>
          <w:u w:val="single"/>
        </w:rPr>
        <w:t xml:space="preserve">                                (盖单位章)</w:t>
      </w:r>
    </w:p>
    <w:p w14:paraId="68A457D5">
      <w:pPr>
        <w:spacing w:line="460" w:lineRule="exact"/>
        <w:ind w:left="1000" w:leftChars="476" w:firstLine="720" w:firstLineChars="300"/>
        <w:jc w:val="right"/>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(签字或盖章)</w:t>
      </w:r>
    </w:p>
    <w:p w14:paraId="36EE642B">
      <w:pPr>
        <w:pStyle w:val="39"/>
        <w:spacing w:line="460" w:lineRule="exact"/>
        <w:ind w:firstLine="5280" w:firstLineChars="2200"/>
        <w:rPr>
          <w:rFonts w:hint="eastAsia" w:hAnsi="宋体"/>
          <w:sz w:val="24"/>
        </w:rPr>
      </w:pPr>
      <w:r>
        <w:rPr>
          <w:rFonts w:hint="eastAsia" w:hAnsi="宋体"/>
          <w:sz w:val="24"/>
        </w:rPr>
        <w:t>联系电话：</w:t>
      </w:r>
      <w:r>
        <w:rPr>
          <w:rFonts w:hint="eastAsia" w:hAnsi="宋体"/>
          <w:sz w:val="24"/>
          <w:u w:val="single"/>
        </w:rPr>
        <w:t xml:space="preserve">                          </w:t>
      </w:r>
    </w:p>
    <w:p w14:paraId="2C2F25B9">
      <w:pPr>
        <w:spacing w:line="460" w:lineRule="exact"/>
        <w:jc w:val="right"/>
        <w:rPr>
          <w:rFonts w:hint="eastAsia"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54396E2">
      <w:pPr>
        <w:spacing w:line="480" w:lineRule="exact"/>
        <w:jc w:val="right"/>
        <w:rPr>
          <w:rFonts w:hint="eastAsia" w:ascii="宋体" w:hAnsi="宋体"/>
          <w:sz w:val="24"/>
        </w:rPr>
      </w:pPr>
    </w:p>
    <w:p w14:paraId="478F637E">
      <w:pPr>
        <w:spacing w:line="480" w:lineRule="exact"/>
        <w:jc w:val="center"/>
        <w:rPr>
          <w:rFonts w:hint="eastAsia" w:ascii="宋体" w:hAnsi="宋体"/>
          <w:b/>
          <w:sz w:val="32"/>
          <w:szCs w:val="32"/>
        </w:rPr>
      </w:pPr>
      <w:r>
        <w:rPr>
          <w:rFonts w:hint="eastAsia" w:ascii="宋体" w:hAnsi="宋体"/>
          <w:b/>
          <w:sz w:val="32"/>
          <w:szCs w:val="32"/>
        </w:rPr>
        <w:t>（二）、企业及人员的证书、证件复印件</w:t>
      </w:r>
    </w:p>
    <w:p w14:paraId="1B801F83">
      <w:pPr>
        <w:spacing w:line="360" w:lineRule="exact"/>
        <w:rPr>
          <w:rFonts w:hint="eastAsia" w:ascii="宋体" w:hAnsi="宋体"/>
          <w:b/>
          <w:sz w:val="24"/>
        </w:rPr>
      </w:pPr>
    </w:p>
    <w:p w14:paraId="7EDC1052">
      <w:pPr>
        <w:snapToGrid w:val="0"/>
        <w:spacing w:line="480" w:lineRule="auto"/>
        <w:rPr>
          <w:rStyle w:val="71"/>
          <w:rFonts w:ascii="宋体" w:hAnsi="宋体"/>
          <w:b/>
          <w:sz w:val="24"/>
        </w:rPr>
      </w:pPr>
      <w:r>
        <w:rPr>
          <w:rStyle w:val="71"/>
          <w:rFonts w:ascii="宋体" w:hAnsi="宋体"/>
          <w:b/>
          <w:sz w:val="24"/>
        </w:rPr>
        <w:t>须附上：</w:t>
      </w:r>
    </w:p>
    <w:p w14:paraId="2AC6CC0C">
      <w:pPr>
        <w:snapToGrid w:val="0"/>
        <w:spacing w:line="480" w:lineRule="auto"/>
        <w:ind w:firstLine="420"/>
        <w:rPr>
          <w:rStyle w:val="71"/>
          <w:rFonts w:ascii="宋体" w:hAnsi="宋体"/>
          <w:b/>
          <w:sz w:val="24"/>
        </w:rPr>
      </w:pPr>
      <w:r>
        <w:rPr>
          <w:rStyle w:val="71"/>
          <w:rFonts w:ascii="宋体" w:hAnsi="宋体"/>
          <w:b/>
          <w:sz w:val="24"/>
        </w:rPr>
        <w:t>1、企业证书原件扫描件并加盖投标人单位公章：</w:t>
      </w:r>
    </w:p>
    <w:p w14:paraId="39EA2038">
      <w:pPr>
        <w:snapToGrid w:val="0"/>
        <w:spacing w:line="480" w:lineRule="auto"/>
        <w:ind w:firstLine="470" w:firstLineChars="196"/>
        <w:rPr>
          <w:rStyle w:val="71"/>
          <w:rFonts w:ascii="宋体" w:hAnsi="宋体"/>
          <w:sz w:val="24"/>
        </w:rPr>
      </w:pPr>
      <w:r>
        <w:rPr>
          <w:rStyle w:val="71"/>
          <w:rFonts w:ascii="宋体" w:hAnsi="宋体"/>
          <w:sz w:val="24"/>
        </w:rPr>
        <w:t>1)企业营业执照原件扫描件并加盖投标人单位公章。</w:t>
      </w:r>
    </w:p>
    <w:p w14:paraId="48F49489">
      <w:pPr>
        <w:snapToGrid w:val="0"/>
        <w:spacing w:line="480" w:lineRule="auto"/>
        <w:ind w:firstLine="470" w:firstLineChars="196"/>
        <w:rPr>
          <w:rStyle w:val="71"/>
          <w:rFonts w:ascii="宋体" w:hAnsi="宋体"/>
          <w:sz w:val="24"/>
        </w:rPr>
      </w:pPr>
      <w:r>
        <w:rPr>
          <w:rStyle w:val="71"/>
          <w:rFonts w:ascii="宋体" w:hAnsi="宋体"/>
          <w:sz w:val="24"/>
        </w:rPr>
        <w:t>2)企业资质证书原件扫描件并加盖投标人单位公章。</w:t>
      </w:r>
    </w:p>
    <w:p w14:paraId="28568F53">
      <w:pPr>
        <w:snapToGrid w:val="0"/>
        <w:spacing w:line="480" w:lineRule="auto"/>
        <w:ind w:firstLine="470" w:firstLineChars="196"/>
        <w:rPr>
          <w:rStyle w:val="71"/>
          <w:rFonts w:ascii="宋体" w:hAnsi="宋体"/>
          <w:sz w:val="24"/>
        </w:rPr>
      </w:pPr>
      <w:r>
        <w:rPr>
          <w:rStyle w:val="71"/>
          <w:rFonts w:ascii="宋体" w:hAnsi="宋体"/>
          <w:sz w:val="24"/>
        </w:rPr>
        <w:t>3)企业安全生产许可证原件扫描件并加盖投标人单位公章。</w:t>
      </w:r>
    </w:p>
    <w:p w14:paraId="3D4741F7">
      <w:pPr>
        <w:pStyle w:val="74"/>
        <w:snapToGrid w:val="0"/>
        <w:ind w:firstLine="480" w:firstLineChars="200"/>
        <w:rPr>
          <w:rStyle w:val="71"/>
          <w:rFonts w:ascii="宋体" w:hAnsi="宋体"/>
          <w:sz w:val="24"/>
        </w:rPr>
      </w:pPr>
      <w:r>
        <w:rPr>
          <w:rStyle w:val="71"/>
          <w:rFonts w:ascii="宋体" w:hAnsi="宋体"/>
          <w:sz w:val="24"/>
        </w:rPr>
        <w:t>4）开户许可证或开户许可信息原件扫描件并加盖投标人单位公章</w:t>
      </w:r>
    </w:p>
    <w:p w14:paraId="2659FAA2">
      <w:pPr>
        <w:snapToGrid w:val="0"/>
        <w:spacing w:line="480" w:lineRule="auto"/>
        <w:ind w:firstLine="472" w:firstLineChars="196"/>
        <w:rPr>
          <w:rStyle w:val="71"/>
          <w:rFonts w:ascii="宋体" w:hAnsi="宋体"/>
          <w:b/>
          <w:sz w:val="24"/>
        </w:rPr>
      </w:pPr>
      <w:r>
        <w:rPr>
          <w:rStyle w:val="71"/>
          <w:rFonts w:ascii="宋体" w:hAnsi="宋体"/>
          <w:b/>
          <w:sz w:val="24"/>
        </w:rPr>
        <w:t>2、拟派出项目经理的证书原件扫描件：</w:t>
      </w:r>
    </w:p>
    <w:p w14:paraId="5C243485">
      <w:pPr>
        <w:snapToGrid w:val="0"/>
        <w:spacing w:line="480" w:lineRule="auto"/>
        <w:ind w:firstLine="470" w:firstLineChars="196"/>
        <w:rPr>
          <w:rStyle w:val="71"/>
          <w:rFonts w:ascii="宋体" w:hAnsi="宋体"/>
          <w:sz w:val="24"/>
        </w:rPr>
      </w:pPr>
      <w:r>
        <w:rPr>
          <w:rStyle w:val="71"/>
          <w:rFonts w:ascii="宋体" w:hAnsi="宋体"/>
          <w:sz w:val="24"/>
        </w:rPr>
        <w:t>1)</w:t>
      </w:r>
      <w:r>
        <w:rPr>
          <w:rStyle w:val="71"/>
          <w:rFonts w:ascii="宋体" w:hAnsi="宋体"/>
          <w:b/>
          <w:sz w:val="24"/>
        </w:rPr>
        <w:t>项目经理须附上有效的注册建造师电子注册证书、安全生产考核合格证书B证的原件扫描件并加盖投标人单位公章。</w:t>
      </w:r>
    </w:p>
    <w:p w14:paraId="0E2CA32F">
      <w:pPr>
        <w:snapToGrid w:val="0"/>
        <w:spacing w:line="480" w:lineRule="auto"/>
        <w:ind w:firstLine="472" w:firstLineChars="196"/>
        <w:rPr>
          <w:rStyle w:val="71"/>
          <w:rFonts w:ascii="宋体" w:hAnsi="宋体"/>
          <w:b/>
          <w:sz w:val="24"/>
        </w:rPr>
      </w:pPr>
      <w:r>
        <w:rPr>
          <w:rStyle w:val="71"/>
          <w:rFonts w:ascii="宋体" w:hAnsi="宋体"/>
          <w:b/>
          <w:sz w:val="24"/>
        </w:rPr>
        <w:t>2) 项目经理的证书、证件、证明资料原件扫描件并加盖投标人单位公章。</w:t>
      </w:r>
    </w:p>
    <w:p w14:paraId="35F88A8A">
      <w:pPr>
        <w:pStyle w:val="75"/>
        <w:snapToGrid w:val="0"/>
        <w:spacing w:line="360" w:lineRule="exact"/>
        <w:ind w:firstLine="422" w:firstLineChars="200"/>
        <w:jc w:val="left"/>
        <w:rPr>
          <w:rStyle w:val="71"/>
          <w:rFonts w:ascii="宋体" w:hAnsi="宋体"/>
          <w:b/>
          <w:bCs/>
          <w:szCs w:val="21"/>
        </w:rPr>
      </w:pPr>
      <w:r>
        <w:rPr>
          <w:rStyle w:val="71"/>
          <w:rFonts w:ascii="宋体" w:hAnsi="宋体"/>
          <w:b/>
          <w:bCs/>
          <w:szCs w:val="21"/>
        </w:rPr>
        <w:t>注：</w:t>
      </w:r>
      <w:r>
        <w:rPr>
          <w:rStyle w:val="71"/>
          <w:rFonts w:ascii="宋体" w:hAnsi="宋体"/>
          <w:b/>
          <w:bCs/>
          <w:szCs w:val="21"/>
          <w:u w:val="single"/>
        </w:rPr>
        <w:t>1、项目负责人的建造师电子注册证书，即建造师电子注册证书彩色打印并由项目负责人在个人签名处手写签名后扫描上传。未由项目负责人本人手写签名或与签名图像笔迹不一致的，该电子注册证书无效。</w:t>
      </w:r>
    </w:p>
    <w:p w14:paraId="4FA81502">
      <w:pPr>
        <w:pStyle w:val="75"/>
        <w:snapToGrid w:val="0"/>
        <w:spacing w:line="360" w:lineRule="exact"/>
        <w:ind w:firstLine="422" w:firstLineChars="200"/>
        <w:jc w:val="left"/>
        <w:rPr>
          <w:rStyle w:val="71"/>
          <w:rFonts w:ascii="宋体" w:hAnsi="宋体"/>
          <w:b/>
          <w:bCs/>
          <w:szCs w:val="21"/>
          <w:u w:val="single"/>
        </w:rPr>
      </w:pPr>
      <w:r>
        <w:rPr>
          <w:rStyle w:val="71"/>
          <w:rFonts w:ascii="宋体" w:hAnsi="宋体"/>
          <w:b/>
          <w:bCs/>
          <w:szCs w:val="21"/>
          <w:u w:val="single"/>
        </w:rPr>
        <w:t>2、一级建造师电子注册证书应在使用有效期内，否则该电子注册证书无效。二级建造师电子注册证书应在使用有效期内，没有标注使用有效期的，应在注册专业有效期内，否则该电子注册证书无效。</w:t>
      </w:r>
    </w:p>
    <w:p w14:paraId="434C7D6C">
      <w:pPr>
        <w:spacing w:line="420" w:lineRule="exact"/>
        <w:ind w:firstLine="470" w:firstLineChars="196"/>
        <w:rPr>
          <w:rFonts w:hint="eastAsia" w:ascii="宋体" w:hAnsi="宋体"/>
          <w:sz w:val="24"/>
        </w:rPr>
      </w:pPr>
    </w:p>
    <w:p w14:paraId="2C0C28C5">
      <w:pPr>
        <w:spacing w:line="700" w:lineRule="exact"/>
        <w:rPr>
          <w:rFonts w:hint="eastAsia" w:ascii="宋体" w:hAnsi="宋体"/>
          <w:b/>
          <w:kern w:val="0"/>
          <w:sz w:val="32"/>
          <w:szCs w:val="32"/>
        </w:rPr>
      </w:pPr>
    </w:p>
    <w:p w14:paraId="5895583A">
      <w:pPr>
        <w:spacing w:line="700" w:lineRule="exact"/>
        <w:rPr>
          <w:rFonts w:hint="eastAsia" w:ascii="宋体" w:hAnsi="宋体"/>
          <w:b/>
          <w:kern w:val="0"/>
          <w:sz w:val="32"/>
          <w:szCs w:val="32"/>
        </w:rPr>
      </w:pPr>
    </w:p>
    <w:p w14:paraId="26226A8D">
      <w:pPr>
        <w:spacing w:line="700" w:lineRule="exact"/>
        <w:rPr>
          <w:rFonts w:hint="eastAsia" w:ascii="宋体" w:hAnsi="宋体"/>
          <w:b/>
          <w:kern w:val="0"/>
          <w:sz w:val="32"/>
          <w:szCs w:val="32"/>
        </w:rPr>
      </w:pPr>
    </w:p>
    <w:p w14:paraId="610F4DD2">
      <w:pPr>
        <w:spacing w:line="700" w:lineRule="exact"/>
        <w:rPr>
          <w:rFonts w:hint="eastAsia" w:ascii="宋体" w:hAnsi="宋体"/>
          <w:b/>
          <w:kern w:val="0"/>
          <w:sz w:val="32"/>
          <w:szCs w:val="32"/>
        </w:rPr>
      </w:pPr>
    </w:p>
    <w:p w14:paraId="195C9911">
      <w:pPr>
        <w:spacing w:line="700" w:lineRule="exact"/>
        <w:rPr>
          <w:rFonts w:hint="eastAsia" w:ascii="宋体" w:hAnsi="宋体"/>
          <w:b/>
          <w:sz w:val="36"/>
          <w:szCs w:val="36"/>
        </w:rPr>
      </w:pPr>
    </w:p>
    <w:p w14:paraId="7F4D9184">
      <w:pPr>
        <w:spacing w:line="700" w:lineRule="exact"/>
        <w:rPr>
          <w:rFonts w:hint="eastAsia" w:ascii="宋体" w:hAnsi="宋体"/>
          <w:b/>
          <w:sz w:val="36"/>
          <w:szCs w:val="36"/>
        </w:rPr>
      </w:pPr>
    </w:p>
    <w:p w14:paraId="0A866C9C">
      <w:pPr>
        <w:spacing w:line="700" w:lineRule="exact"/>
        <w:rPr>
          <w:rFonts w:ascii="宋体" w:hAnsi="宋体"/>
          <w:b/>
          <w:sz w:val="32"/>
          <w:szCs w:val="32"/>
        </w:rPr>
      </w:pPr>
      <w:r>
        <w:rPr>
          <w:rFonts w:ascii="宋体" w:hAnsi="宋体"/>
          <w:b/>
          <w:sz w:val="32"/>
          <w:szCs w:val="32"/>
        </w:rPr>
        <w:br w:type="page"/>
      </w:r>
      <w:r>
        <w:rPr>
          <w:rFonts w:hint="eastAsia" w:ascii="宋体" w:hAnsi="宋体"/>
          <w:b/>
          <w:sz w:val="32"/>
          <w:szCs w:val="32"/>
        </w:rPr>
        <w:t>（三）法定代表人资格证明书、法定代表人授权委托书(格式)</w:t>
      </w:r>
    </w:p>
    <w:p w14:paraId="0BAFCFEB">
      <w:pPr>
        <w:rPr>
          <w:rFonts w:hint="eastAsia" w:ascii="宋体" w:hAnsi="宋体"/>
          <w:b/>
          <w:sz w:val="36"/>
          <w:szCs w:val="36"/>
        </w:rPr>
      </w:pPr>
    </w:p>
    <w:p w14:paraId="3A26001B">
      <w:pPr>
        <w:numPr>
          <w:ilvl w:val="0"/>
          <w:numId w:val="8"/>
        </w:numPr>
        <w:snapToGrid w:val="0"/>
        <w:jc w:val="center"/>
        <w:rPr>
          <w:rStyle w:val="71"/>
          <w:rFonts w:ascii="宋体" w:hAnsi="宋体"/>
          <w:b/>
          <w:sz w:val="32"/>
          <w:szCs w:val="32"/>
        </w:rPr>
      </w:pPr>
      <w:r>
        <w:rPr>
          <w:rStyle w:val="71"/>
          <w:rFonts w:ascii="宋体" w:hAnsi="宋体"/>
          <w:b/>
          <w:sz w:val="32"/>
          <w:szCs w:val="32"/>
        </w:rPr>
        <w:t>法定代表人资格证明书</w:t>
      </w:r>
    </w:p>
    <w:p w14:paraId="752F42DB">
      <w:pPr>
        <w:pStyle w:val="39"/>
        <w:ind w:firstLine="0" w:firstLineChars="0"/>
      </w:pPr>
    </w:p>
    <w:p w14:paraId="18BE1775">
      <w:pPr>
        <w:pStyle w:val="41"/>
      </w:pPr>
    </w:p>
    <w:p w14:paraId="23E05576">
      <w:pPr>
        <w:snapToGrid w:val="0"/>
        <w:spacing w:line="480" w:lineRule="auto"/>
        <w:ind w:firstLine="480" w:firstLineChars="200"/>
        <w:rPr>
          <w:rStyle w:val="71"/>
          <w:rFonts w:ascii="宋体" w:hAnsi="宋体"/>
          <w:sz w:val="24"/>
        </w:rPr>
      </w:pPr>
      <w:r>
        <w:rPr>
          <w:rStyle w:val="71"/>
          <w:rFonts w:ascii="宋体" w:hAnsi="宋体"/>
          <w:sz w:val="24"/>
        </w:rPr>
        <w:t>投标人名称：</w:t>
      </w:r>
      <w:r>
        <w:rPr>
          <w:rStyle w:val="71"/>
          <w:rFonts w:ascii="宋体" w:hAnsi="宋体"/>
          <w:sz w:val="24"/>
          <w:u w:val="single"/>
        </w:rPr>
        <w:t xml:space="preserve">                                                  </w:t>
      </w:r>
      <w:r>
        <w:rPr>
          <w:rStyle w:val="71"/>
          <w:rFonts w:ascii="宋体" w:hAnsi="宋体"/>
          <w:sz w:val="24"/>
        </w:rPr>
        <w:t>。</w:t>
      </w:r>
    </w:p>
    <w:p w14:paraId="299FBE53">
      <w:pPr>
        <w:snapToGrid w:val="0"/>
        <w:spacing w:line="480" w:lineRule="auto"/>
        <w:ind w:firstLine="480" w:firstLineChars="200"/>
        <w:rPr>
          <w:rStyle w:val="71"/>
          <w:rFonts w:ascii="宋体" w:hAnsi="宋体"/>
          <w:sz w:val="24"/>
        </w:rPr>
      </w:pPr>
      <w:r>
        <w:rPr>
          <w:rStyle w:val="71"/>
          <w:rFonts w:ascii="宋体" w:hAnsi="宋体"/>
          <w:sz w:val="24"/>
        </w:rPr>
        <w:t>地    址：</w:t>
      </w:r>
      <w:r>
        <w:rPr>
          <w:rStyle w:val="71"/>
          <w:rFonts w:ascii="宋体" w:hAnsi="宋体"/>
          <w:sz w:val="24"/>
          <w:u w:val="single"/>
        </w:rPr>
        <w:t xml:space="preserve">                                                  </w:t>
      </w:r>
      <w:r>
        <w:rPr>
          <w:rStyle w:val="71"/>
          <w:rFonts w:ascii="宋体" w:hAnsi="宋体"/>
          <w:sz w:val="24"/>
        </w:rPr>
        <w:t>。</w:t>
      </w:r>
    </w:p>
    <w:p w14:paraId="383DE172">
      <w:pPr>
        <w:snapToGrid w:val="0"/>
        <w:spacing w:line="480" w:lineRule="auto"/>
        <w:ind w:firstLine="480" w:firstLineChars="200"/>
        <w:rPr>
          <w:rStyle w:val="71"/>
          <w:rFonts w:ascii="宋体" w:hAnsi="宋体"/>
          <w:sz w:val="24"/>
        </w:rPr>
      </w:pPr>
      <w:r>
        <w:rPr>
          <w:rStyle w:val="71"/>
          <w:rFonts w:ascii="宋体" w:hAnsi="宋体"/>
          <w:sz w:val="24"/>
        </w:rPr>
        <w:t>姓名：</w:t>
      </w:r>
      <w:r>
        <w:rPr>
          <w:rStyle w:val="71"/>
          <w:rFonts w:ascii="宋体" w:hAnsi="宋体"/>
          <w:sz w:val="24"/>
          <w:u w:val="single"/>
        </w:rPr>
        <w:t xml:space="preserve">         </w:t>
      </w:r>
      <w:r>
        <w:rPr>
          <w:rStyle w:val="71"/>
          <w:rFonts w:ascii="宋体" w:hAnsi="宋体"/>
          <w:sz w:val="24"/>
        </w:rPr>
        <w:t>身份证号码：</w:t>
      </w:r>
      <w:r>
        <w:rPr>
          <w:rStyle w:val="71"/>
          <w:rFonts w:ascii="宋体" w:hAnsi="宋体"/>
          <w:sz w:val="24"/>
          <w:u w:val="single"/>
        </w:rPr>
        <w:t xml:space="preserve">                                   </w:t>
      </w:r>
      <w:r>
        <w:rPr>
          <w:rStyle w:val="71"/>
          <w:rFonts w:ascii="宋体" w:hAnsi="宋体"/>
          <w:sz w:val="24"/>
        </w:rPr>
        <w:t>。</w:t>
      </w:r>
    </w:p>
    <w:p w14:paraId="4C122F0D">
      <w:pPr>
        <w:snapToGrid w:val="0"/>
        <w:spacing w:line="480" w:lineRule="auto"/>
        <w:ind w:firstLine="480" w:firstLineChars="200"/>
        <w:rPr>
          <w:rStyle w:val="71"/>
          <w:rFonts w:ascii="宋体" w:hAnsi="宋体"/>
          <w:sz w:val="24"/>
        </w:rPr>
      </w:pPr>
      <w:r>
        <w:rPr>
          <w:rStyle w:val="71"/>
          <w:rFonts w:ascii="宋体" w:hAnsi="宋体"/>
          <w:sz w:val="24"/>
        </w:rPr>
        <w:t>系</w:t>
      </w:r>
      <w:r>
        <w:rPr>
          <w:rStyle w:val="71"/>
          <w:rFonts w:ascii="宋体" w:hAnsi="宋体"/>
          <w:sz w:val="24"/>
          <w:u w:val="single"/>
        </w:rPr>
        <w:t xml:space="preserve">                               </w:t>
      </w:r>
      <w:r>
        <w:rPr>
          <w:rStyle w:val="71"/>
          <w:rFonts w:ascii="宋体" w:hAnsi="宋体"/>
          <w:sz w:val="24"/>
        </w:rPr>
        <w:t>(投标人名称)的法定代表人。</w:t>
      </w:r>
    </w:p>
    <w:p w14:paraId="587976CD">
      <w:pPr>
        <w:snapToGrid w:val="0"/>
        <w:spacing w:line="480" w:lineRule="auto"/>
        <w:ind w:firstLine="480" w:firstLineChars="200"/>
        <w:rPr>
          <w:rStyle w:val="71"/>
          <w:rFonts w:ascii="宋体" w:hAnsi="宋体"/>
          <w:sz w:val="24"/>
        </w:rPr>
      </w:pPr>
      <w:r>
        <w:rPr>
          <w:rStyle w:val="71"/>
          <w:rFonts w:ascii="宋体" w:hAnsi="宋体"/>
          <w:sz w:val="24"/>
        </w:rPr>
        <w:t>特此证明。</w:t>
      </w:r>
    </w:p>
    <w:p w14:paraId="2FBC18DF">
      <w:pPr>
        <w:pStyle w:val="75"/>
        <w:snapToGrid w:val="0"/>
        <w:spacing w:line="480" w:lineRule="auto"/>
        <w:ind w:firstLine="480" w:firstLineChars="200"/>
        <w:jc w:val="right"/>
        <w:rPr>
          <w:rStyle w:val="71"/>
          <w:rFonts w:ascii="宋体" w:hAnsi="宋体"/>
          <w:sz w:val="24"/>
          <w:szCs w:val="24"/>
        </w:rPr>
      </w:pPr>
      <w:r>
        <w:rPr>
          <w:rStyle w:val="71"/>
          <w:rFonts w:ascii="宋体" w:hAnsi="宋体"/>
          <w:sz w:val="24"/>
          <w:szCs w:val="24"/>
        </w:rPr>
        <w:t xml:space="preserve">                           投标人：</w:t>
      </w:r>
      <w:r>
        <w:rPr>
          <w:rStyle w:val="71"/>
          <w:rFonts w:ascii="宋体" w:hAnsi="宋体"/>
          <w:sz w:val="24"/>
          <w:szCs w:val="24"/>
          <w:u w:val="single"/>
        </w:rPr>
        <w:t xml:space="preserve">           </w:t>
      </w:r>
      <w:r>
        <w:rPr>
          <w:rStyle w:val="71"/>
          <w:rFonts w:ascii="宋体" w:hAnsi="宋体"/>
          <w:sz w:val="24"/>
          <w:u w:val="single"/>
        </w:rPr>
        <w:t>(盖单位电子章)</w:t>
      </w:r>
      <w:r>
        <w:rPr>
          <w:rStyle w:val="71"/>
          <w:rFonts w:ascii="宋体" w:hAnsi="宋体"/>
          <w:sz w:val="24"/>
          <w:szCs w:val="24"/>
        </w:rPr>
        <w:t xml:space="preserve">                                                  日  期：</w:t>
      </w:r>
      <w:r>
        <w:rPr>
          <w:rStyle w:val="71"/>
          <w:rFonts w:ascii="宋体" w:hAnsi="宋体"/>
          <w:sz w:val="24"/>
          <w:szCs w:val="24"/>
          <w:u w:val="single"/>
        </w:rPr>
        <w:t xml:space="preserve">       </w:t>
      </w:r>
      <w:r>
        <w:rPr>
          <w:rStyle w:val="71"/>
          <w:rFonts w:ascii="宋体" w:hAnsi="宋体"/>
          <w:sz w:val="24"/>
          <w:szCs w:val="24"/>
        </w:rPr>
        <w:t>年</w:t>
      </w:r>
      <w:r>
        <w:rPr>
          <w:rStyle w:val="71"/>
          <w:rFonts w:ascii="宋体" w:hAnsi="宋体"/>
          <w:sz w:val="24"/>
          <w:szCs w:val="24"/>
          <w:u w:val="single"/>
        </w:rPr>
        <w:t xml:space="preserve">    </w:t>
      </w:r>
      <w:r>
        <w:rPr>
          <w:rStyle w:val="71"/>
          <w:rFonts w:ascii="宋体" w:hAnsi="宋体"/>
          <w:sz w:val="24"/>
          <w:szCs w:val="24"/>
        </w:rPr>
        <w:t>月</w:t>
      </w:r>
      <w:r>
        <w:rPr>
          <w:rStyle w:val="71"/>
          <w:rFonts w:ascii="宋体" w:hAnsi="宋体"/>
          <w:sz w:val="24"/>
          <w:szCs w:val="24"/>
          <w:u w:val="single"/>
        </w:rPr>
        <w:t xml:space="preserve">    </w:t>
      </w:r>
      <w:r>
        <w:rPr>
          <w:rStyle w:val="71"/>
          <w:rFonts w:ascii="宋体" w:hAnsi="宋体"/>
          <w:sz w:val="24"/>
          <w:szCs w:val="24"/>
        </w:rPr>
        <w:t>日</w:t>
      </w:r>
    </w:p>
    <w:p w14:paraId="5416CB60">
      <w:pPr>
        <w:pageBreakBefore/>
        <w:snapToGrid w:val="0"/>
        <w:spacing w:line="480" w:lineRule="auto"/>
        <w:jc w:val="center"/>
        <w:rPr>
          <w:rStyle w:val="71"/>
          <w:rFonts w:ascii="宋体" w:hAnsi="宋体"/>
          <w:b/>
          <w:sz w:val="32"/>
          <w:szCs w:val="32"/>
        </w:rPr>
      </w:pPr>
      <w:r>
        <w:rPr>
          <w:rStyle w:val="71"/>
          <w:rFonts w:ascii="宋体" w:hAnsi="宋体"/>
          <w:b/>
          <w:sz w:val="32"/>
          <w:szCs w:val="32"/>
        </w:rPr>
        <w:t>2、法定代表人授权委托书</w:t>
      </w:r>
    </w:p>
    <w:p w14:paraId="57F59476">
      <w:pPr>
        <w:pStyle w:val="75"/>
        <w:snapToGrid w:val="0"/>
        <w:spacing w:line="480" w:lineRule="auto"/>
        <w:ind w:firstLine="508"/>
        <w:jc w:val="left"/>
        <w:rPr>
          <w:rStyle w:val="71"/>
          <w:rFonts w:ascii="宋体" w:hAnsi="宋体"/>
          <w:sz w:val="24"/>
        </w:rPr>
      </w:pPr>
      <w:r>
        <w:rPr>
          <w:rStyle w:val="71"/>
          <w:rFonts w:ascii="宋体" w:hAnsi="宋体"/>
          <w:sz w:val="24"/>
        </w:rPr>
        <w:t>本人</w:t>
      </w:r>
      <w:r>
        <w:rPr>
          <w:rStyle w:val="71"/>
          <w:rFonts w:ascii="宋体" w:hAnsi="宋体"/>
          <w:sz w:val="24"/>
          <w:u w:val="single"/>
        </w:rPr>
        <w:t xml:space="preserve">        </w:t>
      </w:r>
      <w:r>
        <w:rPr>
          <w:rStyle w:val="71"/>
          <w:rFonts w:ascii="宋体" w:hAnsi="宋体"/>
          <w:sz w:val="24"/>
        </w:rPr>
        <w:t>(姓名)系</w:t>
      </w:r>
      <w:r>
        <w:rPr>
          <w:rStyle w:val="71"/>
          <w:rFonts w:ascii="宋体" w:hAnsi="宋体"/>
          <w:sz w:val="24"/>
          <w:u w:val="single"/>
        </w:rPr>
        <w:t xml:space="preserve">        </w:t>
      </w:r>
      <w:r>
        <w:rPr>
          <w:rStyle w:val="71"/>
          <w:rFonts w:ascii="宋体" w:hAnsi="宋体"/>
          <w:sz w:val="24"/>
        </w:rPr>
        <w:t>(投标人名称)的法定代表人，现授权委托</w:t>
      </w:r>
      <w:r>
        <w:rPr>
          <w:rStyle w:val="71"/>
          <w:rFonts w:ascii="宋体" w:hAnsi="宋体"/>
          <w:sz w:val="24"/>
          <w:u w:val="single"/>
        </w:rPr>
        <w:t xml:space="preserve">      </w:t>
      </w:r>
      <w:r>
        <w:rPr>
          <w:rStyle w:val="71"/>
          <w:rFonts w:ascii="宋体" w:hAnsi="宋体"/>
          <w:sz w:val="24"/>
        </w:rPr>
        <w:t>(姓名)为我方代理人，以我方名义签署、澄清、说明、补正、递交、撤回、修改</w:t>
      </w:r>
      <w:r>
        <w:rPr>
          <w:rStyle w:val="71"/>
          <w:rFonts w:ascii="宋体" w:hAnsi="宋体"/>
          <w:sz w:val="24"/>
          <w:u w:val="single"/>
        </w:rPr>
        <w:t xml:space="preserve">　       </w:t>
      </w:r>
      <w:r>
        <w:rPr>
          <w:rStyle w:val="71"/>
          <w:rFonts w:ascii="宋体" w:hAnsi="宋体"/>
          <w:sz w:val="24"/>
        </w:rPr>
        <w:t>(招标人名</w:t>
      </w:r>
      <w:r>
        <w:rPr>
          <w:rStyle w:val="71"/>
          <w:rFonts w:ascii="宋体" w:hAnsi="宋体"/>
          <w:sz w:val="24"/>
          <w:szCs w:val="24"/>
        </w:rPr>
        <w:t>称)的</w:t>
      </w:r>
      <w:r>
        <w:rPr>
          <w:rStyle w:val="71"/>
          <w:rFonts w:ascii="宋体" w:hAnsi="宋体"/>
          <w:sz w:val="24"/>
          <w:szCs w:val="24"/>
          <w:u w:val="single"/>
        </w:rPr>
        <w:t xml:space="preserve">                 </w:t>
      </w:r>
      <w:r>
        <w:rPr>
          <w:rStyle w:val="71"/>
          <w:rFonts w:ascii="宋体" w:hAnsi="宋体"/>
          <w:sz w:val="24"/>
          <w:szCs w:val="24"/>
        </w:rPr>
        <w:t>(项目名称)施工投标文件、参加开标、签订合同和处理有关事宜，其法律后果由我方承担</w:t>
      </w:r>
      <w:r>
        <w:rPr>
          <w:rStyle w:val="71"/>
          <w:rFonts w:ascii="宋体" w:hAnsi="宋体"/>
          <w:sz w:val="24"/>
        </w:rPr>
        <w:t>。</w:t>
      </w:r>
    </w:p>
    <w:p w14:paraId="10DC22C3">
      <w:pPr>
        <w:pStyle w:val="75"/>
        <w:snapToGrid w:val="0"/>
        <w:spacing w:line="480" w:lineRule="auto"/>
        <w:ind w:firstLine="508"/>
        <w:jc w:val="left"/>
        <w:rPr>
          <w:rStyle w:val="71"/>
          <w:rFonts w:ascii="宋体" w:hAnsi="宋体"/>
          <w:sz w:val="24"/>
        </w:rPr>
      </w:pPr>
      <w:r>
        <w:rPr>
          <w:rStyle w:val="71"/>
          <w:rFonts w:ascii="宋体" w:hAnsi="宋体"/>
          <w:sz w:val="24"/>
        </w:rPr>
        <w:t>代理人无转委托权。</w:t>
      </w:r>
    </w:p>
    <w:p w14:paraId="1B4DBC97">
      <w:pPr>
        <w:snapToGrid w:val="0"/>
        <w:spacing w:line="640" w:lineRule="exact"/>
        <w:ind w:right="960" w:firstLine="480" w:firstLineChars="200"/>
        <w:jc w:val="right"/>
        <w:rPr>
          <w:rStyle w:val="71"/>
          <w:rFonts w:ascii="宋体" w:hAnsi="宋体"/>
          <w:kern w:val="0"/>
          <w:sz w:val="24"/>
        </w:rPr>
      </w:pPr>
      <w:r>
        <w:rPr>
          <w:rStyle w:val="71"/>
          <w:rFonts w:ascii="宋体" w:hAnsi="宋体"/>
          <w:kern w:val="0"/>
          <w:sz w:val="24"/>
        </w:rPr>
        <w:t>投标人：</w:t>
      </w:r>
      <w:r>
        <w:rPr>
          <w:rStyle w:val="71"/>
          <w:rFonts w:ascii="宋体" w:hAnsi="宋体"/>
          <w:kern w:val="0"/>
          <w:sz w:val="24"/>
          <w:u w:val="single"/>
        </w:rPr>
        <w:t xml:space="preserve">                                      </w:t>
      </w:r>
      <w:r>
        <w:rPr>
          <w:rStyle w:val="71"/>
          <w:rFonts w:ascii="宋体" w:hAnsi="宋体"/>
          <w:sz w:val="24"/>
          <w:u w:val="single"/>
        </w:rPr>
        <w:t>(盖单位电子章)</w:t>
      </w:r>
    </w:p>
    <w:p w14:paraId="67259F36">
      <w:pPr>
        <w:snapToGrid w:val="0"/>
        <w:spacing w:line="640" w:lineRule="exact"/>
        <w:ind w:right="960" w:firstLine="480" w:firstLineChars="200"/>
        <w:jc w:val="center"/>
        <w:rPr>
          <w:rStyle w:val="71"/>
          <w:rFonts w:ascii="宋体" w:hAnsi="宋体"/>
          <w:kern w:val="0"/>
          <w:sz w:val="24"/>
        </w:rPr>
      </w:pPr>
      <w:r>
        <w:rPr>
          <w:rStyle w:val="71"/>
          <w:rFonts w:ascii="宋体" w:hAnsi="宋体"/>
          <w:kern w:val="0"/>
          <w:sz w:val="24"/>
        </w:rPr>
        <w:t xml:space="preserve">       法定代表人：</w:t>
      </w:r>
      <w:r>
        <w:rPr>
          <w:rStyle w:val="71"/>
          <w:rFonts w:ascii="宋体" w:hAnsi="宋体"/>
          <w:kern w:val="0"/>
          <w:sz w:val="24"/>
          <w:u w:val="single"/>
        </w:rPr>
        <w:t xml:space="preserve">                               </w:t>
      </w:r>
      <w:r>
        <w:rPr>
          <w:rStyle w:val="71"/>
          <w:rFonts w:ascii="宋体" w:hAnsi="宋体"/>
          <w:kern w:val="0"/>
          <w:sz w:val="28"/>
          <w:szCs w:val="28"/>
        </w:rPr>
        <w:t>（姓名）</w:t>
      </w:r>
    </w:p>
    <w:p w14:paraId="4A1980B2">
      <w:pPr>
        <w:snapToGrid w:val="0"/>
        <w:spacing w:line="640" w:lineRule="exact"/>
        <w:ind w:right="840" w:firstLine="960" w:firstLineChars="400"/>
        <w:jc w:val="left"/>
        <w:rPr>
          <w:rStyle w:val="71"/>
          <w:rFonts w:ascii="宋体" w:hAnsi="宋体"/>
          <w:kern w:val="0"/>
          <w:sz w:val="24"/>
        </w:rPr>
      </w:pPr>
      <w:r>
        <w:rPr>
          <w:rStyle w:val="71"/>
          <w:rFonts w:ascii="宋体" w:hAnsi="宋体"/>
          <w:kern w:val="0"/>
          <w:sz w:val="24"/>
        </w:rPr>
        <w:t>法定代表人身份证号码：</w:t>
      </w:r>
      <w:r>
        <w:rPr>
          <w:rStyle w:val="71"/>
          <w:rFonts w:ascii="宋体" w:hAnsi="宋体"/>
          <w:kern w:val="0"/>
          <w:sz w:val="24"/>
          <w:u w:val="single"/>
        </w:rPr>
        <w:t xml:space="preserve">                                     </w:t>
      </w:r>
    </w:p>
    <w:p w14:paraId="4625A8FF">
      <w:pPr>
        <w:snapToGrid w:val="0"/>
        <w:spacing w:line="640" w:lineRule="exact"/>
        <w:ind w:right="1080" w:firstLine="480" w:firstLineChars="200"/>
        <w:jc w:val="center"/>
        <w:rPr>
          <w:rStyle w:val="71"/>
          <w:rFonts w:ascii="宋体" w:hAnsi="宋体"/>
          <w:kern w:val="0"/>
          <w:sz w:val="24"/>
        </w:rPr>
      </w:pPr>
      <w:r>
        <w:rPr>
          <w:rStyle w:val="71"/>
          <w:rFonts w:ascii="宋体" w:hAnsi="宋体"/>
          <w:kern w:val="0"/>
          <w:sz w:val="24"/>
        </w:rPr>
        <w:t xml:space="preserve">       委托代理人：</w:t>
      </w:r>
      <w:r>
        <w:rPr>
          <w:rStyle w:val="71"/>
          <w:rFonts w:ascii="宋体" w:hAnsi="宋体"/>
          <w:kern w:val="0"/>
          <w:sz w:val="24"/>
          <w:u w:val="single"/>
        </w:rPr>
        <w:t xml:space="preserve">                                </w:t>
      </w:r>
      <w:r>
        <w:rPr>
          <w:rStyle w:val="71"/>
          <w:rFonts w:ascii="宋体" w:hAnsi="宋体"/>
          <w:kern w:val="0"/>
          <w:sz w:val="28"/>
          <w:szCs w:val="28"/>
        </w:rPr>
        <w:t>（姓名）</w:t>
      </w:r>
    </w:p>
    <w:p w14:paraId="405362D8">
      <w:pPr>
        <w:snapToGrid w:val="0"/>
        <w:spacing w:line="640" w:lineRule="exact"/>
        <w:ind w:right="840" w:firstLine="720" w:firstLineChars="300"/>
        <w:jc w:val="left"/>
        <w:rPr>
          <w:rStyle w:val="71"/>
          <w:rFonts w:ascii="宋体" w:hAnsi="宋体"/>
          <w:kern w:val="0"/>
          <w:sz w:val="24"/>
        </w:rPr>
      </w:pPr>
      <w:r>
        <w:rPr>
          <w:rStyle w:val="71"/>
          <w:rFonts w:ascii="宋体" w:hAnsi="宋体"/>
          <w:kern w:val="0"/>
          <w:sz w:val="24"/>
        </w:rPr>
        <w:t>委托代理人身份证号码：</w:t>
      </w:r>
      <w:r>
        <w:rPr>
          <w:rStyle w:val="71"/>
          <w:rFonts w:ascii="宋体" w:hAnsi="宋体"/>
          <w:kern w:val="0"/>
          <w:sz w:val="24"/>
          <w:u w:val="single"/>
        </w:rPr>
        <w:t xml:space="preserve">                                     </w:t>
      </w:r>
    </w:p>
    <w:p w14:paraId="5F970DFC">
      <w:pPr>
        <w:snapToGrid w:val="0"/>
        <w:jc w:val="center"/>
        <w:rPr>
          <w:rStyle w:val="71"/>
          <w:rFonts w:ascii="宋体" w:hAnsi="宋体"/>
          <w:kern w:val="0"/>
          <w:sz w:val="32"/>
          <w:szCs w:val="32"/>
          <w:u w:val="single"/>
        </w:rPr>
      </w:pPr>
      <w:r>
        <w:rPr>
          <w:rStyle w:val="71"/>
          <w:rFonts w:ascii="宋体" w:hAnsi="宋体"/>
          <w:kern w:val="0"/>
          <w:sz w:val="32"/>
          <w:szCs w:val="32"/>
          <w:u w:val="single"/>
        </w:rPr>
        <w:t xml:space="preserve"> </w:t>
      </w:r>
      <w:r>
        <w:rPr>
          <w:rStyle w:val="71"/>
          <w:rFonts w:ascii="宋体" w:hAnsi="宋体"/>
          <w:kern w:val="0"/>
          <w:sz w:val="24"/>
          <w:u w:val="single"/>
        </w:rPr>
        <w:t xml:space="preserve">    </w:t>
      </w:r>
      <w:r>
        <w:rPr>
          <w:rStyle w:val="71"/>
          <w:rFonts w:ascii="宋体" w:hAnsi="宋体"/>
          <w:kern w:val="0"/>
          <w:sz w:val="24"/>
        </w:rPr>
        <w:t>年</w:t>
      </w:r>
      <w:r>
        <w:rPr>
          <w:rStyle w:val="71"/>
          <w:rFonts w:ascii="宋体" w:hAnsi="宋体"/>
          <w:kern w:val="0"/>
          <w:sz w:val="24"/>
          <w:u w:val="single"/>
        </w:rPr>
        <w:t xml:space="preserve">    </w:t>
      </w:r>
      <w:r>
        <w:rPr>
          <w:rStyle w:val="71"/>
          <w:rFonts w:ascii="宋体" w:hAnsi="宋体"/>
          <w:kern w:val="0"/>
          <w:sz w:val="24"/>
        </w:rPr>
        <w:t>月</w:t>
      </w:r>
      <w:r>
        <w:rPr>
          <w:rStyle w:val="71"/>
          <w:rFonts w:ascii="宋体" w:hAnsi="宋体"/>
          <w:kern w:val="0"/>
          <w:sz w:val="24"/>
          <w:u w:val="single"/>
        </w:rPr>
        <w:t xml:space="preserve">    </w:t>
      </w:r>
      <w:r>
        <w:rPr>
          <w:rStyle w:val="71"/>
          <w:rFonts w:ascii="宋体" w:hAnsi="宋体"/>
          <w:kern w:val="0"/>
          <w:sz w:val="24"/>
        </w:rPr>
        <w:t>日</w:t>
      </w:r>
      <w:r>
        <w:rPr>
          <w:rStyle w:val="71"/>
          <w:rFonts w:ascii="宋体" w:hAnsi="宋体"/>
          <w:sz w:val="26"/>
        </w:rPr>
        <w:t xml:space="preserve"> </w:t>
      </w:r>
    </w:p>
    <w:p w14:paraId="076ED3CD">
      <w:pPr>
        <w:spacing w:line="480" w:lineRule="auto"/>
        <w:jc w:val="center"/>
        <w:rPr>
          <w:rFonts w:hint="eastAsia" w:ascii="宋体" w:hAnsi="宋体"/>
          <w:b/>
          <w:sz w:val="32"/>
          <w:szCs w:val="32"/>
        </w:rPr>
      </w:pPr>
    </w:p>
    <w:p w14:paraId="4A418BAE">
      <w:pPr>
        <w:ind w:firstLine="480" w:firstLineChars="200"/>
        <w:rPr>
          <w:rFonts w:hint="eastAsia" w:ascii="宋体" w:hAnsi="宋体"/>
          <w:sz w:val="24"/>
        </w:rPr>
      </w:pPr>
    </w:p>
    <w:sectPr>
      <w:headerReference r:id="rId3" w:type="default"/>
      <w:footerReference r:id="rId4" w:type="default"/>
      <w:footerReference r:id="rId5" w:type="even"/>
      <w:pgSz w:w="11907" w:h="16840"/>
      <w:pgMar w:top="1276" w:right="1134" w:bottom="1276"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Sim Sun">
    <w:altName w:val="宋体"/>
    <w:panose1 w:val="00000000000000000000"/>
    <w:charset w:val="86"/>
    <w:family w:val="swiss"/>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CF4D">
    <w:pPr>
      <w:pStyle w:val="31"/>
      <w:framePr w:wrap="around" w:vAnchor="text" w:hAnchor="margin" w:xAlign="center" w:y="1"/>
    </w:pPr>
    <w:r>
      <w:fldChar w:fldCharType="begin"/>
    </w:r>
    <w:r>
      <w:rPr>
        <w:rStyle w:val="37"/>
      </w:rPr>
      <w:instrText xml:space="preserve">PAGE  </w:instrText>
    </w:r>
    <w:r>
      <w:fldChar w:fldCharType="separate"/>
    </w:r>
    <w:r>
      <w:rPr>
        <w:rStyle w:val="37"/>
      </w:rPr>
      <w:t>17</w:t>
    </w:r>
    <w:r>
      <w:fldChar w:fldCharType="end"/>
    </w:r>
  </w:p>
  <w:p w14:paraId="2B4E19A6">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4932B">
    <w:pPr>
      <w:pStyle w:val="31"/>
      <w:framePr w:wrap="around" w:vAnchor="text" w:hAnchor="margin" w:xAlign="center" w:y="1"/>
    </w:pPr>
    <w:r>
      <w:fldChar w:fldCharType="begin"/>
    </w:r>
    <w:r>
      <w:rPr>
        <w:rStyle w:val="37"/>
      </w:rPr>
      <w:instrText xml:space="preserve">PAGE  </w:instrText>
    </w:r>
    <w:r>
      <w:fldChar w:fldCharType="separate"/>
    </w:r>
    <w:r>
      <w:rPr>
        <w:rStyle w:val="37"/>
      </w:rPr>
      <w:t>1</w:t>
    </w:r>
    <w:r>
      <w:fldChar w:fldCharType="end"/>
    </w:r>
  </w:p>
  <w:p w14:paraId="1EAA0B1D">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FACB9">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AB75E"/>
    <w:multiLevelType w:val="singleLevel"/>
    <w:tmpl w:val="9CDAB75E"/>
    <w:lvl w:ilvl="0" w:tentative="0">
      <w:start w:val="15"/>
      <w:numFmt w:val="decimal"/>
      <w:lvlText w:val="%1."/>
      <w:lvlJc w:val="left"/>
      <w:pPr>
        <w:tabs>
          <w:tab w:val="left" w:pos="312"/>
        </w:tabs>
      </w:pPr>
    </w:lvl>
  </w:abstractNum>
  <w:abstractNum w:abstractNumId="1">
    <w:nsid w:val="A2A61F93"/>
    <w:multiLevelType w:val="singleLevel"/>
    <w:tmpl w:val="A2A61F93"/>
    <w:lvl w:ilvl="0" w:tentative="0">
      <w:start w:val="1"/>
      <w:numFmt w:val="decimal"/>
      <w:suff w:val="nothing"/>
      <w:lvlText w:val="%1、"/>
      <w:lvlJc w:val="left"/>
    </w:lvl>
  </w:abstractNum>
  <w:abstractNum w:abstractNumId="2">
    <w:nsid w:val="FC52812B"/>
    <w:multiLevelType w:val="singleLevel"/>
    <w:tmpl w:val="FC52812B"/>
    <w:lvl w:ilvl="0" w:tentative="0">
      <w:start w:val="1"/>
      <w:numFmt w:val="decimal"/>
      <w:suff w:val="nothing"/>
      <w:lvlText w:val="%1、"/>
      <w:lvlJc w:val="left"/>
    </w:lvl>
  </w:abstractNum>
  <w:abstractNum w:abstractNumId="3">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0F"/>
    <w:multiLevelType w:val="multilevel"/>
    <w:tmpl w:val="0000000F"/>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4"/>
      <w:suff w:val="space"/>
      <w:lvlText w:val="（%3）"/>
      <w:lvlJc w:val="left"/>
      <w:pPr>
        <w:ind w:left="0" w:firstLine="510"/>
      </w:pPr>
      <w:rPr>
        <w:rFonts w:hint="eastAsia"/>
        <w:b/>
        <w:i w:val="0"/>
        <w:sz w:val="24"/>
      </w:rPr>
    </w:lvl>
    <w:lvl w:ilvl="3" w:tentative="0">
      <w:start w:val="1"/>
      <w:numFmt w:val="decimal"/>
      <w:pStyle w:val="62"/>
      <w:suff w:val="space"/>
      <w:lvlText w:val="%4."/>
      <w:lvlJc w:val="left"/>
      <w:pPr>
        <w:ind w:left="0" w:firstLine="510"/>
      </w:pPr>
      <w:rPr>
        <w:rFonts w:hint="eastAsia" w:ascii="宋体" w:hAnsi="宋体" w:eastAsia="宋体"/>
        <w:b/>
        <w:sz w:val="24"/>
      </w:rPr>
    </w:lvl>
    <w:lvl w:ilvl="4" w:tentative="0">
      <w:start w:val="1"/>
      <w:numFmt w:val="decimal"/>
      <w:pStyle w:val="34"/>
      <w:lvlText w:val="%4.%5."/>
      <w:lvlJc w:val="left"/>
      <w:pPr>
        <w:tabs>
          <w:tab w:val="left" w:pos="1000"/>
        </w:tabs>
        <w:ind w:left="490" w:firstLine="510"/>
      </w:pPr>
      <w:rPr>
        <w:rFonts w:hint="eastAsia" w:eastAsia="宋体"/>
        <w:b w:val="0"/>
        <w:i w:val="0"/>
        <w:color w:val="000000"/>
        <w:sz w:val="24"/>
      </w:rPr>
    </w:lvl>
    <w:lvl w:ilvl="5" w:tentative="0">
      <w:start w:val="1"/>
      <w:numFmt w:val="decimal"/>
      <w:lvlText w:val="%4.%5.%6　"/>
      <w:lvlJc w:val="left"/>
      <w:pPr>
        <w:tabs>
          <w:tab w:val="left" w:pos="510"/>
        </w:tabs>
        <w:ind w:left="0" w:firstLine="510"/>
      </w:pPr>
      <w:rPr>
        <w:rFonts w:hint="eastAsia"/>
        <w:b w:val="0"/>
        <w:color w:val="000000"/>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5">
    <w:nsid w:val="21348511"/>
    <w:multiLevelType w:val="singleLevel"/>
    <w:tmpl w:val="21348511"/>
    <w:lvl w:ilvl="0" w:tentative="0">
      <w:start w:val="1"/>
      <w:numFmt w:val="upperLetter"/>
      <w:lvlText w:val="%1."/>
      <w:lvlJc w:val="left"/>
      <w:pPr>
        <w:tabs>
          <w:tab w:val="left" w:pos="312"/>
        </w:tabs>
      </w:pPr>
    </w:lvl>
  </w:abstractNum>
  <w:abstractNum w:abstractNumId="6">
    <w:nsid w:val="5FBB5E38"/>
    <w:multiLevelType w:val="singleLevel"/>
    <w:tmpl w:val="5FBB5E38"/>
    <w:lvl w:ilvl="0" w:tentative="0">
      <w:start w:val="2"/>
      <w:numFmt w:val="decimal"/>
      <w:suff w:val="nothing"/>
      <w:lvlText w:val="（%1）"/>
      <w:lvlJc w:val="left"/>
    </w:lvl>
  </w:abstractNum>
  <w:abstractNum w:abstractNumId="7">
    <w:nsid w:val="736BF204"/>
    <w:multiLevelType w:val="singleLevel"/>
    <w:tmpl w:val="736BF204"/>
    <w:lvl w:ilvl="0" w:tentative="0">
      <w:start w:val="3"/>
      <w:numFmt w:val="chineseCounting"/>
      <w:suff w:val="space"/>
      <w:lvlText w:val="第%1章"/>
      <w:lvlJc w:val="left"/>
      <w:rPr>
        <w:rFonts w:hint="eastAsia"/>
      </w:rPr>
    </w:lvl>
  </w:abstractNum>
  <w:num w:numId="1">
    <w:abstractNumId w:val="4"/>
  </w:num>
  <w:num w:numId="2">
    <w:abstractNumId w:val="3"/>
  </w:num>
  <w:num w:numId="3">
    <w:abstractNumId w:val="6"/>
  </w:num>
  <w:num w:numId="4">
    <w:abstractNumId w:val="0"/>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A5523"/>
    <w:rsid w:val="157A7243"/>
    <w:rsid w:val="1F0D63B2"/>
    <w:rsid w:val="20BA32E0"/>
    <w:rsid w:val="226D4721"/>
    <w:rsid w:val="2CBE62A5"/>
    <w:rsid w:val="2DEA313B"/>
    <w:rsid w:val="3641616D"/>
    <w:rsid w:val="3A114A4E"/>
    <w:rsid w:val="3A555D6F"/>
    <w:rsid w:val="42E511AB"/>
    <w:rsid w:val="59B442DF"/>
    <w:rsid w:val="66583FCF"/>
    <w:rsid w:val="671C4553"/>
    <w:rsid w:val="7FDA1F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1"/>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800080"/>
      <w:u w:val="none"/>
    </w:rPr>
  </w:style>
  <w:style w:type="character" w:styleId="6">
    <w:name w:val="HTML Definition"/>
    <w:basedOn w:val="4"/>
    <w:qFormat/>
    <w:uiPriority w:val="0"/>
  </w:style>
  <w:style w:type="character" w:styleId="7">
    <w:name w:val="HTML Typewriter"/>
    <w:basedOn w:val="4"/>
    <w:qFormat/>
    <w:uiPriority w:val="0"/>
    <w:rPr>
      <w:rFonts w:hint="default" w:ascii="monospace" w:hAnsi="monospace" w:eastAsia="monospace" w:cs="monospace"/>
      <w:sz w:val="20"/>
    </w:rPr>
  </w:style>
  <w:style w:type="character" w:styleId="8">
    <w:name w:val="HTML Acronym"/>
    <w:basedOn w:val="4"/>
    <w:qFormat/>
    <w:uiPriority w:val="0"/>
  </w:style>
  <w:style w:type="character" w:styleId="9">
    <w:name w:val="HTML Variable"/>
    <w:basedOn w:val="4"/>
    <w:qFormat/>
    <w:uiPriority w:val="0"/>
  </w:style>
  <w:style w:type="character" w:styleId="10">
    <w:name w:val="Hyperlink"/>
    <w:basedOn w:val="4"/>
    <w:qFormat/>
    <w:uiPriority w:val="0"/>
    <w:rPr>
      <w:color w:val="0000FF"/>
      <w:u w:val="none"/>
    </w:rPr>
  </w:style>
  <w:style w:type="character" w:styleId="11">
    <w:name w:val="HTML Code"/>
    <w:basedOn w:val="4"/>
    <w:qFormat/>
    <w:uiPriority w:val="0"/>
    <w:rPr>
      <w:rFonts w:hint="default" w:ascii="monospace" w:hAnsi="monospace" w:eastAsia="monospace" w:cs="monospace"/>
      <w:sz w:val="20"/>
    </w:rPr>
  </w:style>
  <w:style w:type="character" w:styleId="12">
    <w:name w:val="HTML Cite"/>
    <w:basedOn w:val="4"/>
    <w:qFormat/>
    <w:uiPriority w:val="0"/>
  </w:style>
  <w:style w:type="character" w:styleId="13">
    <w:name w:val="HTML Keyboard"/>
    <w:basedOn w:val="4"/>
    <w:qFormat/>
    <w:uiPriority w:val="0"/>
    <w:rPr>
      <w:rFonts w:hint="default" w:ascii="monospace" w:hAnsi="monospace" w:eastAsia="monospace" w:cs="monospace"/>
      <w:sz w:val="20"/>
    </w:rPr>
  </w:style>
  <w:style w:type="character" w:styleId="14">
    <w:name w:val="HTML Sample"/>
    <w:basedOn w:val="4"/>
    <w:qFormat/>
    <w:uiPriority w:val="0"/>
    <w:rPr>
      <w:rFonts w:ascii="monospace" w:hAnsi="monospace" w:eastAsia="monospace" w:cs="monospace"/>
    </w:rPr>
  </w:style>
  <w:style w:type="paragraph" w:customStyle="1" w:styleId="15">
    <w:name w:val="标题 11"/>
    <w:basedOn w:val="1"/>
    <w:qFormat/>
    <w:uiPriority w:val="0"/>
    <w:pPr>
      <w:keepNext/>
      <w:keepLines/>
      <w:spacing w:before="340" w:after="330" w:line="576" w:lineRule="auto"/>
      <w:outlineLvl w:val="0"/>
    </w:pPr>
    <w:rPr>
      <w:b/>
      <w:bCs/>
      <w:kern w:val="44"/>
      <w:sz w:val="44"/>
      <w:szCs w:val="44"/>
    </w:rPr>
  </w:style>
  <w:style w:type="paragraph" w:customStyle="1" w:styleId="16">
    <w:name w:val="标题 21"/>
    <w:basedOn w:val="1"/>
    <w:link w:val="22"/>
    <w:qFormat/>
    <w:uiPriority w:val="0"/>
    <w:pPr>
      <w:keepNext/>
      <w:keepLines/>
      <w:spacing w:before="260" w:after="260" w:line="416" w:lineRule="auto"/>
      <w:outlineLvl w:val="1"/>
    </w:pPr>
    <w:rPr>
      <w:rFonts w:ascii="Arial" w:hAnsi="Arial" w:eastAsia="黑体"/>
      <w:b/>
      <w:bCs/>
      <w:kern w:val="2"/>
      <w:sz w:val="32"/>
      <w:szCs w:val="32"/>
      <w:lang w:val="en-US" w:eastAsia="zh-CN" w:bidi="ar-SA"/>
    </w:rPr>
  </w:style>
  <w:style w:type="paragraph" w:customStyle="1" w:styleId="17">
    <w:name w:val="标题 31"/>
    <w:basedOn w:val="1"/>
    <w:qFormat/>
    <w:uiPriority w:val="0"/>
    <w:pPr>
      <w:keepNext/>
      <w:keepLines/>
      <w:spacing w:before="260" w:after="260" w:line="415" w:lineRule="auto"/>
      <w:outlineLvl w:val="2"/>
    </w:pPr>
    <w:rPr>
      <w:b/>
      <w:bCs/>
      <w:sz w:val="32"/>
      <w:szCs w:val="32"/>
    </w:rPr>
  </w:style>
  <w:style w:type="paragraph" w:customStyle="1" w:styleId="18">
    <w:name w:val="标题 41"/>
    <w:basedOn w:val="1"/>
    <w:qFormat/>
    <w:uiPriority w:val="0"/>
    <w:pPr>
      <w:keepNext/>
      <w:keepLines/>
      <w:spacing w:before="280" w:after="290" w:line="376" w:lineRule="auto"/>
      <w:outlineLvl w:val="3"/>
    </w:pPr>
    <w:rPr>
      <w:rFonts w:ascii="Arial" w:hAnsi="Arial" w:eastAsia="黑体"/>
      <w:b/>
      <w:bCs/>
      <w:sz w:val="28"/>
      <w:szCs w:val="28"/>
    </w:rPr>
  </w:style>
  <w:style w:type="paragraph" w:customStyle="1" w:styleId="19">
    <w:name w:val="标题 51"/>
    <w:basedOn w:val="1"/>
    <w:qFormat/>
    <w:uiPriority w:val="0"/>
    <w:pPr>
      <w:keepNext/>
      <w:keepLines/>
      <w:spacing w:before="280" w:after="290" w:line="376" w:lineRule="auto"/>
      <w:outlineLvl w:val="4"/>
    </w:pPr>
    <w:rPr>
      <w:b/>
      <w:bCs/>
      <w:sz w:val="28"/>
      <w:szCs w:val="28"/>
    </w:rPr>
  </w:style>
  <w:style w:type="character" w:customStyle="1" w:styleId="20">
    <w:name w:val="默认段落字体1"/>
    <w:link w:val="1"/>
    <w:qFormat/>
    <w:uiPriority w:val="0"/>
  </w:style>
  <w:style w:type="table" w:customStyle="1" w:styleId="21">
    <w:name w:val="普通表格1"/>
    <w:semiHidden/>
    <w:qFormat/>
    <w:uiPriority w:val="0"/>
  </w:style>
  <w:style w:type="character" w:customStyle="1" w:styleId="22">
    <w:name w:val="标题 2 Char"/>
    <w:basedOn w:val="20"/>
    <w:link w:val="16"/>
    <w:qFormat/>
    <w:uiPriority w:val="0"/>
    <w:rPr>
      <w:rFonts w:ascii="Arial" w:hAnsi="Arial" w:eastAsia="黑体"/>
      <w:b/>
      <w:bCs/>
      <w:kern w:val="2"/>
      <w:sz w:val="32"/>
      <w:szCs w:val="32"/>
      <w:lang w:val="en-US" w:eastAsia="zh-CN" w:bidi="ar-SA"/>
    </w:rPr>
  </w:style>
  <w:style w:type="paragraph" w:customStyle="1" w:styleId="23">
    <w:name w:val="正文缩进1"/>
    <w:basedOn w:val="1"/>
    <w:qFormat/>
    <w:uiPriority w:val="0"/>
    <w:pPr>
      <w:spacing w:line="360" w:lineRule="atLeast"/>
      <w:ind w:firstLine="420"/>
    </w:pPr>
    <w:rPr>
      <w:szCs w:val="20"/>
    </w:rPr>
  </w:style>
  <w:style w:type="paragraph" w:customStyle="1" w:styleId="24">
    <w:name w:val="批注文字1"/>
    <w:basedOn w:val="1"/>
    <w:qFormat/>
    <w:uiPriority w:val="0"/>
    <w:pPr>
      <w:jc w:val="left"/>
    </w:pPr>
  </w:style>
  <w:style w:type="paragraph" w:customStyle="1" w:styleId="25">
    <w:name w:val="正文文本1"/>
    <w:basedOn w:val="1"/>
    <w:qFormat/>
    <w:uiPriority w:val="0"/>
    <w:pPr>
      <w:spacing w:after="120"/>
    </w:pPr>
    <w:rPr>
      <w:rFonts w:ascii="Calibri" w:hAnsi="Calibri"/>
      <w:kern w:val="2"/>
      <w:sz w:val="21"/>
      <w:szCs w:val="24"/>
    </w:rPr>
  </w:style>
  <w:style w:type="paragraph" w:customStyle="1" w:styleId="26">
    <w:name w:val="正文文本缩进1"/>
    <w:basedOn w:val="1"/>
    <w:link w:val="27"/>
    <w:qFormat/>
    <w:uiPriority w:val="0"/>
    <w:pPr>
      <w:spacing w:after="120"/>
      <w:ind w:left="420" w:leftChars="200"/>
    </w:pPr>
  </w:style>
  <w:style w:type="character" w:customStyle="1" w:styleId="27">
    <w:name w:val="正文文本缩进 Char"/>
    <w:basedOn w:val="20"/>
    <w:link w:val="26"/>
    <w:qFormat/>
    <w:uiPriority w:val="0"/>
    <w:rPr>
      <w:kern w:val="2"/>
      <w:sz w:val="21"/>
      <w:szCs w:val="24"/>
    </w:rPr>
  </w:style>
  <w:style w:type="paragraph" w:customStyle="1" w:styleId="28">
    <w:name w:val="纯文本1"/>
    <w:basedOn w:val="1"/>
    <w:qFormat/>
    <w:uiPriority w:val="0"/>
    <w:pPr>
      <w:spacing w:line="360" w:lineRule="atLeast"/>
    </w:pPr>
    <w:rPr>
      <w:rFonts w:ascii="宋体" w:hAnsi="Courier New"/>
      <w:kern w:val="0"/>
      <w:szCs w:val="20"/>
    </w:rPr>
  </w:style>
  <w:style w:type="paragraph" w:customStyle="1" w:styleId="29">
    <w:name w:val="日期1"/>
    <w:basedOn w:val="1"/>
    <w:qFormat/>
    <w:uiPriority w:val="0"/>
    <w:pPr>
      <w:ind w:left="100" w:leftChars="2500"/>
    </w:pPr>
  </w:style>
  <w:style w:type="paragraph" w:customStyle="1" w:styleId="30">
    <w:name w:val="批注框文本1"/>
    <w:basedOn w:val="1"/>
    <w:qFormat/>
    <w:uiPriority w:val="0"/>
    <w:rPr>
      <w:sz w:val="18"/>
      <w:szCs w:val="18"/>
    </w:rPr>
  </w:style>
  <w:style w:type="paragraph" w:customStyle="1" w:styleId="31">
    <w:name w:val="页脚1"/>
    <w:basedOn w:val="1"/>
    <w:qFormat/>
    <w:uiPriority w:val="0"/>
    <w:pPr>
      <w:tabs>
        <w:tab w:val="center" w:pos="4153"/>
        <w:tab w:val="right" w:pos="8306"/>
      </w:tabs>
      <w:snapToGrid w:val="0"/>
      <w:jc w:val="left"/>
    </w:pPr>
    <w:rPr>
      <w:sz w:val="18"/>
      <w:szCs w:val="18"/>
    </w:rPr>
  </w:style>
  <w:style w:type="paragraph" w:customStyle="1" w:styleId="32">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脚注文本1"/>
    <w:basedOn w:val="1"/>
    <w:qFormat/>
    <w:uiPriority w:val="0"/>
    <w:pPr>
      <w:spacing w:line="312" w:lineRule="atLeast"/>
      <w:jc w:val="left"/>
    </w:pPr>
    <w:rPr>
      <w:kern w:val="0"/>
      <w:sz w:val="18"/>
      <w:szCs w:val="20"/>
    </w:rPr>
  </w:style>
  <w:style w:type="paragraph" w:customStyle="1" w:styleId="34">
    <w:name w:val="正文文本缩进 31"/>
    <w:basedOn w:val="1"/>
    <w:qFormat/>
    <w:uiPriority w:val="0"/>
    <w:pPr>
      <w:widowControl/>
      <w:numPr>
        <w:ilvl w:val="4"/>
        <w:numId w:val="1"/>
      </w:numPr>
      <w:tabs>
        <w:tab w:val="clear" w:pos="1000"/>
      </w:tabs>
      <w:snapToGrid w:val="0"/>
      <w:spacing w:line="360" w:lineRule="auto"/>
      <w:jc w:val="left"/>
    </w:pPr>
    <w:rPr>
      <w:rFonts w:ascii="仿宋_GB2312" w:eastAsia="仿宋_GB2312"/>
      <w:kern w:val="0"/>
      <w:sz w:val="28"/>
      <w:szCs w:val="20"/>
    </w:rPr>
  </w:style>
  <w:style w:type="paragraph" w:customStyle="1" w:styleId="35">
    <w:name w:val="普通(网站)1"/>
    <w:basedOn w:val="1"/>
    <w:qFormat/>
    <w:uiPriority w:val="0"/>
    <w:rPr>
      <w:sz w:val="24"/>
    </w:rPr>
  </w:style>
  <w:style w:type="paragraph" w:customStyle="1" w:styleId="36">
    <w:name w:val="正文首行缩进 21"/>
    <w:basedOn w:val="26"/>
    <w:qFormat/>
    <w:uiPriority w:val="0"/>
    <w:pPr>
      <w:tabs>
        <w:tab w:val="left" w:pos="0"/>
        <w:tab w:val="left" w:pos="993"/>
        <w:tab w:val="left" w:pos="1134"/>
      </w:tabs>
      <w:ind w:firstLine="420"/>
    </w:pPr>
  </w:style>
  <w:style w:type="character" w:customStyle="1" w:styleId="37">
    <w:name w:val="页码1"/>
    <w:basedOn w:val="20"/>
    <w:link w:val="1"/>
    <w:qFormat/>
    <w:uiPriority w:val="0"/>
  </w:style>
  <w:style w:type="character" w:customStyle="1" w:styleId="38">
    <w:name w:val="超链接1"/>
    <w:basedOn w:val="20"/>
    <w:link w:val="1"/>
    <w:qFormat/>
    <w:uiPriority w:val="0"/>
    <w:rPr>
      <w:color w:val="0000FF"/>
      <w:u w:val="single"/>
    </w:rPr>
  </w:style>
  <w:style w:type="paragraph" w:customStyle="1" w:styleId="39">
    <w:name w:val="BodyText1I2"/>
    <w:basedOn w:val="40"/>
    <w:qFormat/>
    <w:uiPriority w:val="0"/>
    <w:pPr>
      <w:tabs>
        <w:tab w:val="left" w:pos="0"/>
        <w:tab w:val="left" w:pos="993"/>
        <w:tab w:val="left" w:pos="1134"/>
      </w:tabs>
      <w:ind w:firstLine="420" w:firstLineChars="200"/>
    </w:pPr>
  </w:style>
  <w:style w:type="paragraph" w:customStyle="1" w:styleId="40">
    <w:name w:val="BodyTextIndent"/>
    <w:basedOn w:val="1"/>
    <w:qFormat/>
    <w:uiPriority w:val="0"/>
    <w:pPr>
      <w:tabs>
        <w:tab w:val="left" w:pos="0"/>
        <w:tab w:val="left" w:pos="993"/>
        <w:tab w:val="left" w:pos="1134"/>
      </w:tabs>
      <w:spacing w:line="500" w:lineRule="exact"/>
      <w:ind w:firstLine="567"/>
    </w:pPr>
    <w:rPr>
      <w:rFonts w:ascii="宋体"/>
      <w:sz w:val="28"/>
    </w:rPr>
  </w:style>
  <w:style w:type="paragraph" w:customStyle="1" w:styleId="41">
    <w:name w:val="UserStyle_4"/>
    <w:basedOn w:val="42"/>
    <w:qFormat/>
    <w:uiPriority w:val="0"/>
    <w:pPr>
      <w:spacing w:line="400" w:lineRule="exact"/>
    </w:pPr>
    <w:rPr>
      <w:rFonts w:ascii="Times New Roman" w:hAnsi="Times New Roman" w:eastAsia="黑体"/>
      <w:sz w:val="21"/>
      <w:szCs w:val="21"/>
    </w:rPr>
  </w:style>
  <w:style w:type="paragraph" w:customStyle="1" w:styleId="42">
    <w:name w:val="UserStyle_3"/>
    <w:basedOn w:val="43"/>
    <w:qFormat/>
    <w:uiPriority w:val="0"/>
    <w:pPr>
      <w:keepNext/>
      <w:keepLines/>
      <w:spacing w:before="260" w:after="260" w:line="415" w:lineRule="auto"/>
    </w:pPr>
    <w:rPr>
      <w:b/>
      <w:bCs/>
      <w:sz w:val="32"/>
      <w:szCs w:val="32"/>
    </w:rPr>
  </w:style>
  <w:style w:type="paragraph" w:customStyle="1" w:styleId="43">
    <w:name w:val="UserStyle_1"/>
    <w:qFormat/>
    <w:uiPriority w:val="0"/>
    <w:pPr>
      <w:jc w:val="both"/>
    </w:pPr>
    <w:rPr>
      <w:rFonts w:ascii="Calibri" w:hAnsi="Calibri" w:eastAsia="宋体" w:cs="Times New Roman"/>
      <w:kern w:val="2"/>
      <w:sz w:val="21"/>
      <w:szCs w:val="22"/>
      <w:lang w:val="en-US" w:eastAsia="zh-CN" w:bidi="ar-SA"/>
    </w:rPr>
  </w:style>
  <w:style w:type="paragraph" w:customStyle="1" w:styleId="44">
    <w:name w:val="UserStyle_0"/>
    <w:basedOn w:val="43"/>
    <w:qFormat/>
    <w:uiPriority w:val="0"/>
    <w:pPr>
      <w:spacing w:after="120" w:line="480" w:lineRule="auto"/>
      <w:ind w:left="420" w:leftChars="200"/>
    </w:pPr>
    <w:rPr>
      <w:rFonts w:ascii="Times New Roman" w:hAnsi="Times New Roman"/>
      <w:szCs w:val="24"/>
    </w:rPr>
  </w:style>
  <w:style w:type="paragraph" w:customStyle="1" w:styleId="45">
    <w:name w:val="UserStyle_2"/>
    <w:qFormat/>
    <w:uiPriority w:val="0"/>
    <w:pPr>
      <w:jc w:val="both"/>
    </w:pPr>
    <w:rPr>
      <w:rFonts w:ascii="Calibri" w:hAnsi="Calibri" w:eastAsia="宋体" w:cs="Times New Roman"/>
      <w:kern w:val="2"/>
      <w:sz w:val="21"/>
      <w:szCs w:val="22"/>
      <w:lang w:val="en-US" w:eastAsia="zh-CN" w:bidi="ar-SA"/>
    </w:rPr>
  </w:style>
  <w:style w:type="paragraph" w:customStyle="1" w:styleId="46">
    <w:name w:val="样式 标题 3 + (中文) 黑体 小四 非加粗 段前: 7.8 磅 段后: 0 磅 行距: 固定值 20 磅_0"/>
    <w:basedOn w:val="47"/>
    <w:qFormat/>
    <w:uiPriority w:val="0"/>
    <w:pPr>
      <w:spacing w:before="0" w:after="0" w:line="400" w:lineRule="exact"/>
    </w:pPr>
    <w:rPr>
      <w:rFonts w:ascii="Calibri" w:hAnsi="Calibri" w:eastAsia="黑体"/>
      <w:b w:val="0"/>
      <w:bCs w:val="0"/>
      <w:sz w:val="21"/>
      <w:szCs w:val="21"/>
      <w:lang w:val="en-US" w:eastAsia="zh-CN"/>
    </w:rPr>
  </w:style>
  <w:style w:type="paragraph" w:customStyle="1" w:styleId="47">
    <w:name w:val="标题 3_0"/>
    <w:basedOn w:val="48"/>
    <w:qFormat/>
    <w:uiPriority w:val="0"/>
    <w:pPr>
      <w:keepNext/>
      <w:keepLines/>
      <w:spacing w:before="260" w:after="260" w:line="416" w:lineRule="auto"/>
      <w:outlineLvl w:val="2"/>
    </w:pPr>
    <w:rPr>
      <w:rFonts w:ascii="Times New Roman" w:hAnsi="Times New Roman"/>
      <w:b/>
      <w:bCs/>
      <w:sz w:val="32"/>
      <w:szCs w:val="32"/>
    </w:rPr>
  </w:style>
  <w:style w:type="paragraph" w:customStyle="1" w:styleId="48">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0">
    <w:name w:val="样式 正文缩进特点ALT+Z表正文正文非缩进四号段1Normal Indent Char2Normal Inde..."/>
    <w:basedOn w:val="20"/>
    <w:link w:val="1"/>
    <w:qFormat/>
    <w:uiPriority w:val="0"/>
    <w:rPr>
      <w:rFonts w:ascii="宋体" w:hAnsi="宋体"/>
      <w:b/>
      <w:sz w:val="44"/>
    </w:rPr>
  </w:style>
  <w:style w:type="character" w:customStyle="1" w:styleId="51">
    <w:name w:val="f141"/>
    <w:basedOn w:val="20"/>
    <w:link w:val="1"/>
    <w:qFormat/>
    <w:uiPriority w:val="0"/>
    <w:rPr>
      <w:b/>
      <w:bCs/>
      <w:color w:val="333333"/>
      <w:sz w:val="21"/>
      <w:szCs w:val="21"/>
    </w:rPr>
  </w:style>
  <w:style w:type="character" w:customStyle="1" w:styleId="52">
    <w:name w:val="样式 正文缩进正文（首行缩进两字）特点ALT+Z表正文正文非缩进四号段1Normal Indent Char2... Char Char"/>
    <w:basedOn w:val="20"/>
    <w:link w:val="53"/>
    <w:qFormat/>
    <w:uiPriority w:val="0"/>
    <w:rPr>
      <w:rFonts w:ascii="宋体" w:hAnsi="宋体" w:eastAsia="黑体"/>
      <w:b/>
      <w:sz w:val="32"/>
      <w:lang w:val="en-US" w:eastAsia="zh-CN" w:bidi="ar-SA"/>
    </w:rPr>
  </w:style>
  <w:style w:type="paragraph" w:customStyle="1" w:styleId="53">
    <w:name w:val="样式 正文缩进正文（首行缩进两字）特点ALT+Z表正文正文非缩进四号段1Normal Indent Char2..."/>
    <w:basedOn w:val="16"/>
    <w:link w:val="52"/>
    <w:qFormat/>
    <w:uiPriority w:val="0"/>
    <w:pPr>
      <w:numPr>
        <w:ilvl w:val="0"/>
        <w:numId w:val="0"/>
      </w:numPr>
      <w:spacing w:line="416" w:lineRule="atLeast"/>
      <w:ind w:left="2796" w:firstLine="624"/>
    </w:pPr>
    <w:rPr>
      <w:rFonts w:ascii="宋体" w:hAnsi="宋体" w:eastAsia="黑体"/>
      <w:sz w:val="32"/>
      <w:lang w:val="en-US" w:eastAsia="zh-CN" w:bidi="ar-SA"/>
    </w:rPr>
  </w:style>
  <w:style w:type="paragraph" w:customStyle="1" w:styleId="54">
    <w:name w:val="样式 正文缩进正文（首行缩进两字）特点ALT+Z表正文正文非缩进四号段1Normal Indent Char2...4"/>
    <w:basedOn w:val="1"/>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55">
    <w:name w:val=" Char Char1 Char Char Char"/>
    <w:basedOn w:val="1"/>
    <w:qFormat/>
    <w:uiPriority w:val="0"/>
    <w:rPr>
      <w:kern w:val="0"/>
      <w:sz w:val="20"/>
      <w:szCs w:val="20"/>
    </w:rPr>
  </w:style>
  <w:style w:type="paragraph" w:customStyle="1" w:styleId="56">
    <w:name w:val="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7">
    <w:name w:val=" Char"/>
    <w:basedOn w:val="1"/>
    <w:qFormat/>
    <w:uiPriority w:val="0"/>
    <w:pPr>
      <w:widowControl/>
      <w:spacing w:after="160" w:line="240" w:lineRule="exact"/>
      <w:jc w:val="left"/>
    </w:pPr>
    <w:rPr>
      <w:szCs w:val="20"/>
    </w:rPr>
  </w:style>
  <w:style w:type="paragraph" w:customStyle="1" w:styleId="58">
    <w:name w:val="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9">
    <w:name w:val="CM80"/>
    <w:basedOn w:val="60"/>
    <w:qFormat/>
    <w:uiPriority w:val="0"/>
    <w:pPr>
      <w:spacing w:line="440" w:lineRule="atLeast"/>
    </w:pPr>
    <w:rPr>
      <w:color w:val="000000"/>
      <w:szCs w:val="24"/>
    </w:rPr>
  </w:style>
  <w:style w:type="paragraph" w:customStyle="1" w:styleId="60">
    <w:name w:val="Default"/>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61">
    <w:name w:val="Char Char Char Char Char Char Char Char Char Char"/>
    <w:basedOn w:val="1"/>
    <w:qFormat/>
    <w:uiPriority w:val="0"/>
    <w:pPr>
      <w:widowControl/>
      <w:spacing w:after="160" w:line="240" w:lineRule="exact"/>
      <w:jc w:val="left"/>
    </w:pPr>
  </w:style>
  <w:style w:type="paragraph" w:customStyle="1" w:styleId="62">
    <w:name w:val="样式 正文缩进正文（首行缩进两字）特点ALT+Z表正文正文非缩进四号段1Normal Indent Char2...3"/>
    <w:basedOn w:val="18"/>
    <w:qFormat/>
    <w:uiPriority w:val="0"/>
    <w:pPr>
      <w:numPr>
        <w:ilvl w:val="3"/>
        <w:numId w:val="1"/>
      </w:numPr>
      <w:spacing w:line="360" w:lineRule="auto"/>
      <w:jc w:val="left"/>
    </w:pPr>
    <w:rPr>
      <w:rFonts w:ascii="宋体" w:hAnsi="宋体" w:eastAsia="宋体"/>
      <w:bCs w:val="0"/>
      <w:color w:val="000000"/>
      <w:kern w:val="0"/>
      <w:sz w:val="24"/>
      <w:szCs w:val="20"/>
    </w:rPr>
  </w:style>
  <w:style w:type="paragraph" w:customStyle="1" w:styleId="63">
    <w:name w:val="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4">
    <w:name w:val="CM99"/>
    <w:basedOn w:val="60"/>
    <w:qFormat/>
    <w:uiPriority w:val="0"/>
    <w:pPr>
      <w:spacing w:after="443"/>
    </w:pPr>
    <w:rPr>
      <w:color w:val="000000"/>
    </w:rPr>
  </w:style>
  <w:style w:type="paragraph" w:customStyle="1" w:styleId="65">
    <w:name w:val="正文（缩进）"/>
    <w:basedOn w:val="1"/>
    <w:qFormat/>
    <w:uiPriority w:val="0"/>
    <w:pPr>
      <w:spacing w:before="156" w:after="156"/>
      <w:ind w:firstLine="480"/>
    </w:pPr>
  </w:style>
  <w:style w:type="paragraph" w:customStyle="1" w:styleId="66">
    <w:name w:val="CM20"/>
    <w:basedOn w:val="1"/>
    <w:qFormat/>
    <w:uiPriority w:val="0"/>
    <w:pPr>
      <w:autoSpaceDE w:val="0"/>
      <w:autoSpaceDN w:val="0"/>
      <w:spacing w:line="313" w:lineRule="atLeast"/>
      <w:jc w:val="left"/>
    </w:pPr>
    <w:rPr>
      <w:rFonts w:ascii="Sim Sun" w:hAnsi="Sim Sun" w:eastAsia="Sim Sun"/>
      <w:kern w:val="0"/>
      <w:sz w:val="24"/>
    </w:rPr>
  </w:style>
  <w:style w:type="paragraph" w:customStyle="1" w:styleId="67">
    <w:name w:val="CM23"/>
    <w:basedOn w:val="1"/>
    <w:qFormat/>
    <w:uiPriority w:val="0"/>
    <w:pPr>
      <w:autoSpaceDE w:val="0"/>
      <w:autoSpaceDN w:val="0"/>
      <w:spacing w:line="311" w:lineRule="atLeast"/>
      <w:jc w:val="left"/>
    </w:pPr>
    <w:rPr>
      <w:rFonts w:ascii="Sim Sun" w:hAnsi="Sim Sun" w:eastAsia="Sim Sun"/>
      <w:kern w:val="0"/>
      <w:sz w:val="24"/>
    </w:rPr>
  </w:style>
  <w:style w:type="paragraph" w:customStyle="1" w:styleId="68">
    <w:name w:val=" Char Char Char1 Char"/>
    <w:basedOn w:val="1"/>
    <w:qFormat/>
    <w:uiPriority w:val="0"/>
    <w:pPr>
      <w:widowControl/>
      <w:spacing w:after="160" w:line="240" w:lineRule="exact"/>
      <w:jc w:val="left"/>
    </w:pPr>
    <w:rPr>
      <w:szCs w:val="20"/>
    </w:rPr>
  </w:style>
  <w:style w:type="paragraph" w:customStyle="1" w:styleId="69">
    <w:name w:val="Blockquote"/>
    <w:basedOn w:val="1"/>
    <w:qFormat/>
    <w:uiPriority w:val="0"/>
    <w:pPr>
      <w:autoSpaceDE w:val="0"/>
      <w:autoSpaceDN w:val="0"/>
      <w:spacing w:before="100" w:after="100"/>
      <w:ind w:left="360" w:right="360"/>
      <w:jc w:val="left"/>
    </w:pPr>
    <w:rPr>
      <w:kern w:val="0"/>
      <w:sz w:val="24"/>
      <w:szCs w:val="20"/>
    </w:rPr>
  </w:style>
  <w:style w:type="paragraph" w:customStyle="1" w:styleId="70">
    <w:name w:val="CM19"/>
    <w:basedOn w:val="1"/>
    <w:qFormat/>
    <w:uiPriority w:val="0"/>
    <w:pPr>
      <w:autoSpaceDE w:val="0"/>
      <w:autoSpaceDN w:val="0"/>
      <w:spacing w:line="313" w:lineRule="atLeast"/>
      <w:jc w:val="left"/>
    </w:pPr>
    <w:rPr>
      <w:rFonts w:ascii="Sim Sun" w:hAnsi="Sim Sun" w:eastAsia="Sim Sun"/>
      <w:kern w:val="0"/>
      <w:sz w:val="24"/>
    </w:rPr>
  </w:style>
  <w:style w:type="character" w:customStyle="1" w:styleId="71">
    <w:name w:val="NormalCharacter"/>
    <w:link w:val="1"/>
    <w:qFormat/>
    <w:uiPriority w:val="0"/>
    <w:rPr>
      <w:rFonts w:ascii="Times New Roman" w:hAnsi="Times New Roman" w:eastAsia="宋体"/>
    </w:rPr>
  </w:style>
  <w:style w:type="paragraph" w:customStyle="1" w:styleId="72">
    <w:name w:val="HtmlNormal"/>
    <w:basedOn w:val="1"/>
    <w:qFormat/>
    <w:uiPriority w:val="0"/>
    <w:rPr>
      <w:sz w:val="24"/>
    </w:rPr>
  </w:style>
  <w:style w:type="paragraph" w:customStyle="1" w:styleId="73">
    <w:name w:val="FootnoteText"/>
    <w:basedOn w:val="1"/>
    <w:qFormat/>
    <w:uiPriority w:val="0"/>
    <w:pPr>
      <w:spacing w:line="312" w:lineRule="atLeast"/>
      <w:jc w:val="left"/>
    </w:pPr>
    <w:rPr>
      <w:kern w:val="0"/>
      <w:sz w:val="18"/>
      <w:szCs w:val="20"/>
    </w:rPr>
  </w:style>
  <w:style w:type="paragraph" w:customStyle="1" w:styleId="74">
    <w:name w:val="BodyText"/>
    <w:basedOn w:val="1"/>
    <w:qFormat/>
    <w:uiPriority w:val="0"/>
    <w:pPr>
      <w:spacing w:after="120"/>
    </w:pPr>
    <w:rPr>
      <w:rFonts w:ascii="Calibri" w:hAnsi="Calibri"/>
    </w:rPr>
  </w:style>
  <w:style w:type="paragraph" w:customStyle="1" w:styleId="75">
    <w:name w:val="NormalIndent"/>
    <w:basedOn w:val="1"/>
    <w:qFormat/>
    <w:uiPriority w:val="0"/>
    <w:pPr>
      <w:spacing w:line="360" w:lineRule="atLeast"/>
      <w:ind w:firstLine="420"/>
    </w:pPr>
    <w:rPr>
      <w:szCs w:val="20"/>
    </w:rPr>
  </w:style>
  <w:style w:type="character" w:customStyle="1" w:styleId="76">
    <w:name w:val="layui-layer-tabnow"/>
    <w:basedOn w:val="4"/>
    <w:qFormat/>
    <w:uiPriority w:val="0"/>
    <w:rPr>
      <w:bdr w:val="single" w:color="CCCCCC" w:sz="6" w:space="0"/>
      <w:shd w:val="clear" w:fill="FFFFFF"/>
    </w:rPr>
  </w:style>
  <w:style w:type="character" w:customStyle="1" w:styleId="77">
    <w:name w:val="first-child"/>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18649</Words>
  <Characters>19924</Characters>
  <Lines>0</Lines>
  <Paragraphs>0</Paragraphs>
  <TotalTime>17</TotalTime>
  <ScaleCrop>false</ScaleCrop>
  <LinksUpToDate>false</LinksUpToDate>
  <CharactersWithSpaces>21016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2026-01-08T01:08:00Z</dcterms:created>
  <dc:creator>闭上眼，就是天黑</dc:creator>
  <cp:lastModifiedBy>大蚂蚁123</cp:lastModifiedBy>
  <dcterms:modified xsi:type="dcterms:W3CDTF">2026-01-09T08:19:02Z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eyJoZGlkIjoiYmZhNzk1MzA2YmIzNjc4YWE4MmIzNTYxMzJhZTFmNjYiLCJ1c2VySWQiOiI0MzkxMTcyMTEifQ==</vt:lpwstr>
  </property>
  <property fmtid="{D5CDD505-2E9C-101B-9397-08002B2CF9AE}" pid="3" name="KSOProductBuildVer">
    <vt:lpwstr>2052-12.1.0.24034</vt:lpwstr>
  </property>
  <property fmtid="{D5CDD505-2E9C-101B-9397-08002B2CF9AE}" pid="4" name="ICV">
    <vt:lpwstr>9ED2678366CB49F0A884371B8D24EBEA_13</vt:lpwstr>
  </property>
</Properties>
</file>