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工业机器人集成应用1+X实训室设备采购项目</w:t>
      </w:r>
    </w:p>
    <w:p>
      <w:pPr>
        <w:spacing w:line="360" w:lineRule="auto"/>
        <w:rPr>
          <w:rFonts w:hint="eastAsia" w:ascii="宋体" w:hAnsi="宋体"/>
          <w:color w:val="000000"/>
          <w:sz w:val="28"/>
          <w:szCs w:val="28"/>
        </w:rPr>
      </w:pPr>
    </w:p>
    <w:p>
      <w:pPr>
        <w:spacing w:line="400" w:lineRule="exact"/>
        <w:ind w:firstLine="482" w:firstLineChars="200"/>
        <w:rPr>
          <w:rFonts w:hint="eastAsia" w:ascii="宋体" w:hAnsi="宋体" w:eastAsia="宋体" w:cs="Times New Roman"/>
          <w:b/>
          <w:bCs/>
          <w:color w:val="000000"/>
          <w:sz w:val="24"/>
        </w:rPr>
      </w:pPr>
      <w:r>
        <w:rPr>
          <w:rFonts w:hint="eastAsia" w:ascii="宋体" w:hAnsi="宋体" w:eastAsia="宋体" w:cs="Times New Roman"/>
          <w:b/>
          <w:bCs/>
          <w:color w:val="000000"/>
          <w:sz w:val="24"/>
        </w:rPr>
        <w:t>一、项目概况</w:t>
      </w:r>
    </w:p>
    <w:p>
      <w:pPr>
        <w:spacing w:line="4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电子工程系现有电气自动化技术、电子信息工程技术、工业机器人技术和智能医疗装备技术四个专业。</w:t>
      </w:r>
      <w:r>
        <w:rPr>
          <w:rFonts w:hint="eastAsia" w:ascii="宋体" w:hAnsi="宋体" w:eastAsia="宋体" w:cs="Times New Roman"/>
          <w:color w:val="000000"/>
          <w:sz w:val="24"/>
          <w:lang w:val="en-US" w:eastAsia="zh-CN"/>
        </w:rPr>
        <w:t>本项目</w:t>
      </w:r>
      <w:r>
        <w:rPr>
          <w:rFonts w:hint="eastAsia" w:ascii="宋体" w:hAnsi="宋体" w:eastAsia="宋体" w:cs="Times New Roman"/>
          <w:color w:val="000000"/>
          <w:sz w:val="24"/>
        </w:rPr>
        <w:t>主要采购智能制造单元系统集成应用平台等设备，用于工业机器人技术和电气自动化技术专业的课程实践教学和1+X证书的培训、考核。</w:t>
      </w:r>
    </w:p>
    <w:p>
      <w:pPr>
        <w:spacing w:line="400" w:lineRule="exact"/>
        <w:ind w:firstLine="482" w:firstLineChars="200"/>
        <w:rPr>
          <w:rFonts w:hint="eastAsia" w:ascii="宋体" w:hAnsi="宋体" w:eastAsia="宋体" w:cs="Times New Roman"/>
          <w:b/>
          <w:bCs/>
          <w:color w:val="000000"/>
          <w:sz w:val="24"/>
        </w:rPr>
      </w:pPr>
      <w:r>
        <w:rPr>
          <w:rFonts w:hint="eastAsia" w:ascii="宋体" w:hAnsi="宋体" w:eastAsia="宋体" w:cs="Times New Roman"/>
          <w:b/>
          <w:bCs/>
          <w:color w:val="000000"/>
          <w:sz w:val="24"/>
        </w:rPr>
        <w:t>二、实训设备采购的必要性和可行性</w:t>
      </w:r>
    </w:p>
    <w:p>
      <w:pPr>
        <w:spacing w:line="4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电子工程系现有学生数700多人，而且数量逐年增加。目前工业机器人集成应用设备缺乏，采购该设备是必要的。</w:t>
      </w:r>
    </w:p>
    <w:p>
      <w:pPr>
        <w:spacing w:line="4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新增采购的实训设备所能开展的实训项目能够满足电气自动化、工业机器人、机电一体化专业工业机器人系统集成及应用课程、工业机器人集成应用1+X证书培训及考评员培训、省技能大赛训练及赛点举办使用。设备具有智能化和网络化特点与其它同类实训设备相比，有一定的先进性。</w:t>
      </w:r>
    </w:p>
    <w:p>
      <w:pPr>
        <w:spacing w:line="400" w:lineRule="exact"/>
        <w:ind w:firstLine="482" w:firstLineChars="200"/>
        <w:rPr>
          <w:rFonts w:hint="eastAsia" w:ascii="宋体" w:hAnsi="宋体" w:eastAsia="宋体" w:cs="Times New Roman"/>
          <w:b/>
          <w:bCs/>
          <w:color w:val="000000"/>
          <w:sz w:val="24"/>
        </w:rPr>
      </w:pPr>
      <w:r>
        <w:rPr>
          <w:rFonts w:hint="eastAsia" w:ascii="宋体" w:hAnsi="宋体" w:eastAsia="宋体" w:cs="Times New Roman"/>
          <w:b/>
          <w:bCs/>
          <w:color w:val="000000"/>
          <w:sz w:val="24"/>
        </w:rPr>
        <w:t>三、建设目标及建设内容</w:t>
      </w:r>
    </w:p>
    <w:p>
      <w:pPr>
        <w:spacing w:line="400" w:lineRule="exact"/>
        <w:ind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通过采购制造单元系统集成应用平台实训设备，建设工业机器人集成应用实训室。使其具备集课程实践教学、实训、毕业设计、1+X证书考核、社会服务、竞赛举办及企业岗位氛围等多功能于一体的现代化实训室。</w:t>
      </w:r>
    </w:p>
    <w:p>
      <w:pPr>
        <w:spacing w:line="400" w:lineRule="exact"/>
        <w:ind w:firstLine="480" w:firstLineChars="200"/>
        <w:rPr>
          <w:rFonts w:hint="eastAsia" w:ascii="宋体" w:hAnsi="宋体" w:eastAsia="宋体" w:cs="Times New Roman"/>
          <w:color w:val="000000"/>
          <w:sz w:val="24"/>
        </w:rPr>
      </w:pPr>
    </w:p>
    <w:p>
      <w:pPr>
        <w:spacing w:line="400" w:lineRule="exact"/>
        <w:ind w:firstLine="480" w:firstLineChars="200"/>
        <w:rPr>
          <w:rFonts w:hint="eastAsia" w:ascii="宋体" w:hAnsi="宋体" w:eastAsia="宋体" w:cs="Times New Roman"/>
          <w:color w:val="000000"/>
          <w:sz w:val="24"/>
        </w:rPr>
        <w:sectPr>
          <w:headerReference r:id="rId5" w:type="default"/>
          <w:footerReference r:id="rId7" w:type="default"/>
          <w:headerReference r:id="rId6" w:type="even"/>
          <w:footerReference r:id="rId8" w:type="even"/>
          <w:pgSz w:w="11906" w:h="16838"/>
          <w:pgMar w:top="1440" w:right="1587" w:bottom="1440" w:left="1588" w:header="851" w:footer="1417" w:gutter="0"/>
          <w:cols w:space="720" w:num="1"/>
          <w:docGrid w:type="lines" w:linePitch="312" w:charSpace="0"/>
        </w:sectPr>
      </w:pPr>
    </w:p>
    <w:p>
      <w:pPr>
        <w:spacing w:line="360" w:lineRule="auto"/>
        <w:jc w:val="center"/>
        <w:rPr>
          <w:rFonts w:hint="eastAsia" w:ascii="宋体" w:hAnsi="宋体"/>
          <w:b/>
          <w:color w:val="000000"/>
          <w:sz w:val="24"/>
        </w:rPr>
      </w:pPr>
      <w:r>
        <w:rPr>
          <w:rFonts w:hint="eastAsia" w:ascii="宋体" w:hAnsi="宋体"/>
          <w:b/>
          <w:color w:val="000000"/>
          <w:sz w:val="24"/>
        </w:rPr>
        <w:t>工业机器人集成应用1+X实训室设备实训设备采购项目购置清单预算</w:t>
      </w:r>
    </w:p>
    <w:tbl>
      <w:tblPr>
        <w:tblStyle w:val="7"/>
        <w:tblW w:w="11931" w:type="dxa"/>
        <w:jc w:val="center"/>
        <w:tblLayout w:type="fixed"/>
        <w:tblCellMar>
          <w:top w:w="0" w:type="dxa"/>
          <w:left w:w="108" w:type="dxa"/>
          <w:bottom w:w="0" w:type="dxa"/>
          <w:right w:w="108" w:type="dxa"/>
        </w:tblCellMar>
      </w:tblPr>
      <w:tblGrid>
        <w:gridCol w:w="494"/>
        <w:gridCol w:w="1135"/>
        <w:gridCol w:w="5634"/>
        <w:gridCol w:w="624"/>
        <w:gridCol w:w="877"/>
        <w:gridCol w:w="1191"/>
        <w:gridCol w:w="1004"/>
        <w:gridCol w:w="972"/>
      </w:tblGrid>
      <w:tr>
        <w:tblPrEx>
          <w:tblCellMar>
            <w:top w:w="0" w:type="dxa"/>
            <w:left w:w="108" w:type="dxa"/>
            <w:bottom w:w="0" w:type="dxa"/>
            <w:right w:w="108" w:type="dxa"/>
          </w:tblCellMar>
        </w:tblPrEx>
        <w:trPr>
          <w:trHeight w:val="737" w:hRule="atLeast"/>
          <w:jc w:val="center"/>
        </w:trPr>
        <w:tc>
          <w:tcPr>
            <w:tcW w:w="494"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135" w:type="dxa"/>
            <w:tcBorders>
              <w:top w:val="single" w:color="auto" w:sz="12" w:space="0"/>
              <w:left w:val="nil"/>
              <w:bottom w:val="single" w:color="auto" w:sz="4" w:space="0"/>
              <w:right w:val="single" w:color="000000"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设备名称</w:t>
            </w:r>
          </w:p>
        </w:tc>
        <w:tc>
          <w:tcPr>
            <w:tcW w:w="5634"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规格、型号（主要技术参数）</w:t>
            </w:r>
          </w:p>
        </w:tc>
        <w:tc>
          <w:tcPr>
            <w:tcW w:w="624"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877"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（元）</w:t>
            </w:r>
          </w:p>
        </w:tc>
        <w:tc>
          <w:tcPr>
            <w:tcW w:w="1191"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单价来源</w:t>
            </w:r>
          </w:p>
        </w:tc>
        <w:tc>
          <w:tcPr>
            <w:tcW w:w="1004"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（元）</w:t>
            </w:r>
          </w:p>
        </w:tc>
        <w:tc>
          <w:tcPr>
            <w:tcW w:w="972" w:type="dxa"/>
            <w:tcBorders>
              <w:top w:val="single" w:color="auto" w:sz="12" w:space="0"/>
              <w:left w:val="nil"/>
              <w:bottom w:val="single" w:color="auto" w:sz="4" w:space="0"/>
              <w:right w:val="single" w:color="auto" w:sz="12"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存放位置</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智能制造单元系统集成应用平台</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bl>
            <w:tblPr>
              <w:tblStyle w:val="7"/>
              <w:tblW w:w="5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
              <w:gridCol w:w="284"/>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84"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组件名称</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执行单元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工业机器人×1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六自由度串联关节桌面型工业机器人；</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工作范围≥580mm；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有效荷重≥3kg，手臂荷重≥0.3kg；</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手腕设有10路集成信号源，4路集成气源；</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重复定位精度0.01mm；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防护等级IP30；</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轴1旋转，工作范围+165°~-165°，最大速度250°/s；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轴2手臂，工作范围+110°~-110°，最大速度250°/s；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轴3手臂，工作范围+70°~-90°，最大速度250°/s；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轴4手腕，工作范围+160°~-160°，最大速度320°/s；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轴5弯曲，工作范围+120°~-120°，最大速度320°/s；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轴6翻转，工作范围+400°~-400°，最大速度420°/s；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1kg拾料节拍，25×300×25mm区域为0.58s，TCP最大速度6.2m/s，TCP最大加速度28m/s，加速时间0~1m/s为≤0.07s；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电源电压为200~600V，50/60Hz，功耗≥0.25kW；</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本体重量≥25kg；</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在工作台台面上布置有手动/自动模式切换旋钮、电机开启按钮及示教器接线接口，方便接线。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▲工业机器人扩展IO模块×1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支持DeviceNet总线通讯；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支持适配IO模块数量最多32个；</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传输距离最大5000米，总线速率最大500kbps；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附带数字量输入模块2个，单模块8通道，输入信号类型PNP，输入电流典型值3mA，隔离耐压500V，隔离方式光耦隔离；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附带数字量输出模块4个，单模块8通道，输出信号类型源型，驱动能力500mA/通道，隔离耐压500V，隔离方式光耦隔离；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附带模拟量输出模块1个，单模块4通道，输出电压0V~10V，负载能力&gt;5kΩ，负载类型为阻性负载、容性负载，分辨率12位；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在工作台台面上布置有远程IO适配器的网络通信接口，方便接线。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工具快换模块法兰端×1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针对多关节机器人设计，使气管、信号确认线一次性自动装卸；</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超硬铝材质，安装位置为机器手侧；</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自重≥125g，可搬重量≥3kg；</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锁紧力≥123N，张开力≥63N；</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支持9路电信号（2A，DC 24V）、6路气路连接。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平移滑台×1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有效工作行程≥700mm，有效负载重量≥50kg，额定运行速度≥15mm/s；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驱动方式为伺服电机经减速机减速后，通过同步带带动滚珠丝杠实现旋转运动变换到直线运动，由滚珠导轨导向滑动；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伺服电机额定输出400W，额定转矩≥1.3Nm，额定转速≥3000r/min，增量式17bit编码器，配套同品牌伺服放大器，输出额定电压三相AC170V/额定电流≥2.8A，电源输入电压三相或单相AC200V~240V/额定电流≥2.6A，控制方式为正弦波PWM控制/电流控制方式，配套精密减速机，减速比1:3；</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滚珠丝杠直径≥25mm，导程5mm，全长≥990mm，配套自润滑螺母；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滚珠导轨共2个，宽度≥20mm，全长≥1240mm，每个导轨配套2个滑块；</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直线导轨安装有防护罩，保护导轨和丝杠等零件，确保运行安全，配有拖链系统方便工业机器人线缆及其他连接线布线，外侧安装有长度标尺，可指示滑台当前位置。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PLC控制器×1：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工作存储器75KB，装载存储器2MB，保持性存储器10KB；</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本体集成I/O，数字量8点输入/6点输出，模拟量2路输入；</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过程映像大小为1024字节输入（I）和1024字节输出（Q）；</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位存储器为4096字节（M）；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具备1个以太网通信端口，支持PROFINET通信；</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实数数学运算执行速度≤2.3μs/指令，布尔运算执行速度≤0.08μs/指令；</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扩展IO模块，数字量输入模块1个，输入点数16位，类型为源型/漏型，额定电压24V DC（4mA）；</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在工作台台面上布置有PLC的网络通信接口，方便接线。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远程IO模块×1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支持ProfiNet总线通讯；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支持适配IO模块数量最多32个；</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传输距离最大100米（站站距离），总线速率最大100Mbps；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附带数字量输入模块4个，单模块8通道，输入信号类型PNP，输入电流典型值3mA，隔离耐压500V，隔离方式光耦隔离；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附带数字量输出模块2个，单模块8通道，输出信号类型源型，驱动能力≥500mA/通道，隔离耐压≥500V，隔离方式光耦隔离；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附带模拟量输入模块1个，单模块4通道，输入电压0V~10V，输入滤波可配置（1ms~10ms），输入阻抗&gt;500kΩ，分辨率12位；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在工作台台面上布置有远程IO适配器的网络通信接口，方便接线。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台面长≥1360mm，宽≥680mm，厚≥20mm；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底部柜体不小于长1280mm，宽600mm，高700mm；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工具单元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轮辐夹爪×1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三指夹爪，气动驱动，自动定心，可针对零件轮辐位置稳定夹持；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轮毂夹爪×1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三指夹爪，气动驱动，自动定心，可针对零件轮毂位置稳定夹持；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轮辋内圈夹爪×1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三指夹爪，气动驱动，自动定心，可针对零件轮辋内圈位置稳定夹持；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轮辋外圈夹爪×1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两指夹爪，气动驱动，自动定心，可针对零件轮辋外圈位置稳定夹持；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吸盘夹爪×1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五位吸盘工具，可对零件轮辐的正面、反面表面稳定拾取；</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端面打磨工具×1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电动打磨工具，配有端面打磨头，可对零件表面进行打磨加工；</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侧面打磨工具×1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电动打磨工具，配有侧面打磨头，可对零件表面进行打磨加工；</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配有工具快换模块工具端，与工具快换法兰端配套，自重≥45g，安装后厚度≥38mm。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工具支架×1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铝合金结构，可稳定支撑并定位所有工具；</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提供7个工具摆放位置，位置标号清晰标示；</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所有工具的定位方式相同，可互换位置，不影响正常使用。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示教器支架×1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与工业机器人示教器配套，可稳定安放，不易滑落；</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配套线缆悬挂支架，方便线缆收放。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台面不小于长680mm，宽680mm，厚20mm；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底部柜体不小于长600mm，宽600mm，高700mm；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仓储单元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立体仓库×1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双层共6仓位，采用铝型材作为结构支撑；</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每个仓位可存储1个轮毂零件；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仓位托盘可由气动推杆驱动推出缩回；</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仓位托盘底部设置有传感器可检测当前仓位是否存有零件；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每个仓位具有红绿指示灯表明当前仓位仓储状态，并有明确标识仓位编号。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远程IO模块×1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支持ProfiNet总线通讯；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支持适配IO模块数量最多32个；</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传输距离最大100米（站站距离），总线速率最大100Mbps；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附带数字量输入模块2个，单模块8通道，输入信号类型PNP，输入电流典型值3mA，隔离耐压≥500V，隔离方式光耦隔离；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附带数字量输出模块3个，单模块8通道，输出信号类型源型，驱动能力≥500mA/通道，隔离耐压≥500V，隔离方式光耦隔离；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在工作台台面上布置有远程IO适配器的网络通信接口，方便接线。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轮毂零件×6</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铝合金材质，五幅轮毂缩比零件；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轮辋直径≥102mm，最大外圈直径≥114mm，轮辋内圈直径≥88mm，轮毂直径≥28mm，整体厚度≥45mm，轮辐厚度≥16mm；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正面设计有可更换的数控加工耗材安装板，直径≥37mm，厚度≥8mm，塑料材质；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零件正面、反面均设计有定位槽、视觉检测区域、打磨加工区域和二维码标签位置。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台面不小于长680mm，宽680mm，厚20mm；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底部柜体不小于长600mm，宽600mm，高700mm；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加工单元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数控机床×1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典型三轴立式铣床结构，加工台面不动，主轴可实现X\Y\Z三轴加工运动；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▲主轴为风冷电主轴，转速≥24000r/min，额定功率≥0.8kW，轴端连接为ER11，可夹持3mm直径刀柄的刀具；</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X轴有效行程≥240mm，最大运行速度30mm/s，3Nm高性能伺服电机驱动，通过同步带带动滚珠丝杠实现旋转运动变换到直线运动，由滚珠导轨导向滑动；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Y轴有效行程≥250mm，最大运行速度30mm/s，3Nm高性能伺服电机驱动，通过同步带带动滚珠丝杠实现旋转运动变换到直线运动，由滚珠导轨导向滑动；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Z轴有效行程≥180mm，最大运行速度30mm/s，3Nm高性能伺服电机驱动，带抱闸，通过同步带带动滚珠丝杠实现旋转运动变换到直线运动，由滚珠导轨导向滑动；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夹具采用气动驱动夹紧，缸径≥32mm，夹具可有气动驱动前后两端定位，方便上下料；</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数控机床配有安全护栏，铝合金框架透明隔断，正面、背面均配有安全门，由气动驱动实现开启关闭。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模拟刀库×1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模拟刀库采用虚拟化设计，由显示屏显示当前使用刀具信息和刀库工作状态；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显示屏尺寸≥9英寸，TFT真彩液晶屏，64K色，分辨率≥800×480，背光平均无故障时间20000小时，可用内存10MB，支持ProfiNet通讯；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侧面配装有数控机床工作指示灯，可指示当前工作状态。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▲数控系统×1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数控系统性能稳定；</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不小于10.4英寸TFT彩色显示屏；</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最大加工通道/方式组数为1，CNC用户内存≥3MB；</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具备铣削工艺；</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进给轴具备进给平滑控制、力矩前馈控制功能、支持各轴自动优化和轨迹插补功能；</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插补轴数最大4轴，支持直线插补、圆弧插补、螺旋线插补、精优曲面功能、高速高精设定、程序段预读功能、压缩器功能；</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具备刀具管理功能，刀具数最大256，刀刃数最大256，支持刀具质量、刀具寿命检测功能，带替换刀具管理功能；</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具备OPC UA通讯接口，可将数控系统中的运行数据传输到MES软件中；</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提供手轮对各轴手动操作。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远程IO模块×1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支持ProfiNet总线通讯；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支持适配IO模块数量最多32个；</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传输距离最大100米（站站距离），总线速率最大100Mbps；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附带数字量输入模块1个，单模块8通道，输入信号类型PNP，输入电流典型值≥3mA，隔离耐压≥500V，隔离方式光耦隔离；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附带数字量输出模块1个，单模块8通道，输出信号类型源型，驱动能力≥500mA/通道，隔离耐压≥500V，隔离方式光耦隔离；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在工作台台面上布置有远程IO适配器的网络通信接口，方便接线。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台面不小于长1360mm，宽680mm，厚20mm；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底部柜体不小于长1280mm，宽600mm，高700mm；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打磨单元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打磨工位×1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铝合金框架结构，可稳定支撑零件加工；</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四爪夹具由气动驱动，可对零件轮毂位置进行稳定夹持，自动对心定位；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底部配有传感器可检测当前工位是否存有零件。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旋转工位×1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铝合金框架结构，可稳定支撑零件加工；</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四爪夹具由气动驱动，可对零件轮辋内圈进行稳定夹持，自动对心定位；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底部配有传感器可检测当前工位是否存有零件；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旋转气缸可带动旋转工位整体180°旋转，实现零件沿轴线旋转。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翻转工装×1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双指夹具对零件轮辋外圈稳定夹持，自动对心定位，翻转过程无位移；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旋转气缸可驱动双指夹具实现所夹持的零件在打磨工位和旋转工位间翻转；</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升降气缸可实现翻转后的零件在小距离内垂直放入取出工位，确保定位准确。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吹屑工位×1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不锈钢材质，外形尺寸≥150mm×150mm×100mm；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顶部开口直径≥130mm；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两侧布置了吹气口，可将打磨后粘附在零件表面上的碎屑清除。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远程IO模块×1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支持ProfiNet总线通讯；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支持适配IO模块数量最多32个；</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传输距离最大100米（站站距离），总线速率最大100Mbps；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附带数字量输入模块2个，单模块8通道，输入信号类型PNP，输入电流典型值3mA，隔离耐压≥500V，隔离方式光耦隔离；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附带数字量输出模块2个，单模块8通道，输出信号类型源型，驱动能力≥500mA/通道，隔离耐压≥500V，隔离方式光耦隔离；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在工作台台面上布置有远程IO适配器的网络通信接口，方便接线。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台面不小于长680mm，宽680mm，厚20mm；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底部柜体不小于长600mm，宽600mm，高700mm；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检测单元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▲视觉系统×1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采用30W像素CCD相机，彩色，有效像素≥640×480，像素尺寸≤7.4μm×7.4μm，电子快门；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控制器为箱型；</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动作模式包括标准模式、倍速多通道输入、不间断调整；</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支持128场景数；</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利用流程编辑功能制作处理流程；</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支持Ethernet通信，采用无协议（TCP/UDP）；</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配套光源及显示器×1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配套漫反射环形光源，白色，明亮度可调节；</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光源配有保护支架，可有效防止零件掉落损坏光源；</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配套视觉系统显示器和操作用鼠标。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台面不小于长680mm，宽680mm，厚20mm；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底部柜体不小于长600mm，宽600mm，高700mm；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分拣单元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传送带×1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宽度≥125mm，有效长度≥1250mm；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▲调速电机驱动，功率120W，单相220V供电，配套1:18减速比减速器，采用变频器驱动，适用电机容量≥0.4kW，输出额定容量1.0kVA/额定电流2.5A，电源额定输入电压单相200V~240V/额定容量1.5kVA；</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传送带起始端配有传感器，可检测当前位置是否有零件。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分拣机构×3</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分拣机构配有传感器，可检测当前分拣机构前是否有零件；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利用垂直气缸可实现阻挡片升降，将零件拦截在指定分拣机构前；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利用推动气缸可实现将零件推入指定分拣工位。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分拣工位×3</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分拣工位末端配有传感器，可检测当前分拣工位是否存有零件；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分拣工位末端为V型顶块，可配合顶紧气缸对零件精确定位；</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每个分拣工位均有明确标号。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远程IO模块×1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支持ProfiNet总线通讯；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支持适配IO模块数量最多32个；</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传输距离最大100米（站站距离），总线速率最大100Mbps；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附带数字量输入模块3个，单模块8通道，输入信号类型PNP，输入电流典型值3mA，隔离耐压≥500V，隔离方式光耦隔离；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附带数字量输出模块2个，单模块8通道，输出信号类型源型，驱动能力≥500mA/通道，隔离耐压≥500V，隔离方式光耦隔离；</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在工作台台面上布置有远程IO适配器的网络通信接口，方便接线。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台面不小于长1360mm，宽680mm，厚20mm；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底部柜体不小于长1280mm，宽600mm，高700mm；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总控单元</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▲PLC控制器×2：</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工作存储器75KB，装载存储器2MB，保持性存储器10KB；</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本体集成I/O，数字量8点输入/6点输出，模拟量2路输入；</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过程映像大小为1024字节输入（I）和1024字节输出（Q）；</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位存储器为4096字节（M）；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具备1个以太网通信端口，支持PROFINET通信；</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实数数学运算执行速度≤2.3μs/指令，布尔运算执行速度≤0.08μs/指令。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交换机×1：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支持网络标准IEEE802.3、IEEE802.3u、IEEE802.3x</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8个10/100/1000Mbps自适应RJ45端口</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全钢材壳体，强劲散热性能保证机器稳定运行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操作面板×1：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提供1个总电源输入开关，可控制输入电源的开启关闭；</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提供1个电源模块急停按钮，可切断总控单元电源模块向其他单元模块的供电；</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提供4个自定义功能按钮，1个自复位绿色灯按钮，1个自复位红色灯按钮，1个自保持绿色灯按钮，1个自保持红色灯按钮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显示终端×1：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屏幕尺寸≥24英寸</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屏幕分辨率高清，≥1366×768</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屏幕比例16:9</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视频接口HDMI1.4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移动终端×1：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屏幕尺寸≥8英寸</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屏幕分辨率≥1280×800</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屏幕类型IPS</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处理器速度≥1.3GHz</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存储容量≥8GB</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操作系统Android</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支持WiFi和蓝牙连接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输入电源为三相五线制，AC 380V，50Hz，15kW，重载连接器插头，接线安全防触电；</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执行单元输出电源为单相三线制，AC 220V，50Hz，7kW，重载连接器插头，接线安全防触电，配空气开关和指示灯；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仓储单元输出电源为单相三线制，AC 220V，50Hz，2kW，重载连接器插头，接线安全防触电，配空气开关和指示灯；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加工单元输出电源为三相五线制，AC 380V，50Hz，12kW，重载连接器插头，接线安全防触电，配空气开关和指示灯；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打磨单元输出电源为单相三线制，AC 220V，50Hz，2kW，重载连接器插头，接线安全防触电，配空气开关和指示灯；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检测单元输出电源为单相三线制，AC 220V，50Hz，2kW，重载连接器插头，接线安全防触电，配空气开关和指示灯；</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分拣单元输出电源为单相三线制，AC 220V，50Hz，2kW，重载连接器插头，接线安全防触电，配空气开关和指示灯。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气源模块×1：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气泵功率≥600W，排气量≥118L/min，最大压力≥8bar，储气罐≥24L；</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提供8路气路供气接口，可用于其他单元独立提供压缩空气，每路空气接口可单独开启关闭。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铝合金型材结构，工作台式设计，台面可安装功能模块，底部柜体内可安装电气设备；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台面不小于长1360mm，宽680mm，厚20mm；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底部柜体不小于长1280mm，宽600mm，高700mm；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底部柜体四角安装有脚轮，轮片直径≥50mm，轮片宽度≥25mm，可调高度≥10mm；</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工作台面合理布置有线槽，方便控制信号线和气路布线，且电、气分开；</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底部柜体上端和下端四周安装有线槽，可方便电源线、气管和通信线布线；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底部柜体门板为快捷可拆卸设计，每个门板完全相同可互换安装。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284" w:type="dxa"/>
                  <w:vMerge w:val="restart"/>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配套软件</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离线编程软件×1：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1）★正版软件，中文界面，可提供持续的中文技术支持服务，软件可使用所有功能模块，界面无“试用版”字样；</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2）可支持全国职业院校技能大赛“机器人系统集成”赛项指定硬件平台的离线编程应用，包含与硬件平台一致的三维模型环境；</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3）具备轨迹优化功能，通过图形化方式展示机器人工作的最优区域，并通过调整曲线让机器人处于工作最优区内，解决不可达、轴超限和奇异点的问题；</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4）支持轨迹编辑功能，以图形化方式通过拖动参数曲线来编辑一条轨迹中指定个数的点，达到整条轨迹光滑过渡的效果；</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5）具备以时间轴为展示方式之一的仿真管理面板。以时间轴的方式同时展示多个机器人和运动机构的运动时序，体现相互等待关系和每条轨迹运行的起止时间、运行进度等；</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6）具备专业的后置代码编辑器。后置代码编辑器可以显示代码的行号，数字、注释和指令等关键字以不同颜色显示；函数在编辑过程中有参数提示；函数和注释可折叠隐藏。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自动化编程软件×1：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1）★正版软件，中文界面，可提供持续的中文技术支持服务，软件可使用所有功能模块，授权无时间限制；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2）与总控单元的PLC控制器同品牌，用于对PLC及其IO模块进行组态配置和编程编译；</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3）面向任务和用户的系统；</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4）所有的程序编辑器都具有统一的外观，优化后的工作区域画面布局工位灵活便捷；</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5）网络与设备图形化的组合方式。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284" w:type="dxa"/>
                  <w:vMerge w:val="continue"/>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MES编程平台×1：</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1）★正版软件，中文界面，可提供持续的中文技术支持服务，软件可使用所有功能模块，授权无时间限制；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2）与总控单元的PLC控制器同品牌，用于对HMI人机界面进行组态配置和编程编译；</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3）通用的应用程序，适合所有工业领域的解决方案；</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4）内置所有操作和管理功能，可简单、有效地进行组态；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5）可基于Web持续延展，采用开放性标准，集成简便；</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6）支持工业以太网通讯，方便大数据实时传输；</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7）基于最新软件技术的创新组态界面、适用于用户定义对象和面板的全面库设计，实现图形化组态和批量数据处理的智能工具。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6"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284"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配套工具</w:t>
                  </w:r>
                </w:p>
              </w:tc>
              <w:tc>
                <w:tcPr>
                  <w:tcW w:w="4755" w:type="dxa"/>
                  <w:shd w:val="clear" w:color="auto" w:fill="auto"/>
                  <w:noWrap w:val="0"/>
                  <w:vAlign w:val="top"/>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具盒1个，内六角扳手1套，螺丝刀1把，斜口钳1把，气管剪1个，万用表1个，刀具2把，端面打磨头20个，侧面打磨头5个，单元间固定连接板15个，单元间供电连接线五线制2根，单元间供电连接线三线制5根，单元间通信连接线5m长6根，单元间通信连接线1m长3根，工业控制器1个。</w:t>
                  </w:r>
                </w:p>
              </w:tc>
            </w:tr>
          </w:tbl>
          <w:p>
            <w:pPr>
              <w:widowControl/>
              <w:spacing w:line="240" w:lineRule="auto"/>
              <w:ind w:firstLine="0" w:firstLineChars="0"/>
              <w:jc w:val="center"/>
              <w:rPr>
                <w:rFonts w:hint="eastAsia" w:ascii="宋体" w:hAnsi="宋体" w:eastAsia="宋体" w:cs="宋体"/>
                <w:color w:val="000000"/>
                <w:kern w:val="0"/>
                <w:sz w:val="21"/>
                <w:szCs w:val="21"/>
              </w:rPr>
            </w:pP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62万</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248万</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工业机器人离线编程软件节点</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1）★正版软件，中文界面，可提供持续的中文技术支持服务，软件可使用所有功能模块，界面无“试用版”字样；</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2）★可实现多个品牌、多个型号的工业机器人进行模型导入、轨迹规划、运动仿真和控制代码输出，实现离线编程（参考品牌ABB、KUKA、Staubli、广州数控、新时达等）；</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3）★轨迹生成基于CAD数据，简化轨迹生成过程，提高精度，可利用实体模型、曲面或曲线直接生成运动轨迹；</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4）支持多轴机器人的运动、仿真，如4轴、6轴、8轴、10轴等；</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5）支持变位夹具设定多种抓取姿态。如可以将一个变位夹具定义成直、弯两种状态。</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6）生成的轨迹可进行分组管理。分组后，可对轨迹组进行注释、删除等，实现对相似轨迹的统一操作；</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7）可实现将编程结果仿真运行并输出3D仿真，上传云端自动生成二维码及链接，可用手机扫描二维码后缩放、平移查看该动画。或复制链接后，通过浏览器直接播放，并可以自由切换观看视角和放大缩小；</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8）提供自定义后置通用指令库。自定义机器人时，可用业界流行的拖拽方式定义后置格式；可根据机器人品牌选择相应的后置代码模板，定义生成代码并实时预显。如ABB、KUKA、YASKAWA、广州数控、新时达等；</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9）包含节拍统计分析功能。可统计机器人运行的全程时间、节拍、运动的平均速度、总距离、总轨迹点数等信息，方便用户评估机器人工作效率；</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10）支持机器人三维仿真和后置代码分屏同步调试运行，可实时监控仿真效果。并可显示编程代码的行号，数字、注释、指令等；</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11）具备轨迹优化功能，通过图形化方式展示机器人工作的最优区域，并通过调整曲线让机器人处于工作最优区内，解决不可达、轴超限和奇异点的问题；</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12）支持轨迹编辑功能，以图形化方式通过拖动参数曲线，来编辑一条轨迹中指定个数的点，达到让整条轨迹光滑过渡的效果；</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13）具备以时间轴为展示方式之一的仿真管理面板。以时间轴的方式同时展示多个机器人和运动机构的运动时序，体现相互等待关系和每条轨迹运行的起止时间、运行进度等；</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14）在程序设计、仿真过程两种模式中，可通过按F11等快捷键全屏突出显示设计环境的绘图区内的模型； </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15）支持机器人在线查找。可以直接从云端机器人库中选择机器人进行离线编程，选择过程中支持搜索、筛选和排序，并推荐相似参数的机器人供用户选择；</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16）具备专业的后置代码编辑器。后置代码编辑器可以显示代码的行号，数字、注释和指令等关键字以不同颜色显示；函数在编辑过程中有参数提示；函数和注释可折叠隐藏。</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17）具有贴图功能，可通过贴图代替或简化离线编程软件虚拟场景中复杂的模型搭建，最大限度减小模型的大小；可极大加快绘图区的刷新帧速率，使绘图区操作响应更加灵敏。</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18）软件集成多类型、多行业在线工作站；集成部分全国职业院校技能大赛的工作站，方便在线模拟训练；</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19）可实现软件问题交流在线化；作品分享展示在线化；软件在线资源更新实时化</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20）可利用3D点云数据，使设计环境和真机环境内机器人、工具、被加工零部件之间的空间位置关系保持一致，实现高精度校准。</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21）利用云服务平台，实时把控前端软件考试活动进度；考试结果通过云端智能算法自动进行打分评判；考试全程远程、自动化运行；</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22）支持仿真时显示逼真的加工效果。</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1万</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24万</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配套教学资源</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1、配套工业机器人集成应用方面教材及教学资源（初级）</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2、配套工业机器人集成应用方面教材及教学资源（中级）</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工业机器人教学平台</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★正版软件平台，可提供持续的中文技术支持服务、软件平台可使用所有功能模块；</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平台可支持5W人以上同时在线学习使用；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采用HTML5技术，通过浏览器直接访问，不需要安装额外的程序或插件</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★在PC端、移动端、小程序、APP等不同端使用一份学习数据。</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★支持在线浏览文本、PPT、视频等学习内容，教学内容真实且与工业机器人相关，可现场演示软件操作过程或录屏视频</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在线纪录学生的学习过程，采集学生每一步的学习记录，存储在服务器。</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7）老师可安排学生学习、考试任务，学生可在线考试。老师可以查看学生的学习时间、学习进度等学情数据。</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具有在线三维虚拟仿真实训功能，可以完全模拟真实环境，包含典型工作站的三维实体模型，可根据实训项目的不同完全模拟工业机器人的操作流程，完成实操前的模拟操作，提高实训设备的使用率，避免操作错误导致的设备损坏和人员受伤，实训项目包括但不限于如下：</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机器人的手动运行，尖点工具的测量，抓爪工具的测量，</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工作台的工件坐标测量，设定机器人工件坐标偏移，外部工具坐标的测量，引导工件坐标的测量，精确定位运动编程，</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外轮廓轨迹编程，物料快抓爪编程，以外部TCP进行运动编程，模拟冲压上下料：搬运准备，模拟冲压上下料：冲压前搬运，模拟冲压上下料：检测，模拟冲压上下料：码垛，</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机器人的手动运行，尖点工具的测量，抓爪工具测量，</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作台的基坐标测量，设定机器人BASE坐标偏移，精确定位运动和逼近运动，采用样条组的轨迹轮廓编程，标牌抓爪编程，用固定工具手动运行，测量外部工具和机器人引导的工件，机器人搬运、码垛程序编程，恒速运动参数设置运动编程，条件停止参数设置运动编程</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配套实训桌</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实训桌：≥1400X600X750mm(长宽高），支架为铁质，桌面为木板</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0万</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0万</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配套实训椅</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实训椅子：圆形，≥300X450mm，支架为铁质，表面为塑料</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0万</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0万</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135"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配套工业机器人文化宣传</w:t>
            </w:r>
          </w:p>
        </w:tc>
        <w:tc>
          <w:tcPr>
            <w:tcW w:w="563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工业机器人文化建设大展板1块</w:t>
            </w:r>
          </w:p>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工业机器人文化建设小展板5块</w:t>
            </w:r>
          </w:p>
        </w:tc>
        <w:tc>
          <w:tcPr>
            <w:tcW w:w="62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77"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0万</w:t>
            </w:r>
          </w:p>
        </w:tc>
        <w:tc>
          <w:tcPr>
            <w:tcW w:w="119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经销商询价、网络查询</w:t>
            </w:r>
          </w:p>
        </w:tc>
        <w:tc>
          <w:tcPr>
            <w:tcW w:w="1004"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0万</w:t>
            </w:r>
          </w:p>
        </w:tc>
        <w:tc>
          <w:tcPr>
            <w:tcW w:w="972"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机电楼南105</w:t>
            </w:r>
          </w:p>
        </w:tc>
      </w:tr>
      <w:tr>
        <w:tblPrEx>
          <w:tblCellMar>
            <w:top w:w="0" w:type="dxa"/>
            <w:left w:w="108" w:type="dxa"/>
            <w:bottom w:w="0" w:type="dxa"/>
            <w:right w:w="108" w:type="dxa"/>
          </w:tblCellMar>
        </w:tblPrEx>
        <w:trPr>
          <w:trHeight w:val="737" w:hRule="atLeast"/>
          <w:jc w:val="center"/>
        </w:trPr>
        <w:tc>
          <w:tcPr>
            <w:tcW w:w="494" w:type="dxa"/>
            <w:tcBorders>
              <w:top w:val="single" w:color="auto" w:sz="4" w:space="0"/>
              <w:left w:val="single" w:color="auto" w:sz="12" w:space="0"/>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c>
        <w:tc>
          <w:tcPr>
            <w:tcW w:w="1135" w:type="dxa"/>
            <w:tcBorders>
              <w:top w:val="single" w:color="auto" w:sz="4" w:space="0"/>
              <w:left w:val="nil"/>
              <w:bottom w:val="single" w:color="auto" w:sz="12"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c>
        <w:tc>
          <w:tcPr>
            <w:tcW w:w="5634"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c>
        <w:tc>
          <w:tcPr>
            <w:tcW w:w="624"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c>
        <w:tc>
          <w:tcPr>
            <w:tcW w:w="877"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c>
        <w:tc>
          <w:tcPr>
            <w:tcW w:w="1191"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1004"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272万</w:t>
            </w:r>
          </w:p>
        </w:tc>
        <w:tc>
          <w:tcPr>
            <w:tcW w:w="972" w:type="dxa"/>
            <w:tcBorders>
              <w:top w:val="single" w:color="auto" w:sz="4" w:space="0"/>
              <w:left w:val="nil"/>
              <w:bottom w:val="single" w:color="auto" w:sz="12"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color w:val="000000"/>
                <w:kern w:val="0"/>
                <w:sz w:val="21"/>
                <w:szCs w:val="21"/>
              </w:rPr>
            </w:pPr>
          </w:p>
        </w:tc>
      </w:tr>
    </w:tbl>
    <w:p>
      <w:pPr>
        <w:tabs>
          <w:tab w:val="left" w:pos="9555"/>
        </w:tabs>
        <w:rPr>
          <w:rFonts w:hint="eastAsia" w:ascii="宋体" w:hAnsi="宋体"/>
          <w:color w:val="000000"/>
          <w:sz w:val="24"/>
        </w:rPr>
      </w:pPr>
    </w:p>
    <w:p>
      <w:pPr>
        <w:tabs>
          <w:tab w:val="left" w:pos="9555"/>
        </w:tabs>
        <w:rPr>
          <w:rFonts w:hint="eastAsia" w:ascii="宋体" w:hAnsi="宋体"/>
          <w:color w:val="000000"/>
          <w:sz w:val="24"/>
        </w:rPr>
      </w:pPr>
    </w:p>
    <w:p>
      <w:pPr>
        <w:spacing w:line="360" w:lineRule="auto"/>
        <w:ind w:firstLine="10320" w:firstLineChars="4300"/>
        <w:rPr>
          <w:rFonts w:hint="eastAsia" w:ascii="宋体" w:hAnsi="宋体"/>
          <w:b/>
          <w:color w:val="000000"/>
          <w:sz w:val="24"/>
        </w:rPr>
      </w:pPr>
    </w:p>
    <w:p>
      <w:pPr>
        <w:jc w:val="center"/>
        <w:rPr>
          <w:color w:val="000000"/>
        </w:rPr>
        <w:sectPr>
          <w:pgSz w:w="16838" w:h="11906" w:orient="landscape"/>
          <w:pgMar w:top="1588" w:right="1440" w:bottom="1588" w:left="1440" w:header="851" w:footer="1418"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sz w:val="28"/>
        <w:szCs w:val="28"/>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3CBF"/>
    <w:rsid w:val="03683CBF"/>
    <w:rsid w:val="0EA70944"/>
    <w:rsid w:val="19BE3EC3"/>
    <w:rsid w:val="22166B9E"/>
    <w:rsid w:val="32205D93"/>
    <w:rsid w:val="3CBF2473"/>
    <w:rsid w:val="41FC56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表 靠左"/>
    <w:basedOn w:val="1"/>
    <w:qFormat/>
    <w:uiPriority w:val="0"/>
    <w:pPr>
      <w:spacing w:line="500" w:lineRule="exact"/>
      <w:jc w:val="left"/>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2021-06-08T10:45:00Z</dcterms:created>
  <dc:creator>linqq</dc:creator>
  <cp:lastModifiedBy>linqq</cp:lastModifiedBy>
  <dcterms:modified xsi:type="dcterms:W3CDTF">2021-06-08T10:53:52Z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D9C715BDD9DD40068B58802C5F2E73FC</vt:lpwstr>
  </property>
</Properties>
</file>