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舞蹈实训设备采购项目</w:t>
      </w:r>
    </w:p>
    <w:p>
      <w:pPr>
        <w:spacing w:line="400" w:lineRule="exact"/>
        <w:rPr>
          <w:rFonts w:ascii="宋体" w:hAnsi="宋体"/>
          <w:color w:val="FF0000"/>
          <w:sz w:val="28"/>
          <w:szCs w:val="28"/>
        </w:rPr>
      </w:pPr>
    </w:p>
    <w:p>
      <w:pPr>
        <w:spacing w:line="400" w:lineRule="exact"/>
        <w:ind w:firstLine="482" w:firstLineChars="200"/>
        <w:rPr>
          <w:rFonts w:ascii="宋体" w:hAnsi="宋体"/>
          <w:b/>
          <w:sz w:val="24"/>
        </w:rPr>
      </w:pPr>
      <w:r>
        <w:rPr>
          <w:rFonts w:hint="eastAsia" w:ascii="宋体" w:hAnsi="宋体"/>
          <w:b/>
          <w:sz w:val="24"/>
        </w:rPr>
        <w:t>一、项目概况</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采购项目用于学前教育专业实训室建设。根据目前人才培养方案教学进度表的安排，拟于梧塘新校区学前教育系大楼选择3间开拓、内场无柱子的舞蹈实训室（30工位），主要服务于学前系《舞蹈基础》和专业拓展课程《幼儿舞蹈编创》，可满足全体学前教育专业学生《舞蹈》课程的教学和实训。舞蹈实训室采购项目包括多媒体教室基础软硬件、舞蹈练习专用设备及存放收纳设备。</w:t>
      </w:r>
    </w:p>
    <w:p>
      <w:pPr>
        <w:spacing w:line="400" w:lineRule="exact"/>
        <w:ind w:firstLine="482" w:firstLineChars="200"/>
        <w:rPr>
          <w:rFonts w:ascii="宋体" w:hAnsi="宋体"/>
          <w:b/>
          <w:sz w:val="24"/>
        </w:rPr>
      </w:pPr>
      <w:r>
        <w:rPr>
          <w:rFonts w:hint="eastAsia" w:ascii="宋体" w:hAnsi="宋体"/>
          <w:b/>
          <w:sz w:val="24"/>
        </w:rPr>
        <w:t>二、实训设备采购的必要性和可行性</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舞蹈基础》是学前教育专业课程之一。学生通过这门课程可以全面系统地掌握学前儿童舞蹈教学和编创的基本理论和技能，提升在工作中促进儿童舞蹈启蒙意识，增进自身的舞蹈技术技巧，提升舞蹈教学能力，以便有效开展学前幼儿启蒙工作、专业技能竞赛等各类活动。《幼儿舞蹈编创》则是学前教育专业舞蹈系列拓展课程。通过对舞蹈语汇、题材、路线、编创手法的掌握，帮助学生树立科学的舞蹈启蒙理念，掌握适宜的早教方法和技能，进一步拓展深化在《舞蹈基础》中所习得的技术技巧，为学生将所学知识与技能更好地融入今后的工作中，拓展就业新空间提供必备的条件。</w:t>
      </w:r>
    </w:p>
    <w:p>
      <w:pPr>
        <w:spacing w:line="400" w:lineRule="exact"/>
        <w:ind w:firstLine="482" w:firstLineChars="200"/>
        <w:rPr>
          <w:rFonts w:ascii="宋体" w:hAnsi="宋体"/>
          <w:b/>
          <w:sz w:val="24"/>
        </w:rPr>
      </w:pPr>
      <w:r>
        <w:rPr>
          <w:rFonts w:hint="eastAsia" w:ascii="宋体" w:hAnsi="宋体"/>
          <w:b/>
          <w:sz w:val="24"/>
        </w:rPr>
        <w:t>三、建设目标及建设内容</w:t>
      </w:r>
    </w:p>
    <w:p>
      <w:pPr>
        <w:spacing w:line="400" w:lineRule="exact"/>
        <w:ind w:firstLine="480" w:firstLineChars="200"/>
        <w:rPr>
          <w:rFonts w:ascii="宋体" w:hAnsi="宋体"/>
          <w:bCs/>
          <w:sz w:val="24"/>
        </w:rPr>
      </w:pPr>
      <w:r>
        <w:rPr>
          <w:rFonts w:hint="eastAsia" w:ascii="宋体" w:hAnsi="宋体"/>
          <w:bCs/>
          <w:sz w:val="24"/>
        </w:rPr>
        <w:t>3间舞蹈实训室。舞蹈实训室对应</w:t>
      </w:r>
      <w:r>
        <w:rPr>
          <w:rFonts w:hint="eastAsia" w:ascii="宋体" w:hAnsi="宋体"/>
          <w:sz w:val="24"/>
        </w:rPr>
        <w:t>《舞蹈基础》</w:t>
      </w:r>
      <w:r>
        <w:rPr>
          <w:rFonts w:hint="eastAsia" w:ascii="宋体" w:hAnsi="宋体"/>
          <w:bCs/>
          <w:sz w:val="24"/>
        </w:rPr>
        <w:t>、《幼儿舞蹈编创》课程中的所有内容：幼儿舞蹈概论、基本功训练、古典舞基训、芭蕾形体训练、民族民间舞蹈、幼儿舞蹈、幼儿舞蹈编创概论、素材提取、编创路线、舞蹈语汇创编、空间调度应用、节奏处理等。</w:t>
      </w:r>
    </w:p>
    <w:p>
      <w:pPr>
        <w:spacing w:line="400" w:lineRule="exact"/>
        <w:ind w:firstLine="480" w:firstLineChars="200"/>
        <w:rPr>
          <w:rFonts w:ascii="宋体" w:hAnsi="宋体"/>
          <w:bCs/>
          <w:sz w:val="24"/>
        </w:rPr>
      </w:pPr>
      <w:r>
        <w:rPr>
          <w:rFonts w:hint="eastAsia" w:ascii="宋体" w:hAnsi="宋体"/>
          <w:bCs/>
          <w:sz w:val="24"/>
        </w:rPr>
        <w:t>通过以上知识的学习，使学生具备扎实的幼儿舞蹈知识与技能，紧密对接今后的幼儿园舞蹈教学工作，为学前教育专业教学技能大赛选拔人才，指导学生为幼儿园教师资格证考试和幼儿园教师编制考试做好充分准备。</w:t>
      </w:r>
    </w:p>
    <w:p>
      <w:pPr>
        <w:widowControl/>
        <w:spacing w:line="360" w:lineRule="auto"/>
        <w:ind w:firstLine="480" w:firstLineChars="200"/>
        <w:jc w:val="left"/>
        <w:rPr>
          <w:rFonts w:ascii="宋体" w:hAnsi="宋体"/>
          <w:color w:val="FF0000"/>
          <w:sz w:val="24"/>
        </w:rPr>
      </w:pPr>
      <w:r>
        <w:rPr>
          <w:rFonts w:hint="eastAsia" w:ascii="宋体" w:hAnsi="宋体"/>
          <w:bCs/>
          <w:kern w:val="0"/>
          <w:sz w:val="24"/>
        </w:rPr>
        <w:t>拟建设的舞蹈实训室将在先进教育理念和社会需求的指引下，做到既可支持适应幼儿园真实岗位需求的职业性舞蹈实训，帮助学生考取舞蹈教师资格证和幼儿园教师资格证，又可支持学生学习舞蹈作品、技术技巧、舞蹈教学等技能，帮助学生在各类专业活动、竞赛中展示所学知识，实现了课、证、岗、赛四个方面相融合的实践教学体系。在实训室建设中实现通过学生专业技能竞赛、职业资格证考试等方式促进实训室建设成果转化为实实在在的荣誉和成绩，从而取得学生、家长、企业行业和社会的多方认可。</w:t>
      </w:r>
    </w:p>
    <w:p>
      <w:pPr>
        <w:rPr>
          <w:rFonts w:ascii="宋体" w:hAnsi="宋体"/>
          <w:szCs w:val="21"/>
        </w:rPr>
      </w:pPr>
    </w:p>
    <w:p>
      <w:pPr>
        <w:jc w:val="center"/>
        <w:sectPr>
          <w:headerReference r:id="rId5" w:type="default"/>
          <w:footerReference r:id="rId7" w:type="default"/>
          <w:headerReference r:id="rId6" w:type="even"/>
          <w:footerReference r:id="rId8" w:type="even"/>
          <w:pgSz w:w="11906" w:h="16838"/>
          <w:pgMar w:top="1440" w:right="1587" w:bottom="1440" w:left="1588" w:header="851" w:footer="1417" w:gutter="0"/>
          <w:cols w:space="720" w:num="1"/>
          <w:docGrid w:type="lines" w:linePitch="312" w:charSpace="0"/>
        </w:sectPr>
      </w:pPr>
    </w:p>
    <w:p>
      <w:pPr>
        <w:spacing w:line="360" w:lineRule="auto"/>
        <w:jc w:val="center"/>
        <w:rPr>
          <w:rFonts w:ascii="宋体" w:hAnsi="宋体"/>
          <w:b/>
          <w:sz w:val="24"/>
        </w:rPr>
      </w:pPr>
      <w:r>
        <w:rPr>
          <w:rFonts w:hint="eastAsia" w:ascii="宋体" w:hAnsi="宋体"/>
          <w:b/>
          <w:color w:val="auto"/>
          <w:sz w:val="24"/>
          <w:lang w:val="en-US" w:eastAsia="zh-CN"/>
        </w:rPr>
        <w:t>舞蹈实训室</w:t>
      </w:r>
      <w:r>
        <w:rPr>
          <w:rFonts w:hint="eastAsia" w:ascii="宋体" w:hAnsi="宋体"/>
          <w:b/>
          <w:color w:val="auto"/>
          <w:sz w:val="24"/>
        </w:rPr>
        <w:t>实训设备采购项目购置清单预算</w:t>
      </w:r>
    </w:p>
    <w:tbl>
      <w:tblPr>
        <w:tblStyle w:val="8"/>
        <w:tblW w:w="12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90"/>
        <w:gridCol w:w="5158"/>
        <w:gridCol w:w="806"/>
        <w:gridCol w:w="1128"/>
        <w:gridCol w:w="1451"/>
        <w:gridCol w:w="1225"/>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8" w:type="dxa"/>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序号</w:t>
            </w:r>
          </w:p>
        </w:tc>
        <w:tc>
          <w:tcPr>
            <w:tcW w:w="1290" w:type="dxa"/>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设备名称</w:t>
            </w:r>
          </w:p>
        </w:tc>
        <w:tc>
          <w:tcPr>
            <w:tcW w:w="5158" w:type="dxa"/>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规格、型号（主要技术参数）</w:t>
            </w:r>
          </w:p>
        </w:tc>
        <w:tc>
          <w:tcPr>
            <w:tcW w:w="806" w:type="dxa"/>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数量</w:t>
            </w:r>
          </w:p>
        </w:tc>
        <w:tc>
          <w:tcPr>
            <w:tcW w:w="1128" w:type="dxa"/>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单价</w:t>
            </w:r>
          </w:p>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（元）</w:t>
            </w:r>
          </w:p>
        </w:tc>
        <w:tc>
          <w:tcPr>
            <w:tcW w:w="1451" w:type="dxa"/>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单价来源</w:t>
            </w:r>
          </w:p>
        </w:tc>
        <w:tc>
          <w:tcPr>
            <w:tcW w:w="1225" w:type="dxa"/>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金额</w:t>
            </w:r>
          </w:p>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（元）</w:t>
            </w:r>
          </w:p>
        </w:tc>
        <w:tc>
          <w:tcPr>
            <w:tcW w:w="1193" w:type="dxa"/>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存放位置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w:t>
            </w:r>
          </w:p>
        </w:tc>
        <w:tc>
          <w:tcPr>
            <w:tcW w:w="1290"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PVC运动</w:t>
            </w:r>
            <w:bookmarkStart w:id="0" w:name="_GoBack"/>
            <w:bookmarkEnd w:id="0"/>
            <w:r>
              <w:rPr>
                <w:rFonts w:hint="eastAsia" w:ascii="宋体" w:hAnsi="宋体" w:eastAsia="宋体" w:cs="Times New Roman"/>
                <w:color w:val="auto"/>
                <w:sz w:val="18"/>
                <w:szCs w:val="18"/>
              </w:rPr>
              <w:t>地胶</w:t>
            </w:r>
          </w:p>
        </w:tc>
        <w:tc>
          <w:tcPr>
            <w:tcW w:w="51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1、产品外观色泽均匀，无明显色差，无裂痕、分层等缺陷。</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2、厚度≧5.2mm（透明耐磨层厚度≧0.7mm，抗压耐磨层≧1.5mm）。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3、宽幅1.8M，产品半密实半发泡。</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4、硬度（邵A值）80-90（度）。</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5、回弹值≧8%。</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6、阻燃性I级。</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7、摩擦系数≧0.5。</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8、拉伸强度≧4Mpa。</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9、扯断伸长率≧130%。</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10、氯乙烯单体不得检出。</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11、可溶性铅不得检出。</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12、可溶性镉不得检出。</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13、挥发物含量≦10g/㎡</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14、临界辐射通量CHF,KW/㎡≧8.0。</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15、产烟量，%；min: ≦150。</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16、产烟毒性达到ZA1级。</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17、邻苯二甲酸酯类（16P）&lt;1%。</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18、灰分含量&lt;5%。</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19 、PVC甲醛含量不得检出。</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20、紫外老化1200h实验后无裂纹，无局部粉化，无明显变化，色差等级≧3级。</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21、氯乙烯含量≦1mg/kg。</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22、1-二氯乙烷含量≦5mg/kg。</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23、苯，甲苯和二甲苯总和，游离甲苯二异氰酸酯，挥发性有机化合物释放量等有害物质不得检出。</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24、焊接强度平均值：≥500，最小值：≥450。</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（1.所投PVC运动地板需提供国家体育用品质量监督检验中心出具的检测报告（复印件加盖公章）</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2.所投PVC运动地板需提供国家环保产品质量监督检验中心出具的检测报告（复印件加盖公章）</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3.所投PVC运动地板需提供国家防火建筑材料质量监督检验中心出具的检测报告（复印件加盖公章）。</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4.所投PVC运动地板需提供地胶厂家的ISO9001认证、ISO14001认证、OHSAS18001认证证书的（复印件加盖公章）。</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5.所投PVC运动地板需提供通过国家级（国际级）检测机构出具的灰分含量检测报告（复印件加盖公章）。</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6.所投PVC运动地板需提供国家级（国际级）相关机构出具的邻苯二甲酸酯类（16p）检测报告（复印件加盖公章）</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7.所投PVC运动地板需提供多环芳烃，短链氯化石蜡有害物质限量的相关检测报告。（复印件加盖公章）</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8.所投PVC运动地板需出具紫外老化1200 h测试报告（复印件加盖公章）</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9.所投PVC运动地板需出具GB4806.6-2016食品级原材料检测报告（复印件加盖公章）</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10.所投PVC运动地板需出具甲醛含量未检出的检测报告（复印件加盖公章）</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11.所投PVC运动地板需出具苯，甲苯和二甲苯总和，游离甲苯二异氰酸酯，挥发性有机化合物释放量等有害物质未检出的检测报告（复印件加盖公章））</w:t>
            </w:r>
          </w:p>
        </w:tc>
        <w:tc>
          <w:tcPr>
            <w:tcW w:w="806"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472㎡（3间，1间229㎡，1间119㎡，1间123.6㎡）</w:t>
            </w:r>
          </w:p>
        </w:tc>
        <w:tc>
          <w:tcPr>
            <w:tcW w:w="112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180</w:t>
            </w:r>
          </w:p>
        </w:tc>
        <w:tc>
          <w:tcPr>
            <w:tcW w:w="1451"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1225"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84960</w:t>
            </w:r>
          </w:p>
        </w:tc>
        <w:tc>
          <w:tcPr>
            <w:tcW w:w="1193"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新校区（学前教育学院舞蹈实训室）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w:t>
            </w:r>
          </w:p>
        </w:tc>
        <w:tc>
          <w:tcPr>
            <w:tcW w:w="1290"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把杆</w:t>
            </w:r>
          </w:p>
        </w:tc>
        <w:tc>
          <w:tcPr>
            <w:tcW w:w="51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把杆为水曲柳材质，表面光滑无毛刺。</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墙体支架电镀管静电粉末喷塑处理为白色和粉色，颜色持久不脱落。</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落地固定把杆，两种固定支架均可自己调节高度。</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备注：可以根据客户及场地需求选择钉墙和固定</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把杆直径4.5cm-5.5cm</w:t>
            </w:r>
          </w:p>
        </w:tc>
        <w:tc>
          <w:tcPr>
            <w:tcW w:w="806"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84m（3间，1间28 m）</w:t>
            </w:r>
          </w:p>
        </w:tc>
        <w:tc>
          <w:tcPr>
            <w:tcW w:w="112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300</w:t>
            </w:r>
          </w:p>
        </w:tc>
        <w:tc>
          <w:tcPr>
            <w:tcW w:w="1451"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1225"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25200</w:t>
            </w:r>
          </w:p>
        </w:tc>
        <w:tc>
          <w:tcPr>
            <w:tcW w:w="1193"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新校区（学前教育学院舞蹈实训室）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w:t>
            </w:r>
          </w:p>
        </w:tc>
        <w:tc>
          <w:tcPr>
            <w:tcW w:w="1290"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技巧垫</w:t>
            </w:r>
          </w:p>
        </w:tc>
        <w:tc>
          <w:tcPr>
            <w:tcW w:w="51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≥100*60*3cm，内为珍珠棉，外包PU。</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用于基本功练习。</w:t>
            </w:r>
          </w:p>
        </w:tc>
        <w:tc>
          <w:tcPr>
            <w:tcW w:w="806"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8张</w:t>
            </w:r>
          </w:p>
        </w:tc>
        <w:tc>
          <w:tcPr>
            <w:tcW w:w="112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100</w:t>
            </w:r>
          </w:p>
        </w:tc>
        <w:tc>
          <w:tcPr>
            <w:tcW w:w="1451"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1225"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800</w:t>
            </w:r>
          </w:p>
        </w:tc>
        <w:tc>
          <w:tcPr>
            <w:tcW w:w="1193"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新校区（学前教育学院舞蹈实训室）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w:t>
            </w:r>
          </w:p>
        </w:tc>
        <w:tc>
          <w:tcPr>
            <w:tcW w:w="1290"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瑜伽砖</w:t>
            </w:r>
          </w:p>
        </w:tc>
        <w:tc>
          <w:tcPr>
            <w:tcW w:w="51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≥23*15*7.5cm。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用于基本功练习。</w:t>
            </w:r>
          </w:p>
        </w:tc>
        <w:tc>
          <w:tcPr>
            <w:tcW w:w="806"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150块</w:t>
            </w:r>
          </w:p>
        </w:tc>
        <w:tc>
          <w:tcPr>
            <w:tcW w:w="112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20</w:t>
            </w:r>
          </w:p>
        </w:tc>
        <w:tc>
          <w:tcPr>
            <w:tcW w:w="1451"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1225"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3000</w:t>
            </w:r>
          </w:p>
        </w:tc>
        <w:tc>
          <w:tcPr>
            <w:tcW w:w="1193"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新校区（学前教育学院舞蹈实训室）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w:t>
            </w:r>
          </w:p>
        </w:tc>
        <w:tc>
          <w:tcPr>
            <w:tcW w:w="1290"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瑜伽垫</w:t>
            </w:r>
          </w:p>
        </w:tc>
        <w:tc>
          <w:tcPr>
            <w:tcW w:w="51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≥60*180cm。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用于基本功练习。</w:t>
            </w:r>
          </w:p>
        </w:tc>
        <w:tc>
          <w:tcPr>
            <w:tcW w:w="806"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150张</w:t>
            </w:r>
          </w:p>
        </w:tc>
        <w:tc>
          <w:tcPr>
            <w:tcW w:w="112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100</w:t>
            </w:r>
          </w:p>
        </w:tc>
        <w:tc>
          <w:tcPr>
            <w:tcW w:w="1451"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1225"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15000</w:t>
            </w:r>
          </w:p>
        </w:tc>
        <w:tc>
          <w:tcPr>
            <w:tcW w:w="1193"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新校区（学前教育学院舞蹈实训室）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6</w:t>
            </w:r>
          </w:p>
        </w:tc>
        <w:tc>
          <w:tcPr>
            <w:tcW w:w="1290"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2折垫</w:t>
            </w:r>
          </w:p>
        </w:tc>
        <w:tc>
          <w:tcPr>
            <w:tcW w:w="51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≥100*50*5，牛津布填充珍珠棉。</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用于基本功练习。</w:t>
            </w:r>
          </w:p>
        </w:tc>
        <w:tc>
          <w:tcPr>
            <w:tcW w:w="806"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150张</w:t>
            </w:r>
          </w:p>
        </w:tc>
        <w:tc>
          <w:tcPr>
            <w:tcW w:w="112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50</w:t>
            </w:r>
          </w:p>
        </w:tc>
        <w:tc>
          <w:tcPr>
            <w:tcW w:w="1451"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1225"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7500</w:t>
            </w:r>
          </w:p>
        </w:tc>
        <w:tc>
          <w:tcPr>
            <w:tcW w:w="1193"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新校区（学前教育学院舞蹈实训室）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7</w:t>
            </w:r>
          </w:p>
        </w:tc>
        <w:tc>
          <w:tcPr>
            <w:tcW w:w="1290"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过肩带</w:t>
            </w:r>
          </w:p>
        </w:tc>
        <w:tc>
          <w:tcPr>
            <w:tcW w:w="51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≥230*90*4cm，TP面料。</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用于基本功练习。</w:t>
            </w:r>
          </w:p>
        </w:tc>
        <w:tc>
          <w:tcPr>
            <w:tcW w:w="806"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8条</w:t>
            </w:r>
          </w:p>
        </w:tc>
        <w:tc>
          <w:tcPr>
            <w:tcW w:w="112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25</w:t>
            </w:r>
          </w:p>
        </w:tc>
        <w:tc>
          <w:tcPr>
            <w:tcW w:w="1451"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1225"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200</w:t>
            </w:r>
          </w:p>
        </w:tc>
        <w:tc>
          <w:tcPr>
            <w:tcW w:w="1193"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新校区（学前教育学院舞蹈实训室）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8</w:t>
            </w:r>
          </w:p>
        </w:tc>
        <w:tc>
          <w:tcPr>
            <w:tcW w:w="1290"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墙面镜</w:t>
            </w:r>
          </w:p>
        </w:tc>
        <w:tc>
          <w:tcPr>
            <w:tcW w:w="51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墙面安装舞蹈训练专用玻璃镜，每块镜子尺寸：≥3600mm高X2400mm宽，厚度：≥5mm厚，镜边磨边，含包边及镜子后面的阻燃板及纱帘以及龙骨打底。(±5％)（根据具体实地测量，中标人供货前需与用户确认）</w:t>
            </w:r>
          </w:p>
        </w:tc>
        <w:tc>
          <w:tcPr>
            <w:tcW w:w="806"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12块</w:t>
            </w:r>
          </w:p>
        </w:tc>
        <w:tc>
          <w:tcPr>
            <w:tcW w:w="112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4500</w:t>
            </w:r>
          </w:p>
        </w:tc>
        <w:tc>
          <w:tcPr>
            <w:tcW w:w="1451"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1225"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54000</w:t>
            </w:r>
          </w:p>
        </w:tc>
        <w:tc>
          <w:tcPr>
            <w:tcW w:w="1193"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新校区（学前教育学院舞蹈实训室）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9</w:t>
            </w:r>
          </w:p>
        </w:tc>
        <w:tc>
          <w:tcPr>
            <w:tcW w:w="1290"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牛皮鼓</w:t>
            </w:r>
          </w:p>
        </w:tc>
        <w:tc>
          <w:tcPr>
            <w:tcW w:w="51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≥10寸，配鼓棒、移动架</w:t>
            </w:r>
          </w:p>
        </w:tc>
        <w:tc>
          <w:tcPr>
            <w:tcW w:w="806"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4张</w:t>
            </w:r>
          </w:p>
        </w:tc>
        <w:tc>
          <w:tcPr>
            <w:tcW w:w="112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200</w:t>
            </w:r>
          </w:p>
        </w:tc>
        <w:tc>
          <w:tcPr>
            <w:tcW w:w="1451"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1225"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800</w:t>
            </w:r>
          </w:p>
        </w:tc>
        <w:tc>
          <w:tcPr>
            <w:tcW w:w="1193"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新校区（学前教育学院舞蹈实训室）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10</w:t>
            </w:r>
          </w:p>
        </w:tc>
        <w:tc>
          <w:tcPr>
            <w:tcW w:w="1290"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氛围布置</w:t>
            </w:r>
          </w:p>
        </w:tc>
        <w:tc>
          <w:tcPr>
            <w:tcW w:w="51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面积：665㎡（±5％） 36m**19m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木质吸音板：</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1.材质：白芯木</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2.甲醛释放量（mg/L）≤0.5，E1级，可直接用于室内</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3.规格（mm）：≥197*2440*12</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4.降噪系数：100-5000HZ 最高降噪系数达到0.9 dB</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聚酯纤维吸音板：</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1.材质：100%聚酯纤维</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2.甲醛释放量（mg/L）≤1.5，E1级，可直接用于室内</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3.规格（mm）：2420*1220*9</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4.降噪系数：100-5000HZ 最高降噪系数达到0.954 dB</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矿棉板：</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1.甲醛释放量：0</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2.颜色：白色</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3、降噪系数：0.50dB</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4.隔音系数：最小30dB</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基础环境改造： 吊顶</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3、灯光规格:使用 600*600mmLED 灯，防近视灯。</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4、灯光指标：</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4.1、结构：一体式微晶防眩光设计；</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4.2、电压：AC220V、50/60HZ；</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4.3、功率：≥36W±3W；</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4.4、光通量：＞3200lm；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4.5、效率≥90lm/w；</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4.6、显色指数：Ra&gt;90；</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4.7、色温：4500-5500K；</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4.8、功率因素：&gt;0.9；</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4.9、频闪：无</w:t>
            </w:r>
          </w:p>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5、</w:t>
            </w:r>
            <w:r>
              <w:rPr>
                <w:rFonts w:hint="eastAsia" w:ascii="宋体" w:hAnsi="宋体" w:eastAsia="宋体" w:cs="Times New Roman"/>
                <w:color w:val="auto"/>
                <w:sz w:val="18"/>
                <w:szCs w:val="18"/>
              </w:rPr>
              <w:t>舞蹈实训1中间柱子</w:t>
            </w:r>
            <w:r>
              <w:rPr>
                <w:rFonts w:hint="eastAsia" w:ascii="宋体" w:hAnsi="宋体" w:eastAsia="宋体" w:cs="Times New Roman"/>
                <w:color w:val="auto"/>
                <w:sz w:val="18"/>
                <w:szCs w:val="18"/>
                <w:lang w:val="en-US" w:eastAsia="zh-CN"/>
              </w:rPr>
              <w:t>软包</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w:t>
            </w:r>
            <w:r>
              <w:rPr>
                <w:rFonts w:hint="eastAsia" w:ascii="宋体" w:hAnsi="宋体" w:eastAsia="宋体" w:cs="Times New Roman"/>
                <w:color w:val="auto"/>
                <w:sz w:val="18"/>
                <w:szCs w:val="18"/>
              </w:rPr>
              <w:t>根据具体实地测量，中标人供货前需与用户确认）</w:t>
            </w:r>
          </w:p>
        </w:tc>
        <w:tc>
          <w:tcPr>
            <w:tcW w:w="806"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665㎡</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w:t>
            </w:r>
          </w:p>
        </w:tc>
        <w:tc>
          <w:tcPr>
            <w:tcW w:w="112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350</w:t>
            </w:r>
          </w:p>
        </w:tc>
        <w:tc>
          <w:tcPr>
            <w:tcW w:w="1451"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1225"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232750</w:t>
            </w:r>
          </w:p>
        </w:tc>
        <w:tc>
          <w:tcPr>
            <w:tcW w:w="1193"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新校区（学前教育学院舞蹈实训室）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11</w:t>
            </w:r>
          </w:p>
        </w:tc>
        <w:tc>
          <w:tcPr>
            <w:tcW w:w="1290"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矮柜</w:t>
            </w:r>
          </w:p>
        </w:tc>
        <w:tc>
          <w:tcPr>
            <w:tcW w:w="51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舞蹈室1：</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矮规规格要求：≥11.2m*0.6m*0.45m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板材要求：生态板，带柜门</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舞蹈室2：</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矮规规格要求：≥2.1m*0.5m*4.2m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板材要求：生态板，带柜门</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舞蹈室3：</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矮规规格要求：≥9m*0.6m*0.45m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板材要求：生态板，带柜</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（根据具体实地测量，中标人供货前需与用户确认）</w:t>
            </w:r>
          </w:p>
        </w:tc>
        <w:tc>
          <w:tcPr>
            <w:tcW w:w="806"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22.3m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w:t>
            </w:r>
          </w:p>
        </w:tc>
        <w:tc>
          <w:tcPr>
            <w:tcW w:w="112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1200</w:t>
            </w:r>
          </w:p>
        </w:tc>
        <w:tc>
          <w:tcPr>
            <w:tcW w:w="1451"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1225"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26760</w:t>
            </w:r>
          </w:p>
        </w:tc>
        <w:tc>
          <w:tcPr>
            <w:tcW w:w="1193"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新校区（学前教育学院舞蹈实训室）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12</w:t>
            </w:r>
          </w:p>
        </w:tc>
        <w:tc>
          <w:tcPr>
            <w:tcW w:w="1290"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衣帽间</w:t>
            </w:r>
          </w:p>
        </w:tc>
        <w:tc>
          <w:tcPr>
            <w:tcW w:w="515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1.落地衣架规格：≥150mm*180mm （3个）</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 xml:space="preserve">2.塑料收纳箱：大，中，小各5个 </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3.衣架400个</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4.衣柜：15m*4.3m(±5％)（据具体实地测量，中标人供货前需与用户确认）</w:t>
            </w:r>
          </w:p>
        </w:tc>
        <w:tc>
          <w:tcPr>
            <w:tcW w:w="806"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1项</w:t>
            </w:r>
          </w:p>
        </w:tc>
        <w:tc>
          <w:tcPr>
            <w:tcW w:w="1128"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87000</w:t>
            </w:r>
          </w:p>
        </w:tc>
        <w:tc>
          <w:tcPr>
            <w:tcW w:w="1451"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1225"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87000</w:t>
            </w:r>
          </w:p>
        </w:tc>
        <w:tc>
          <w:tcPr>
            <w:tcW w:w="1193"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新校区（学前教育学院舞蹈实训室）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58" w:type="dxa"/>
            <w:vAlign w:val="center"/>
          </w:tcPr>
          <w:p>
            <w:pPr>
              <w:spacing w:line="240" w:lineRule="auto"/>
              <w:ind w:firstLine="0" w:firstLineChars="0"/>
              <w:rPr>
                <w:rFonts w:hint="eastAsia" w:ascii="宋体" w:hAnsi="宋体" w:eastAsia="宋体" w:cs="Times New Roman"/>
                <w:color w:val="auto"/>
                <w:sz w:val="18"/>
                <w:szCs w:val="18"/>
              </w:rPr>
            </w:pPr>
          </w:p>
        </w:tc>
        <w:tc>
          <w:tcPr>
            <w:tcW w:w="1290" w:type="dxa"/>
            <w:vAlign w:val="center"/>
          </w:tcPr>
          <w:p>
            <w:pPr>
              <w:spacing w:line="240" w:lineRule="auto"/>
              <w:ind w:firstLine="0" w:firstLineChars="0"/>
              <w:rPr>
                <w:rFonts w:hint="eastAsia" w:ascii="宋体" w:hAnsi="宋体" w:eastAsia="宋体" w:cs="Times New Roman"/>
                <w:color w:val="auto"/>
                <w:sz w:val="18"/>
                <w:szCs w:val="18"/>
              </w:rPr>
            </w:pPr>
          </w:p>
        </w:tc>
        <w:tc>
          <w:tcPr>
            <w:tcW w:w="5158" w:type="dxa"/>
            <w:vAlign w:val="center"/>
          </w:tcPr>
          <w:p>
            <w:pPr>
              <w:spacing w:line="240" w:lineRule="auto"/>
              <w:ind w:firstLine="0" w:firstLineChars="0"/>
              <w:rPr>
                <w:rFonts w:hint="eastAsia" w:ascii="宋体" w:hAnsi="宋体" w:eastAsia="宋体" w:cs="Times New Roman"/>
                <w:color w:val="auto"/>
                <w:sz w:val="18"/>
                <w:szCs w:val="18"/>
              </w:rPr>
            </w:pPr>
          </w:p>
        </w:tc>
        <w:tc>
          <w:tcPr>
            <w:tcW w:w="806" w:type="dxa"/>
            <w:vAlign w:val="center"/>
          </w:tcPr>
          <w:p>
            <w:pPr>
              <w:spacing w:line="240" w:lineRule="auto"/>
              <w:ind w:firstLine="0" w:firstLineChars="0"/>
              <w:rPr>
                <w:rFonts w:hint="eastAsia" w:ascii="宋体" w:hAnsi="宋体" w:eastAsia="宋体" w:cs="Times New Roman"/>
                <w:color w:val="auto"/>
                <w:sz w:val="18"/>
                <w:szCs w:val="18"/>
              </w:rPr>
            </w:pPr>
          </w:p>
        </w:tc>
        <w:tc>
          <w:tcPr>
            <w:tcW w:w="1128" w:type="dxa"/>
            <w:vAlign w:val="center"/>
          </w:tcPr>
          <w:p>
            <w:pPr>
              <w:spacing w:line="240" w:lineRule="auto"/>
              <w:ind w:firstLine="0" w:firstLineChars="0"/>
              <w:rPr>
                <w:rFonts w:hint="eastAsia" w:ascii="宋体" w:hAnsi="宋体" w:eastAsia="宋体" w:cs="Times New Roman"/>
                <w:color w:val="auto"/>
                <w:sz w:val="18"/>
                <w:szCs w:val="18"/>
              </w:rPr>
            </w:pPr>
          </w:p>
        </w:tc>
        <w:tc>
          <w:tcPr>
            <w:tcW w:w="1451"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合计</w:t>
            </w:r>
          </w:p>
        </w:tc>
        <w:tc>
          <w:tcPr>
            <w:tcW w:w="1225" w:type="dxa"/>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537970</w:t>
            </w:r>
          </w:p>
        </w:tc>
        <w:tc>
          <w:tcPr>
            <w:tcW w:w="1193" w:type="dxa"/>
            <w:vAlign w:val="center"/>
          </w:tcPr>
          <w:p>
            <w:pPr>
              <w:spacing w:line="240" w:lineRule="auto"/>
              <w:ind w:firstLine="0" w:firstLineChars="0"/>
              <w:rPr>
                <w:rFonts w:hint="eastAsia" w:ascii="宋体" w:hAnsi="宋体" w:eastAsia="宋体" w:cs="Times New Roman"/>
                <w:color w:val="auto"/>
                <w:sz w:val="18"/>
                <w:szCs w:val="18"/>
              </w:rPr>
            </w:pPr>
          </w:p>
        </w:tc>
      </w:tr>
    </w:tbl>
    <w:p>
      <w:pPr>
        <w:spacing w:line="240" w:lineRule="auto"/>
        <w:ind w:firstLine="0" w:firstLineChars="0"/>
        <w:rPr>
          <w:rFonts w:hint="eastAsia" w:ascii="宋体" w:hAnsi="宋体" w:eastAsia="宋体" w:cs="Times New Roman"/>
          <w:color w:val="auto"/>
          <w:sz w:val="18"/>
          <w:szCs w:val="18"/>
        </w:rPr>
      </w:pPr>
    </w:p>
    <w:p>
      <w:pPr>
        <w:tabs>
          <w:tab w:val="left" w:pos="9555"/>
        </w:tabs>
        <w:rPr>
          <w:rFonts w:ascii="宋体" w:hAnsi="宋体"/>
          <w:color w:val="FF0000"/>
          <w:sz w:val="24"/>
        </w:rPr>
      </w:pPr>
    </w:p>
    <w:p>
      <w:pPr>
        <w:tabs>
          <w:tab w:val="left" w:pos="9555"/>
        </w:tabs>
        <w:rPr>
          <w:rFonts w:ascii="宋体" w:hAnsi="宋体"/>
          <w:color w:val="FF0000"/>
          <w:sz w:val="24"/>
        </w:rPr>
      </w:pPr>
    </w:p>
    <w:p>
      <w:pPr>
        <w:spacing w:line="360" w:lineRule="auto"/>
        <w:ind w:firstLine="10320" w:firstLineChars="4300"/>
        <w:rPr>
          <w:rFonts w:ascii="宋体" w:hAnsi="宋体"/>
          <w:b/>
          <w:sz w:val="24"/>
        </w:rPr>
      </w:pPr>
    </w:p>
    <w:p>
      <w:pPr>
        <w:jc w:val="center"/>
        <w:sectPr>
          <w:pgSz w:w="16838" w:h="11906" w:orient="landscape"/>
          <w:pgMar w:top="1588" w:right="1440" w:bottom="1588" w:left="1440" w:header="851" w:footer="1418" w:gutter="0"/>
          <w:cols w:space="72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C8747"/>
    <w:multiLevelType w:val="singleLevel"/>
    <w:tmpl w:val="EACC8747"/>
    <w:lvl w:ilvl="0" w:tentative="0">
      <w:start w:val="1"/>
      <w:numFmt w:val="chineseCounting"/>
      <w:pStyle w:val="4"/>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3"/>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C0E72"/>
    <w:rsid w:val="0EA70944"/>
    <w:rsid w:val="19BE3EC3"/>
    <w:rsid w:val="22166B9E"/>
    <w:rsid w:val="32205D93"/>
    <w:rsid w:val="3CBF2473"/>
    <w:rsid w:val="600B673F"/>
    <w:rsid w:val="63AC0E72"/>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uto"/>
      <w:ind w:firstLine="420" w:firstLineChars="200"/>
      <w:jc w:val="both"/>
    </w:pPr>
    <w:rPr>
      <w:rFonts w:eastAsia="仿宋" w:asciiTheme="minorAscii" w:hAnsiTheme="minorAscii" w:cstheme="minorBidi"/>
      <w:kern w:val="2"/>
      <w:sz w:val="28"/>
      <w:szCs w:val="22"/>
      <w:lang w:val="en-US" w:eastAsia="zh-CN" w:bidi="ar-SA"/>
    </w:rPr>
  </w:style>
  <w:style w:type="paragraph" w:styleId="3">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4">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5">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ind w:firstLine="420"/>
    </w:pPr>
    <w:rPr>
      <w:kern w:val="0"/>
      <w:sz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2021-06-01T10:12:00Z</dcterms:created>
  <dc:creator>linqq</dc:creator>
  <cp:lastModifiedBy>linqq</cp:lastModifiedBy>
  <dcterms:modified xsi:type="dcterms:W3CDTF">2021-06-01T10:16:18Z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545EADAE84254834BB4A65812AAB7492</vt:lpwstr>
  </property>
</Properties>
</file>