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iagrams/colors1.xml" ContentType="application/vnd.openxmlformats-officedocument.drawingml.diagramColors+xml"/>
  <Override PartName="/word/diagrams/data1.xml" ContentType="application/vnd.openxmlformats-officedocument.drawingml.diagramData+xml"/>
  <Override PartName="/word/diagrams/drawing1.xml" ContentType="application/vnd.ms-office.drawingml.diagramDrawing+xml"/>
  <Override PartName="/word/diagrams/layout1.xml" ContentType="application/vnd.openxmlformats-officedocument.drawingml.diagramLayout+xml"/>
  <Override PartName="/word/diagrams/quickStyle1.xml" ContentType="application/vnd.openxmlformats-officedocument.drawingml.diagram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40" w:lineRule="auto"/>
        <w:ind w:firstLine="0" w:firstLineChars="0"/>
        <w:jc w:val="center"/>
        <w:rPr>
          <w:rFonts w:hint="eastAsia" w:ascii="宋体" w:hAnsi="宋体" w:eastAsia="宋体" w:cs="Times New Roman"/>
          <w:b/>
          <w:sz w:val="30"/>
          <w:szCs w:val="30"/>
          <w:lang w:val="en-US" w:eastAsia="zh-CN"/>
        </w:rPr>
      </w:pPr>
      <w:r>
        <w:rPr>
          <w:rFonts w:hint="eastAsia" w:ascii="宋体" w:hAnsi="宋体" w:eastAsia="宋体" w:cs="Times New Roman"/>
          <w:b/>
          <w:sz w:val="30"/>
          <w:szCs w:val="30"/>
          <w:lang w:val="en-US" w:eastAsia="zh-CN"/>
        </w:rPr>
        <w:t>机电一体化实训室项目</w:t>
      </w:r>
      <w:r>
        <w:rPr>
          <w:rFonts w:hint="eastAsia" w:ascii="宋体" w:hAnsi="宋体" w:eastAsia="宋体" w:cs="Times New Roman"/>
          <w:b/>
          <w:sz w:val="30"/>
          <w:szCs w:val="30"/>
          <w:lang w:val="en-US" w:eastAsia="zh-CN"/>
        </w:rPr>
        <w:t xml:space="preserve">设备采购 </w:t>
      </w:r>
    </w:p>
    <w:p>
      <w:pPr>
        <w:spacing w:line="360" w:lineRule="auto"/>
        <w:rPr>
          <w:rFonts w:hint="eastAsia" w:ascii="宋体" w:hAnsi="宋体"/>
          <w:color w:val="FF0000"/>
          <w:sz w:val="28"/>
          <w:szCs w:val="28"/>
        </w:rPr>
      </w:pPr>
    </w:p>
    <w:p>
      <w:pPr>
        <w:spacing w:line="400" w:lineRule="exact"/>
        <w:rPr>
          <w:rFonts w:hint="eastAsia" w:ascii="宋体" w:hAnsi="宋体"/>
          <w:b/>
          <w:sz w:val="24"/>
        </w:rPr>
      </w:pPr>
      <w:r>
        <w:rPr>
          <w:rFonts w:hint="eastAsia" w:ascii="宋体" w:hAnsi="宋体"/>
          <w:b/>
          <w:sz w:val="24"/>
        </w:rPr>
        <w:t>一、项目概况</w:t>
      </w:r>
    </w:p>
    <w:p>
      <w:pPr>
        <w:pStyle w:val="8"/>
        <w:widowControl/>
        <w:spacing w:line="400" w:lineRule="atLeast"/>
        <w:ind w:right="147" w:firstLine="480" w:firstLineChars="200"/>
        <w:jc w:val="both"/>
        <w:rPr>
          <w:rFonts w:hint="eastAsia" w:ascii="宋体" w:hAnsi="宋体"/>
          <w:color w:val="000000"/>
        </w:rPr>
      </w:pPr>
      <w:r>
        <w:rPr>
          <w:rFonts w:hint="eastAsia" w:ascii="宋体" w:hAnsi="宋体"/>
          <w:color w:val="000000"/>
          <w:kern w:val="2"/>
        </w:rPr>
        <w:t>进一步提高人才培养质量做好教学工作，立足长远，以实体为依托，打造服务教学、融合校企合作，满足技术服务、技能竞赛基地为一体的实习实训基地。同时，通过项目建设推动实训基地的建设发展，促进职业教育实训基地的建设与完善。</w:t>
      </w:r>
    </w:p>
    <w:p>
      <w:pPr>
        <w:spacing w:line="400" w:lineRule="exact"/>
        <w:rPr>
          <w:rFonts w:hint="eastAsia" w:ascii="宋体" w:hAnsi="宋体"/>
          <w:b/>
          <w:sz w:val="24"/>
        </w:rPr>
      </w:pPr>
      <w:r>
        <w:rPr>
          <w:rFonts w:hint="eastAsia" w:ascii="宋体" w:hAnsi="宋体"/>
          <w:b/>
          <w:sz w:val="24"/>
        </w:rPr>
        <w:t>二、实训设备采购的必要性</w:t>
      </w:r>
    </w:p>
    <w:p>
      <w:pPr>
        <w:pStyle w:val="8"/>
        <w:widowControl/>
        <w:spacing w:line="400" w:lineRule="exact"/>
        <w:ind w:firstLine="480" w:firstLineChars="200"/>
        <w:rPr>
          <w:rFonts w:hint="eastAsia" w:ascii="宋体" w:hAnsi="宋体"/>
          <w:color w:val="000000"/>
        </w:rPr>
      </w:pPr>
      <w:r>
        <w:rPr>
          <w:rFonts w:hint="eastAsia" w:ascii="宋体" w:hAnsi="宋体"/>
          <w:color w:val="000000"/>
          <w:kern w:val="2"/>
        </w:rPr>
        <w:t>为了加强与行业企业技术要求、工艺流程、管理规范、设备水平同步的实训装备建设，达到教育部发布的专业仪器设备装备规范。推进校企共建的示范性实训基地建设，通过校企合作、引企入校等方式，校企共建兼具生产、教学和研发功能的实训基地，依托重点专业（群）共建创新创业教育实践平台、产品开发机构等，切实增强职业院校技术技能积累能力和学生就业创业能力。</w:t>
      </w:r>
    </w:p>
    <w:p>
      <w:pPr>
        <w:spacing w:line="400" w:lineRule="exact"/>
        <w:ind w:firstLine="480" w:firstLineChars="200"/>
        <w:rPr>
          <w:rFonts w:hint="eastAsia" w:ascii="宋体" w:hAnsi="宋体"/>
          <w:color w:val="000000"/>
          <w:sz w:val="24"/>
        </w:rPr>
      </w:pPr>
      <w:r>
        <w:rPr>
          <w:rFonts w:hint="eastAsia" w:ascii="宋体" w:hAnsi="宋体"/>
          <w:color w:val="000000"/>
          <w:sz w:val="24"/>
        </w:rPr>
        <w:t>为了促进职业教育实训基地的建设与完善，促进数控技术和机电一体化技术专业的教学改革，本着“立足当前、兼顾发展”的原则和资金的情况，拟对该项目进行建设。</w:t>
      </w:r>
    </w:p>
    <w:p>
      <w:pPr>
        <w:spacing w:line="400" w:lineRule="exact"/>
        <w:ind w:firstLine="480" w:firstLineChars="200"/>
        <w:rPr>
          <w:rFonts w:hint="eastAsia" w:ascii="宋体" w:hAnsi="宋体"/>
          <w:color w:val="000000"/>
          <w:sz w:val="24"/>
        </w:rPr>
      </w:pPr>
      <w:r>
        <w:rPr>
          <w:rFonts w:hint="eastAsia" w:ascii="宋体" w:hAnsi="宋体"/>
          <w:color w:val="000000"/>
          <w:sz w:val="24"/>
        </w:rPr>
        <w:t>1、现有设备情况</w:t>
      </w:r>
    </w:p>
    <w:p>
      <w:pPr>
        <w:spacing w:line="400" w:lineRule="exact"/>
        <w:ind w:firstLine="480" w:firstLineChars="200"/>
        <w:rPr>
          <w:rFonts w:hint="eastAsia" w:ascii="宋体" w:hAnsi="宋体"/>
          <w:color w:val="000000"/>
          <w:sz w:val="24"/>
        </w:rPr>
      </w:pPr>
      <w:r>
        <w:rPr>
          <w:rFonts w:hint="eastAsia" w:ascii="宋体" w:hAnsi="宋体"/>
          <w:color w:val="000000"/>
          <w:sz w:val="24"/>
        </w:rPr>
        <w:t>现有</w:t>
      </w:r>
      <w:r>
        <w:rPr>
          <w:rFonts w:hint="eastAsia" w:ascii="宋体" w:hAnsi="宋体"/>
          <w:color w:val="000000"/>
          <w:sz w:val="24"/>
          <w:lang w:val="en-US" w:eastAsia="zh-CN"/>
        </w:rPr>
        <w:t>无机电一体化实训设备</w:t>
      </w:r>
      <w:r>
        <w:rPr>
          <w:rFonts w:hint="eastAsia" w:ascii="宋体" w:hAnsi="宋体"/>
          <w:color w:val="000000"/>
          <w:sz w:val="24"/>
        </w:rPr>
        <w:t>。</w:t>
      </w:r>
    </w:p>
    <w:p>
      <w:pPr>
        <w:spacing w:line="400" w:lineRule="exact"/>
        <w:ind w:firstLine="480" w:firstLineChars="200"/>
        <w:rPr>
          <w:rFonts w:hint="eastAsia" w:ascii="宋体" w:hAnsi="宋体"/>
          <w:color w:val="000000"/>
          <w:sz w:val="24"/>
        </w:rPr>
      </w:pPr>
      <w:r>
        <w:rPr>
          <w:rFonts w:hint="eastAsia" w:ascii="宋体" w:hAnsi="宋体"/>
          <w:color w:val="000000"/>
          <w:sz w:val="24"/>
        </w:rPr>
        <w:t>2、与示范校的要求还有一定的差距</w:t>
      </w:r>
    </w:p>
    <w:p>
      <w:pPr>
        <w:spacing w:line="400" w:lineRule="exact"/>
        <w:ind w:firstLine="480" w:firstLineChars="200"/>
        <w:rPr>
          <w:rFonts w:hint="eastAsia" w:ascii="宋体" w:hAnsi="宋体"/>
          <w:color w:val="000000"/>
          <w:sz w:val="24"/>
        </w:rPr>
      </w:pPr>
      <w:r>
        <w:rPr>
          <w:rFonts w:hint="eastAsia" w:ascii="宋体" w:hAnsi="宋体"/>
          <w:color w:val="000000"/>
          <w:sz w:val="24"/>
          <w:lang w:eastAsia="zh-CN"/>
        </w:rPr>
        <w:drawing>
          <wp:anchor distT="0" distB="0" distL="114300" distR="114300" simplePos="0" relativeHeight="251659264" behindDoc="0" locked="0" layoutInCell="1" allowOverlap="1">
            <wp:simplePos x="0" y="0"/>
            <wp:positionH relativeFrom="column">
              <wp:posOffset>752475</wp:posOffset>
            </wp:positionH>
            <wp:positionV relativeFrom="paragraph">
              <wp:posOffset>749935</wp:posOffset>
            </wp:positionV>
            <wp:extent cx="2867660" cy="3090545"/>
            <wp:effectExtent l="0" t="0" r="8890" b="14605"/>
            <wp:wrapNone/>
            <wp:docPr id="14" name="图片 10" descr="微信图片_202012020904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0" descr="微信图片_20201202090455"/>
                    <pic:cNvPicPr>
                      <a:picLocks noChangeAspect="1"/>
                    </pic:cNvPicPr>
                  </pic:nvPicPr>
                  <pic:blipFill>
                    <a:blip r:embed="rId8"/>
                    <a:stretch>
                      <a:fillRect/>
                    </a:stretch>
                  </pic:blipFill>
                  <pic:spPr>
                    <a:xfrm>
                      <a:off x="0" y="0"/>
                      <a:ext cx="2867660" cy="3090545"/>
                    </a:xfrm>
                    <a:prstGeom prst="rect">
                      <a:avLst/>
                    </a:prstGeom>
                    <a:noFill/>
                    <a:ln>
                      <a:noFill/>
                    </a:ln>
                  </pic:spPr>
                </pic:pic>
              </a:graphicData>
            </a:graphic>
          </wp:anchor>
        </w:drawing>
      </w:r>
      <w:r>
        <w:rPr>
          <w:rFonts w:hint="eastAsia" w:ascii="宋体" w:hAnsi="宋体"/>
          <w:color w:val="000000"/>
          <w:sz w:val="24"/>
        </w:rPr>
        <w:t>根据教育部于2017年8月发布的《中华人民共和国教育行业标准-高等职业学校机电一体化技术专业仪器设备装备规范》的文件中要求，</w:t>
      </w:r>
      <w:r>
        <w:rPr>
          <w:rFonts w:hint="eastAsia" w:ascii="宋体" w:hAnsi="宋体"/>
          <w:color w:val="000000"/>
          <w:sz w:val="24"/>
          <w:lang w:val="en-US" w:eastAsia="zh-CN"/>
        </w:rPr>
        <w:t>机电一体化</w:t>
      </w:r>
      <w:r>
        <w:rPr>
          <w:rFonts w:hint="eastAsia" w:ascii="宋体" w:hAnsi="宋体"/>
          <w:color w:val="000000"/>
          <w:sz w:val="24"/>
        </w:rPr>
        <w:t>、机器人相关的设备与文件中的要求差距都相对较大。</w:t>
      </w: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rPr>
          <w:rFonts w:hint="eastAsia" w:ascii="宋体" w:hAnsi="宋体"/>
          <w:color w:val="000000"/>
          <w:sz w:val="24"/>
        </w:rPr>
      </w:pPr>
    </w:p>
    <w:p>
      <w:pPr>
        <w:spacing w:line="400" w:lineRule="exact"/>
        <w:ind w:firstLine="480" w:firstLineChars="200"/>
        <w:rPr>
          <w:rFonts w:hint="eastAsia" w:ascii="宋体" w:hAnsi="宋体"/>
          <w:color w:val="000000"/>
          <w:sz w:val="24"/>
        </w:rPr>
      </w:pPr>
      <w:r>
        <w:rPr>
          <w:rFonts w:hint="eastAsia" w:ascii="宋体" w:hAnsi="宋体"/>
          <w:color w:val="000000"/>
          <w:sz w:val="24"/>
          <w:lang w:val="en-US" w:eastAsia="zh-CN"/>
        </w:rPr>
        <w:t>3</w:t>
      </w:r>
      <w:r>
        <w:rPr>
          <w:rFonts w:hint="eastAsia" w:ascii="宋体" w:hAnsi="宋体"/>
          <w:color w:val="000000"/>
          <w:sz w:val="24"/>
        </w:rPr>
        <w:t>、根据近几年全国职业院校技能大赛所使用的设备来看，该加工设备也是加工制造赛项中</w:t>
      </w:r>
      <w:r>
        <w:rPr>
          <w:rFonts w:hint="eastAsia" w:ascii="宋体" w:hAnsi="宋体"/>
          <w:color w:val="000000"/>
          <w:sz w:val="24"/>
          <w:lang w:val="en-US" w:eastAsia="zh-CN"/>
        </w:rPr>
        <w:t>核心技能训练配套</w:t>
      </w:r>
      <w:r>
        <w:rPr>
          <w:rFonts w:hint="eastAsia" w:ascii="宋体" w:hAnsi="宋体"/>
          <w:color w:val="000000"/>
          <w:sz w:val="24"/>
        </w:rPr>
        <w:t>必要的。</w:t>
      </w:r>
    </w:p>
    <w:p>
      <w:pPr>
        <w:spacing w:line="400" w:lineRule="exact"/>
        <w:ind w:firstLine="480" w:firstLineChars="200"/>
        <w:rPr>
          <w:rFonts w:hint="eastAsia" w:ascii="宋体" w:hAnsi="宋体"/>
          <w:color w:val="000000"/>
          <w:sz w:val="24"/>
        </w:rPr>
      </w:pPr>
      <w:r>
        <w:rPr>
          <w:rFonts w:hint="eastAsia" w:ascii="宋体" w:hAnsi="宋体"/>
          <w:color w:val="000000"/>
          <w:sz w:val="24"/>
          <w:lang w:val="en-US" w:eastAsia="zh-CN"/>
        </w:rPr>
        <w:t>4</w:t>
      </w:r>
      <w:r>
        <w:rPr>
          <w:rFonts w:hint="eastAsia" w:ascii="宋体" w:hAnsi="宋体"/>
          <w:color w:val="000000"/>
          <w:sz w:val="24"/>
        </w:rPr>
        <w:t>、校企合作情况</w:t>
      </w:r>
    </w:p>
    <w:p>
      <w:pPr>
        <w:spacing w:line="400" w:lineRule="exact"/>
        <w:ind w:firstLine="480" w:firstLineChars="200"/>
        <w:rPr>
          <w:rFonts w:hint="eastAsia" w:ascii="宋体" w:hAnsi="宋体"/>
          <w:color w:val="000000"/>
          <w:sz w:val="24"/>
        </w:rPr>
      </w:pPr>
      <w:r>
        <w:rPr>
          <w:rFonts w:hint="eastAsia" w:ascii="宋体" w:hAnsi="宋体"/>
          <w:color w:val="000000"/>
          <w:sz w:val="24"/>
        </w:rPr>
        <w:t>数</w:t>
      </w:r>
      <w:r>
        <w:rPr>
          <w:rFonts w:hint="eastAsia" w:ascii="宋体" w:hAnsi="宋体"/>
          <w:color w:val="000000"/>
          <w:sz w:val="24"/>
          <w:lang w:val="en-US" w:eastAsia="zh-CN"/>
        </w:rPr>
        <w:t>机电一体化</w:t>
      </w:r>
      <w:r>
        <w:rPr>
          <w:rFonts w:hint="eastAsia" w:ascii="宋体" w:hAnsi="宋体"/>
          <w:color w:val="000000"/>
          <w:sz w:val="24"/>
        </w:rPr>
        <w:t>实训建设是“实行工学结合、校企合作、顶岗实习的职业教育培养模式”的重要环节，分别于</w:t>
      </w:r>
      <w:r>
        <w:rPr>
          <w:rFonts w:hint="eastAsia" w:ascii="宋体" w:hAnsi="宋体"/>
          <w:color w:val="000000"/>
          <w:sz w:val="24"/>
          <w:lang w:val="en-US" w:eastAsia="zh-CN"/>
        </w:rPr>
        <w:t>涵江得力高</w:t>
      </w:r>
      <w:r>
        <w:rPr>
          <w:rFonts w:hint="eastAsia" w:ascii="宋体" w:hAnsi="宋体"/>
          <w:color w:val="000000"/>
          <w:sz w:val="24"/>
        </w:rPr>
        <w:t>、</w:t>
      </w:r>
      <w:r>
        <w:rPr>
          <w:rFonts w:hint="eastAsia" w:ascii="宋体" w:hAnsi="宋体"/>
          <w:color w:val="000000"/>
          <w:sz w:val="24"/>
          <w:lang w:val="en-US" w:eastAsia="zh-CN"/>
        </w:rPr>
        <w:t>莆田康达自动化</w:t>
      </w:r>
      <w:r>
        <w:rPr>
          <w:rFonts w:hint="eastAsia" w:ascii="宋体" w:hAnsi="宋体"/>
          <w:color w:val="000000"/>
          <w:sz w:val="24"/>
        </w:rPr>
        <w:t>，2019年与福州格行智能科技有限公司，在这期间对</w:t>
      </w:r>
      <w:r>
        <w:rPr>
          <w:rFonts w:hint="eastAsia" w:ascii="宋体" w:hAnsi="宋体"/>
          <w:color w:val="000000"/>
          <w:sz w:val="24"/>
          <w:lang w:val="en-US" w:eastAsia="zh-CN"/>
        </w:rPr>
        <w:t>项目研发</w:t>
      </w:r>
      <w:r>
        <w:rPr>
          <w:rFonts w:hint="eastAsia" w:ascii="宋体" w:hAnsi="宋体"/>
          <w:color w:val="000000"/>
          <w:sz w:val="24"/>
        </w:rPr>
        <w:t>的需求量大，随着校企合作的进一步深入，对</w:t>
      </w:r>
      <w:r>
        <w:rPr>
          <w:rFonts w:hint="eastAsia" w:ascii="宋体" w:hAnsi="宋体"/>
          <w:color w:val="000000"/>
          <w:sz w:val="24"/>
          <w:lang w:val="en-US" w:eastAsia="zh-CN"/>
        </w:rPr>
        <w:t>项目</w:t>
      </w:r>
      <w:r>
        <w:rPr>
          <w:rFonts w:hint="eastAsia" w:ascii="宋体" w:hAnsi="宋体"/>
          <w:color w:val="000000"/>
          <w:sz w:val="24"/>
        </w:rPr>
        <w:t>需求量会更大。</w:t>
      </w:r>
    </w:p>
    <w:p>
      <w:pPr>
        <w:spacing w:line="400" w:lineRule="exact"/>
        <w:ind w:firstLine="480" w:firstLineChars="200"/>
        <w:rPr>
          <w:rFonts w:hint="eastAsia" w:ascii="宋体" w:hAnsi="宋体"/>
          <w:color w:val="000000"/>
          <w:sz w:val="24"/>
        </w:rPr>
      </w:pPr>
      <w:r>
        <w:rPr>
          <w:rFonts w:hint="eastAsia" w:ascii="宋体" w:hAnsi="宋体"/>
          <w:color w:val="000000"/>
          <w:sz w:val="24"/>
          <w:lang w:val="en-US" w:eastAsia="zh-CN"/>
        </w:rPr>
        <w:t>5</w:t>
      </w:r>
      <w:r>
        <w:rPr>
          <w:rFonts w:hint="eastAsia" w:ascii="宋体" w:hAnsi="宋体"/>
          <w:color w:val="000000"/>
          <w:sz w:val="24"/>
        </w:rPr>
        <w:t>、教学</w:t>
      </w:r>
    </w:p>
    <w:p>
      <w:pPr>
        <w:spacing w:line="400" w:lineRule="exact"/>
        <w:ind w:firstLine="480" w:firstLineChars="200"/>
        <w:rPr>
          <w:rFonts w:hint="eastAsia" w:ascii="宋体" w:hAnsi="宋体"/>
          <w:color w:val="000000"/>
          <w:sz w:val="24"/>
        </w:rPr>
      </w:pPr>
      <w:r>
        <w:rPr>
          <w:rFonts w:hint="eastAsia" w:ascii="宋体" w:hAnsi="宋体"/>
          <w:color w:val="000000"/>
          <w:sz w:val="24"/>
        </w:rPr>
        <w:t>该设备为</w:t>
      </w:r>
      <w:r>
        <w:rPr>
          <w:rFonts w:hint="eastAsia" w:ascii="宋体" w:hAnsi="宋体"/>
          <w:color w:val="000000"/>
          <w:sz w:val="24"/>
          <w:lang w:val="en-US" w:eastAsia="zh-CN"/>
        </w:rPr>
        <w:t>公共基础技能</w:t>
      </w:r>
      <w:r>
        <w:rPr>
          <w:rFonts w:hint="eastAsia" w:ascii="宋体" w:hAnsi="宋体"/>
          <w:color w:val="000000"/>
          <w:sz w:val="24"/>
        </w:rPr>
        <w:t>等课程的必备课程。</w:t>
      </w:r>
    </w:p>
    <w:p>
      <w:pPr>
        <w:spacing w:line="400" w:lineRule="exact"/>
        <w:ind w:firstLine="480" w:firstLineChars="200"/>
        <w:rPr>
          <w:rFonts w:hint="eastAsia" w:ascii="宋体" w:hAnsi="宋体"/>
          <w:color w:val="000000"/>
          <w:sz w:val="24"/>
        </w:rPr>
      </w:pPr>
      <w:r>
        <w:rPr>
          <w:rFonts w:hint="eastAsia" w:ascii="宋体" w:hAnsi="宋体"/>
          <w:color w:val="000000"/>
          <w:sz w:val="24"/>
          <w:lang w:val="en-US" w:eastAsia="zh-CN"/>
        </w:rPr>
        <w:t>6</w:t>
      </w:r>
      <w:r>
        <w:rPr>
          <w:rFonts w:hint="eastAsia" w:ascii="宋体" w:hAnsi="宋体"/>
          <w:color w:val="000000"/>
          <w:sz w:val="24"/>
        </w:rPr>
        <w:t>、技能竞赛</w:t>
      </w:r>
    </w:p>
    <w:p>
      <w:pPr>
        <w:spacing w:line="360" w:lineRule="auto"/>
        <w:ind w:firstLine="480" w:firstLineChars="200"/>
        <w:rPr>
          <w:rFonts w:hint="eastAsia" w:ascii="宋体" w:hAnsi="宋体"/>
          <w:color w:val="000000"/>
          <w:sz w:val="24"/>
        </w:rPr>
      </w:pPr>
      <w:r>
        <w:rPr>
          <w:rFonts w:hint="eastAsia" w:ascii="宋体" w:hAnsi="宋体"/>
          <w:color w:val="000000"/>
          <w:sz w:val="24"/>
        </w:rPr>
        <w:t>近几年我院重视技能竞赛，因此，每年参加省赛高职组的复杂部件造型与多轴联动加工、模具数字化设计与制造、工业产品数字化设计等赛项。竞赛以“立足培养，重在参与，面向工程，追求卓越”为指导思想，旨在促进高等学校素质教育，着力提高学生的工程兴趣、工程素养、工程设计能力、工程实践能力和工程创新能力，倡导理论联系实际、求真务实的学风和团队协作的人文精神，培养学生的综合知识运用能力，为优秀人才的脱颖而出创造条件。</w:t>
      </w:r>
    </w:p>
    <w:p>
      <w:pPr>
        <w:spacing w:line="400" w:lineRule="exact"/>
        <w:rPr>
          <w:rFonts w:hint="eastAsia" w:ascii="宋体" w:hAnsi="宋体"/>
          <w:b/>
          <w:sz w:val="24"/>
        </w:rPr>
      </w:pPr>
    </w:p>
    <w:p>
      <w:pPr>
        <w:numPr>
          <w:ilvl w:val="0"/>
          <w:numId w:val="3"/>
        </w:numPr>
        <w:spacing w:line="400" w:lineRule="exact"/>
        <w:rPr>
          <w:rFonts w:hint="eastAsia" w:ascii="宋体" w:hAnsi="宋体"/>
          <w:b/>
          <w:sz w:val="24"/>
        </w:rPr>
      </w:pPr>
      <w:r>
        <w:rPr>
          <w:rFonts w:hint="eastAsia" w:ascii="宋体" w:hAnsi="宋体"/>
          <w:b/>
          <w:sz w:val="24"/>
        </w:rPr>
        <w:t>罗列新设备对应课程及实训项目</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2614"/>
        <w:gridCol w:w="3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专业</w:t>
            </w:r>
          </w:p>
        </w:tc>
        <w:tc>
          <w:tcPr>
            <w:tcW w:w="2614" w:type="dxa"/>
            <w:noWrap w:val="0"/>
            <w:vAlign w:val="center"/>
          </w:tcPr>
          <w:p>
            <w:pPr>
              <w:spacing w:line="400" w:lineRule="exact"/>
              <w:jc w:val="center"/>
              <w:rPr>
                <w:rFonts w:hint="eastAsia" w:ascii="宋体" w:hAnsi="宋体"/>
                <w:color w:val="000000"/>
                <w:sz w:val="24"/>
              </w:rPr>
            </w:pPr>
            <w:r>
              <w:rPr>
                <w:rFonts w:hint="eastAsia" w:ascii="宋体" w:hAnsi="宋体"/>
                <w:color w:val="000000"/>
                <w:sz w:val="24"/>
              </w:rPr>
              <w:t>课程</w:t>
            </w:r>
          </w:p>
        </w:tc>
        <w:tc>
          <w:tcPr>
            <w:tcW w:w="3968" w:type="dxa"/>
            <w:noWrap w:val="0"/>
            <w:vAlign w:val="center"/>
          </w:tcPr>
          <w:p>
            <w:pPr>
              <w:spacing w:line="400" w:lineRule="exact"/>
              <w:jc w:val="both"/>
              <w:rPr>
                <w:rFonts w:hint="eastAsia" w:ascii="宋体" w:hAnsi="宋体"/>
                <w:color w:val="000000"/>
                <w:sz w:val="24"/>
              </w:rPr>
            </w:pPr>
            <w:r>
              <w:rPr>
                <w:rFonts w:hint="eastAsia" w:ascii="宋体" w:hAnsi="宋体"/>
                <w:color w:val="000000"/>
                <w:sz w:val="24"/>
              </w:rPr>
              <w:t>实训项目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0" w:type="dxa"/>
            <w:noWrap w:val="0"/>
            <w:vAlign w:val="center"/>
          </w:tcPr>
          <w:p>
            <w:pPr>
              <w:spacing w:line="400" w:lineRule="exact"/>
              <w:jc w:val="center"/>
              <w:rPr>
                <w:rFonts w:hint="eastAsia" w:ascii="宋体" w:hAnsi="宋体"/>
                <w:sz w:val="24"/>
              </w:rPr>
            </w:pPr>
            <w:r>
              <w:rPr>
                <w:rFonts w:hint="eastAsia" w:ascii="宋体" w:hAnsi="宋体"/>
                <w:sz w:val="24"/>
                <w:lang w:val="en-US" w:eastAsia="zh-CN"/>
              </w:rPr>
              <w:t>机电一体化</w:t>
            </w:r>
            <w:r>
              <w:rPr>
                <w:rFonts w:hint="eastAsia" w:ascii="宋体" w:hAnsi="宋体"/>
                <w:sz w:val="24"/>
              </w:rPr>
              <w:t>技术综合实训</w:t>
            </w:r>
          </w:p>
        </w:tc>
        <w:tc>
          <w:tcPr>
            <w:tcW w:w="2614" w:type="dxa"/>
            <w:noWrap w:val="0"/>
            <w:vAlign w:val="center"/>
          </w:tcPr>
          <w:p>
            <w:pPr>
              <w:spacing w:line="400" w:lineRule="exact"/>
              <w:jc w:val="center"/>
              <w:rPr>
                <w:rFonts w:hint="eastAsia" w:ascii="宋体" w:hAnsi="宋体"/>
                <w:sz w:val="24"/>
              </w:rPr>
            </w:pPr>
            <w:r>
              <w:rPr>
                <w:rFonts w:hint="eastAsia" w:ascii="宋体" w:hAnsi="宋体"/>
                <w:sz w:val="24"/>
              </w:rPr>
              <w:t>气动技术、传感器技术、PLC编程技术、位置检测技术、电子电气技术、机械组装技术、电气驱动技术、信号连接与转换技术、搬运技术、网络通讯技术、计算机应用技术。</w:t>
            </w:r>
          </w:p>
          <w:p>
            <w:pPr>
              <w:spacing w:line="400" w:lineRule="exact"/>
              <w:jc w:val="center"/>
              <w:rPr>
                <w:rFonts w:hint="eastAsia" w:ascii="宋体" w:hAnsi="宋体"/>
                <w:sz w:val="24"/>
                <w:lang w:eastAsia="zh-CN"/>
              </w:rPr>
            </w:pPr>
          </w:p>
        </w:tc>
        <w:tc>
          <w:tcPr>
            <w:tcW w:w="3968"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rPr>
              <w:t>气动系统的安装与调试项目</w:t>
            </w:r>
            <w:r>
              <w:rPr>
                <w:rFonts w:hint="eastAsia" w:ascii="宋体" w:hAnsi="宋体"/>
                <w:sz w:val="24"/>
                <w:lang w:eastAsia="zh-CN"/>
              </w:rPr>
              <w:t>、</w:t>
            </w:r>
            <w:r>
              <w:rPr>
                <w:rFonts w:hint="eastAsia" w:ascii="宋体" w:hAnsi="宋体"/>
                <w:sz w:val="24"/>
              </w:rPr>
              <w:t>电气控制电路的安装和PLC程序编写项目</w:t>
            </w:r>
            <w:r>
              <w:rPr>
                <w:rFonts w:hint="eastAsia" w:ascii="宋体" w:hAnsi="宋体"/>
                <w:sz w:val="24"/>
                <w:lang w:eastAsia="zh-CN"/>
              </w:rPr>
              <w:t>、</w:t>
            </w:r>
            <w:r>
              <w:rPr>
                <w:rFonts w:hint="eastAsia" w:ascii="宋体" w:hAnsi="宋体"/>
                <w:sz w:val="24"/>
              </w:rPr>
              <w:t>.机电设备安装与调试项目</w:t>
            </w:r>
            <w:r>
              <w:rPr>
                <w:rFonts w:hint="eastAsia" w:ascii="宋体" w:hAnsi="宋体"/>
                <w:sz w:val="24"/>
                <w:lang w:eastAsia="zh-CN"/>
              </w:rPr>
              <w:t>、</w:t>
            </w:r>
            <w:r>
              <w:rPr>
                <w:rFonts w:hint="eastAsia" w:ascii="宋体" w:hAnsi="宋体"/>
                <w:sz w:val="24"/>
              </w:rPr>
              <w:t>自动控制系统安装与调试项目</w:t>
            </w:r>
            <w:r>
              <w:rPr>
                <w:rFonts w:hint="eastAsia" w:ascii="宋体" w:hAnsi="宋体"/>
                <w:sz w:val="24"/>
                <w:lang w:eastAsia="zh-CN"/>
              </w:rPr>
              <w:t>、</w:t>
            </w:r>
            <w:r>
              <w:rPr>
                <w:rFonts w:hint="eastAsia" w:ascii="宋体" w:hAnsi="宋体"/>
                <w:sz w:val="24"/>
              </w:rPr>
              <w:t>.PLC工业通讯网络的安装及调试</w:t>
            </w:r>
          </w:p>
        </w:tc>
      </w:tr>
    </w:tbl>
    <w:p>
      <w:pPr>
        <w:widowControl w:val="0"/>
        <w:numPr>
          <w:ilvl w:val="0"/>
          <w:numId w:val="0"/>
        </w:numPr>
        <w:spacing w:line="400" w:lineRule="exact"/>
        <w:jc w:val="both"/>
        <w:rPr>
          <w:rFonts w:hint="eastAsia" w:ascii="宋体" w:hAnsi="宋体"/>
          <w:b/>
          <w:sz w:val="24"/>
        </w:rPr>
      </w:pPr>
    </w:p>
    <w:p>
      <w:pPr>
        <w:rPr>
          <w:rFonts w:hint="eastAsia" w:ascii="宋体" w:hAnsi="宋体"/>
          <w:szCs w:val="21"/>
        </w:rPr>
      </w:pPr>
    </w:p>
    <w:p>
      <w:pPr>
        <w:rPr>
          <w:rFonts w:ascii="宋体" w:hAnsi="宋体"/>
          <w:sz w:val="24"/>
        </w:rPr>
        <w:sectPr>
          <w:footerReference r:id="rId5" w:type="default"/>
          <w:pgSz w:w="11906" w:h="16838"/>
          <w:pgMar w:top="1440" w:right="1800" w:bottom="1440" w:left="1800" w:header="851" w:footer="992" w:gutter="0"/>
          <w:cols w:space="720" w:num="1"/>
          <w:docGrid w:type="lines" w:linePitch="312" w:charSpace="0"/>
        </w:sectPr>
      </w:pPr>
    </w:p>
    <w:p>
      <w:pPr>
        <w:spacing w:line="360" w:lineRule="auto"/>
        <w:jc w:val="center"/>
        <w:rPr>
          <w:rFonts w:hint="eastAsia" w:ascii="宋体" w:hAnsi="宋体"/>
          <w:b/>
          <w:sz w:val="24"/>
        </w:rPr>
      </w:pPr>
      <w:r>
        <w:rPr>
          <w:rFonts w:hint="eastAsia" w:ascii="宋体" w:hAnsi="宋体"/>
          <w:b/>
          <w:sz w:val="24"/>
        </w:rPr>
        <w:t>机电一体化实训室</w:t>
      </w:r>
      <w:bookmarkStart w:id="0" w:name="_GoBack"/>
      <w:bookmarkEnd w:id="0"/>
      <w:r>
        <w:rPr>
          <w:rFonts w:hint="eastAsia" w:ascii="宋体" w:hAnsi="宋体"/>
          <w:b/>
          <w:sz w:val="24"/>
        </w:rPr>
        <w:t>实训设备采购项目购置清单预算</w:t>
      </w:r>
    </w:p>
    <w:tbl>
      <w:tblPr>
        <w:tblStyle w:val="9"/>
        <w:tblW w:w="0" w:type="auto"/>
        <w:tblInd w:w="93" w:type="dxa"/>
        <w:tblLayout w:type="fixed"/>
        <w:tblCellMar>
          <w:top w:w="0" w:type="dxa"/>
          <w:left w:w="108" w:type="dxa"/>
          <w:bottom w:w="0" w:type="dxa"/>
          <w:right w:w="108" w:type="dxa"/>
        </w:tblCellMar>
      </w:tblPr>
      <w:tblGrid>
        <w:gridCol w:w="658"/>
        <w:gridCol w:w="1290"/>
        <w:gridCol w:w="5158"/>
        <w:gridCol w:w="806"/>
        <w:gridCol w:w="1128"/>
        <w:gridCol w:w="1451"/>
        <w:gridCol w:w="1451"/>
        <w:gridCol w:w="967"/>
      </w:tblGrid>
      <w:tr>
        <w:tblPrEx>
          <w:tblCellMar>
            <w:top w:w="0" w:type="dxa"/>
            <w:left w:w="108" w:type="dxa"/>
            <w:bottom w:w="0" w:type="dxa"/>
            <w:right w:w="108" w:type="dxa"/>
          </w:tblCellMar>
        </w:tblPrEx>
        <w:trPr>
          <w:trHeight w:val="737" w:hRule="atLeast"/>
        </w:trPr>
        <w:tc>
          <w:tcPr>
            <w:tcW w:w="658" w:type="dxa"/>
            <w:tcBorders>
              <w:top w:val="single" w:color="auto" w:sz="12" w:space="0"/>
              <w:left w:val="single" w:color="auto" w:sz="12" w:space="0"/>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序号</w:t>
            </w:r>
          </w:p>
        </w:tc>
        <w:tc>
          <w:tcPr>
            <w:tcW w:w="1290" w:type="dxa"/>
            <w:tcBorders>
              <w:top w:val="single" w:color="auto" w:sz="12" w:space="0"/>
              <w:left w:val="nil"/>
              <w:bottom w:val="single" w:color="auto" w:sz="4" w:space="0"/>
              <w:right w:val="single" w:color="000000"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设备名称</w:t>
            </w:r>
          </w:p>
        </w:tc>
        <w:tc>
          <w:tcPr>
            <w:tcW w:w="5158" w:type="dxa"/>
            <w:tcBorders>
              <w:top w:val="single" w:color="auto" w:sz="12" w:space="0"/>
              <w:left w:val="nil"/>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规格、型号（主要技术参数）</w:t>
            </w:r>
          </w:p>
        </w:tc>
        <w:tc>
          <w:tcPr>
            <w:tcW w:w="806" w:type="dxa"/>
            <w:tcBorders>
              <w:top w:val="single" w:color="auto" w:sz="12" w:space="0"/>
              <w:left w:val="nil"/>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数量</w:t>
            </w:r>
          </w:p>
        </w:tc>
        <w:tc>
          <w:tcPr>
            <w:tcW w:w="1128" w:type="dxa"/>
            <w:tcBorders>
              <w:top w:val="single" w:color="auto" w:sz="12" w:space="0"/>
              <w:left w:val="nil"/>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单价</w:t>
            </w:r>
          </w:p>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（元）</w:t>
            </w:r>
          </w:p>
        </w:tc>
        <w:tc>
          <w:tcPr>
            <w:tcW w:w="1451" w:type="dxa"/>
            <w:tcBorders>
              <w:top w:val="single" w:color="auto" w:sz="12" w:space="0"/>
              <w:left w:val="nil"/>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单价来源</w:t>
            </w:r>
          </w:p>
        </w:tc>
        <w:tc>
          <w:tcPr>
            <w:tcW w:w="1451" w:type="dxa"/>
            <w:tcBorders>
              <w:top w:val="single" w:color="auto" w:sz="12" w:space="0"/>
              <w:left w:val="nil"/>
              <w:bottom w:val="single" w:color="auto" w:sz="4" w:space="0"/>
              <w:right w:val="single" w:color="auto" w:sz="4"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金额</w:t>
            </w:r>
          </w:p>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（元）</w:t>
            </w:r>
          </w:p>
        </w:tc>
        <w:tc>
          <w:tcPr>
            <w:tcW w:w="967" w:type="dxa"/>
            <w:tcBorders>
              <w:top w:val="single" w:color="auto" w:sz="12" w:space="0"/>
              <w:left w:val="nil"/>
              <w:bottom w:val="single" w:color="auto" w:sz="4" w:space="0"/>
              <w:right w:val="single" w:color="auto" w:sz="12" w:space="0"/>
            </w:tcBorders>
            <w:shd w:val="clear" w:color="auto" w:fill="E0E0E0"/>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备注</w:t>
            </w:r>
          </w:p>
        </w:tc>
      </w:tr>
      <w:tr>
        <w:tblPrEx>
          <w:tblCellMar>
            <w:top w:w="0" w:type="dxa"/>
            <w:left w:w="108" w:type="dxa"/>
            <w:bottom w:w="0" w:type="dxa"/>
            <w:right w:w="108" w:type="dxa"/>
          </w:tblCellMar>
        </w:tblPrEx>
        <w:trPr>
          <w:trHeight w:val="720" w:hRule="atLeast"/>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29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NX1926（MCD）</w:t>
            </w:r>
          </w:p>
        </w:tc>
        <w:tc>
          <w:tcPr>
            <w:tcW w:w="515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附件</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eastAsia="zh-CN"/>
              </w:rPr>
              <w:t>0</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￥22,500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厂家报价</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4</w:t>
            </w:r>
            <w:r>
              <w:rPr>
                <w:rFonts w:hint="eastAsia" w:ascii="宋体" w:hAnsi="宋体" w:eastAsia="宋体" w:cs="宋体"/>
                <w:kern w:val="0"/>
                <w:sz w:val="21"/>
                <w:szCs w:val="21"/>
                <w:lang w:eastAsia="zh-CN"/>
              </w:rPr>
              <w:t>5,00</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lang w:eastAsia="zh-CN"/>
              </w:rPr>
              <w:t>0</w:t>
            </w:r>
          </w:p>
        </w:tc>
        <w:tc>
          <w:tcPr>
            <w:tcW w:w="967"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29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机电一体化仿真调试控制平台</w:t>
            </w:r>
          </w:p>
        </w:tc>
        <w:tc>
          <w:tcPr>
            <w:tcW w:w="515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附件</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2</w:t>
            </w:r>
            <w:r>
              <w:rPr>
                <w:rFonts w:hint="eastAsia" w:ascii="宋体" w:hAnsi="宋体" w:eastAsia="宋体" w:cs="宋体"/>
                <w:kern w:val="0"/>
                <w:sz w:val="21"/>
                <w:szCs w:val="21"/>
                <w:lang w:eastAsia="zh-CN"/>
              </w:rPr>
              <w:t>0</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23</w:t>
            </w:r>
            <w:r>
              <w:rPr>
                <w:rFonts w:hint="eastAsia" w:ascii="宋体" w:hAnsi="宋体" w:eastAsia="宋体" w:cs="宋体"/>
                <w:kern w:val="0"/>
                <w:sz w:val="21"/>
                <w:szCs w:val="21"/>
                <w:lang w:eastAsia="zh-CN"/>
              </w:rPr>
              <w:t>,500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厂家报价</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47</w:t>
            </w:r>
            <w:r>
              <w:rPr>
                <w:rFonts w:hint="eastAsia" w:ascii="宋体" w:hAnsi="宋体" w:eastAsia="宋体" w:cs="宋体"/>
                <w:kern w:val="0"/>
                <w:sz w:val="21"/>
                <w:szCs w:val="21"/>
                <w:lang w:eastAsia="zh-CN"/>
              </w:rPr>
              <w:t>,00</w:t>
            </w:r>
            <w:r>
              <w:rPr>
                <w:rFonts w:hint="eastAsia" w:ascii="宋体" w:hAnsi="宋体" w:eastAsia="宋体" w:cs="宋体"/>
                <w:kern w:val="0"/>
                <w:sz w:val="21"/>
                <w:szCs w:val="21"/>
                <w:lang w:val="en-US" w:eastAsia="zh-CN"/>
              </w:rPr>
              <w:t>0</w:t>
            </w:r>
            <w:r>
              <w:rPr>
                <w:rFonts w:hint="eastAsia" w:ascii="宋体" w:hAnsi="宋体" w:eastAsia="宋体" w:cs="宋体"/>
                <w:kern w:val="0"/>
                <w:sz w:val="21"/>
                <w:szCs w:val="21"/>
                <w:lang w:eastAsia="zh-CN"/>
              </w:rPr>
              <w:t>0</w:t>
            </w:r>
          </w:p>
        </w:tc>
        <w:tc>
          <w:tcPr>
            <w:tcW w:w="967"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29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桌面型传送带设备</w:t>
            </w:r>
          </w:p>
        </w:tc>
        <w:tc>
          <w:tcPr>
            <w:tcW w:w="515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附件</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￥6,800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厂家报价</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34</w:t>
            </w:r>
            <w:r>
              <w:rPr>
                <w:rFonts w:hint="eastAsia" w:ascii="宋体" w:hAnsi="宋体" w:eastAsia="宋体" w:cs="宋体"/>
                <w:kern w:val="0"/>
                <w:sz w:val="21"/>
                <w:szCs w:val="21"/>
                <w:lang w:eastAsia="zh-CN"/>
              </w:rPr>
              <w:t>,000</w:t>
            </w:r>
          </w:p>
        </w:tc>
        <w:tc>
          <w:tcPr>
            <w:tcW w:w="967"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29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桌面型冲压机</w:t>
            </w:r>
          </w:p>
        </w:tc>
        <w:tc>
          <w:tcPr>
            <w:tcW w:w="515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附件</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5</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￥9,200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厂家报价</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w:t>
            </w:r>
            <w:r>
              <w:rPr>
                <w:rFonts w:hint="eastAsia" w:ascii="宋体" w:hAnsi="宋体" w:eastAsia="宋体" w:cs="宋体"/>
                <w:kern w:val="0"/>
                <w:sz w:val="21"/>
                <w:szCs w:val="21"/>
                <w:lang w:val="en-US" w:eastAsia="zh-CN"/>
              </w:rPr>
              <w:t>460</w:t>
            </w:r>
            <w:r>
              <w:rPr>
                <w:rFonts w:hint="eastAsia" w:ascii="宋体" w:hAnsi="宋体" w:eastAsia="宋体" w:cs="宋体"/>
                <w:kern w:val="0"/>
                <w:sz w:val="21"/>
                <w:szCs w:val="21"/>
                <w:lang w:eastAsia="zh-CN"/>
              </w:rPr>
              <w:t>,00</w:t>
            </w:r>
          </w:p>
        </w:tc>
        <w:tc>
          <w:tcPr>
            <w:tcW w:w="967"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90" w:hRule="atLeast"/>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5</w:t>
            </w:r>
          </w:p>
        </w:tc>
        <w:tc>
          <w:tcPr>
            <w:tcW w:w="129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全自动倒角机</w:t>
            </w:r>
          </w:p>
        </w:tc>
        <w:tc>
          <w:tcPr>
            <w:tcW w:w="515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附件</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1</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￥52,800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厂家报价</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￥52,800</w:t>
            </w:r>
          </w:p>
        </w:tc>
        <w:tc>
          <w:tcPr>
            <w:tcW w:w="967"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6</w:t>
            </w:r>
          </w:p>
        </w:tc>
        <w:tc>
          <w:tcPr>
            <w:tcW w:w="1290" w:type="dxa"/>
            <w:tcBorders>
              <w:top w:val="single" w:color="auto" w:sz="4" w:space="0"/>
              <w:left w:val="nil"/>
              <w:bottom w:val="single" w:color="auto" w:sz="4"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全自动彩球机</w:t>
            </w:r>
          </w:p>
        </w:tc>
        <w:tc>
          <w:tcPr>
            <w:tcW w:w="515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附件</w:t>
            </w:r>
          </w:p>
        </w:tc>
        <w:tc>
          <w:tcPr>
            <w:tcW w:w="806"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1</w:t>
            </w:r>
          </w:p>
        </w:tc>
        <w:tc>
          <w:tcPr>
            <w:tcW w:w="1128"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￥55,500</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厂家报价</w:t>
            </w:r>
          </w:p>
        </w:tc>
        <w:tc>
          <w:tcPr>
            <w:tcW w:w="1451" w:type="dxa"/>
            <w:tcBorders>
              <w:top w:val="single" w:color="auto" w:sz="4" w:space="0"/>
              <w:left w:val="nil"/>
              <w:bottom w:val="single" w:color="auto" w:sz="4"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eastAsia="zh-CN"/>
              </w:rPr>
              <w:t>￥55,500</w:t>
            </w:r>
          </w:p>
        </w:tc>
        <w:tc>
          <w:tcPr>
            <w:tcW w:w="967" w:type="dxa"/>
            <w:tcBorders>
              <w:top w:val="single" w:color="auto" w:sz="4" w:space="0"/>
              <w:left w:val="nil"/>
              <w:bottom w:val="single" w:color="auto" w:sz="4"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p>
        </w:tc>
      </w:tr>
      <w:tr>
        <w:tblPrEx>
          <w:tblCellMar>
            <w:top w:w="0" w:type="dxa"/>
            <w:left w:w="108" w:type="dxa"/>
            <w:bottom w:w="0" w:type="dxa"/>
            <w:right w:w="108" w:type="dxa"/>
          </w:tblCellMar>
        </w:tblPrEx>
        <w:trPr>
          <w:trHeight w:val="737" w:hRule="atLeast"/>
        </w:trPr>
        <w:tc>
          <w:tcPr>
            <w:tcW w:w="658" w:type="dxa"/>
            <w:tcBorders>
              <w:top w:val="single" w:color="auto" w:sz="4" w:space="0"/>
              <w:left w:val="single" w:color="auto" w:sz="12" w:space="0"/>
              <w:bottom w:val="single" w:color="auto" w:sz="12"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p>
        </w:tc>
        <w:tc>
          <w:tcPr>
            <w:tcW w:w="1290" w:type="dxa"/>
            <w:tcBorders>
              <w:top w:val="single" w:color="auto" w:sz="4" w:space="0"/>
              <w:left w:val="nil"/>
              <w:bottom w:val="single" w:color="auto" w:sz="12" w:space="0"/>
              <w:right w:val="single" w:color="000000"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p>
        </w:tc>
        <w:tc>
          <w:tcPr>
            <w:tcW w:w="5158" w:type="dxa"/>
            <w:tcBorders>
              <w:top w:val="single" w:color="auto" w:sz="4" w:space="0"/>
              <w:left w:val="nil"/>
              <w:bottom w:val="single" w:color="auto" w:sz="12"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p>
        </w:tc>
        <w:tc>
          <w:tcPr>
            <w:tcW w:w="806" w:type="dxa"/>
            <w:tcBorders>
              <w:top w:val="single" w:color="auto" w:sz="4" w:space="0"/>
              <w:left w:val="nil"/>
              <w:bottom w:val="single" w:color="auto" w:sz="12"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p>
        </w:tc>
        <w:tc>
          <w:tcPr>
            <w:tcW w:w="1128" w:type="dxa"/>
            <w:tcBorders>
              <w:top w:val="single" w:color="auto" w:sz="4" w:space="0"/>
              <w:left w:val="nil"/>
              <w:bottom w:val="single" w:color="auto" w:sz="12"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p>
        </w:tc>
        <w:tc>
          <w:tcPr>
            <w:tcW w:w="1451" w:type="dxa"/>
            <w:tcBorders>
              <w:top w:val="single" w:color="auto" w:sz="4" w:space="0"/>
              <w:left w:val="nil"/>
              <w:bottom w:val="single" w:color="auto" w:sz="12"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rPr>
              <w:t>合计</w:t>
            </w:r>
          </w:p>
        </w:tc>
        <w:tc>
          <w:tcPr>
            <w:tcW w:w="1451" w:type="dxa"/>
            <w:tcBorders>
              <w:top w:val="single" w:color="auto" w:sz="4" w:space="0"/>
              <w:left w:val="nil"/>
              <w:bottom w:val="single" w:color="auto" w:sz="12" w:space="0"/>
              <w:right w:val="single" w:color="auto" w:sz="4"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106.23</w:t>
            </w:r>
            <w:r>
              <w:rPr>
                <w:rFonts w:hint="eastAsia" w:ascii="宋体" w:hAnsi="宋体" w:eastAsia="宋体" w:cs="宋体"/>
                <w:kern w:val="0"/>
                <w:sz w:val="21"/>
                <w:szCs w:val="21"/>
              </w:rPr>
              <w:t>万</w:t>
            </w:r>
          </w:p>
        </w:tc>
        <w:tc>
          <w:tcPr>
            <w:tcW w:w="967" w:type="dxa"/>
            <w:tcBorders>
              <w:top w:val="single" w:color="auto" w:sz="4" w:space="0"/>
              <w:left w:val="nil"/>
              <w:bottom w:val="single" w:color="auto" w:sz="12" w:space="0"/>
              <w:right w:val="single" w:color="auto" w:sz="12" w:space="0"/>
            </w:tcBorders>
            <w:noWrap w:val="0"/>
            <w:vAlign w:val="center"/>
          </w:tcPr>
          <w:p>
            <w:pPr>
              <w:widowControl/>
              <w:spacing w:line="240" w:lineRule="auto"/>
              <w:ind w:firstLine="0" w:firstLineChars="0"/>
              <w:jc w:val="center"/>
              <w:rPr>
                <w:rFonts w:hint="eastAsia" w:ascii="宋体" w:hAnsi="宋体" w:eastAsia="宋体" w:cs="宋体"/>
                <w:kern w:val="0"/>
                <w:sz w:val="21"/>
                <w:szCs w:val="21"/>
              </w:rPr>
            </w:pPr>
          </w:p>
        </w:tc>
      </w:tr>
    </w:tbl>
    <w:p>
      <w:pPr>
        <w:tabs>
          <w:tab w:val="left" w:pos="9555"/>
        </w:tabs>
        <w:rPr>
          <w:rFonts w:hint="eastAsia" w:ascii="宋体" w:hAnsi="宋体"/>
          <w:color w:val="FF0000"/>
          <w:sz w:val="24"/>
        </w:rPr>
      </w:pPr>
    </w:p>
    <w:p>
      <w:pPr>
        <w:tabs>
          <w:tab w:val="left" w:pos="9555"/>
        </w:tabs>
        <w:rPr>
          <w:rFonts w:hint="eastAsia" w:ascii="宋体" w:hAnsi="宋体"/>
          <w:color w:val="FF0000"/>
          <w:sz w:val="24"/>
        </w:rPr>
      </w:pPr>
    </w:p>
    <w:p>
      <w:pPr>
        <w:spacing w:line="360" w:lineRule="auto"/>
        <w:ind w:firstLine="10360" w:firstLineChars="4300"/>
        <w:rPr>
          <w:rFonts w:hint="eastAsia" w:ascii="宋体" w:hAnsi="宋体"/>
          <w:b/>
          <w:sz w:val="24"/>
        </w:rPr>
      </w:pPr>
    </w:p>
    <w:p>
      <w:pPr>
        <w:rPr>
          <w:rFonts w:hint="eastAsia"/>
          <w:b/>
          <w:color w:val="FF0000"/>
          <w:sz w:val="24"/>
        </w:rPr>
        <w:sectPr>
          <w:pgSz w:w="16838" w:h="11906" w:orient="landscape"/>
          <w:pgMar w:top="1247" w:right="1440" w:bottom="1247" w:left="1440" w:header="851" w:footer="992" w:gutter="0"/>
          <w:cols w:space="720" w:num="1"/>
          <w:docGrid w:type="lines" w:linePitch="312" w:charSpace="0"/>
        </w:sectPr>
      </w:pPr>
    </w:p>
    <w:tbl>
      <w:tblPr>
        <w:tblStyle w:val="10"/>
        <w:tblpPr w:leftFromText="180" w:rightFromText="180" w:vertAnchor="text" w:horzAnchor="margin" w:tblpXSpec="center" w:tblpY="-537"/>
        <w:tblOverlap w:val="never"/>
        <w:tblW w:w="107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668"/>
        <w:gridCol w:w="8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601" w:type="dxa"/>
            <w:noWrap w:val="0"/>
            <w:vAlign w:val="center"/>
          </w:tcPr>
          <w:p>
            <w:pPr>
              <w:widowControl/>
              <w:adjustRightInd w:val="0"/>
              <w:snapToGrid w:val="0"/>
              <w:spacing w:before="100" w:beforeAutospacing="1" w:after="100" w:afterAutospacing="1" w:line="240" w:lineRule="auto"/>
              <w:ind w:firstLine="0" w:firstLineChars="0"/>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序号</w:t>
            </w:r>
          </w:p>
        </w:tc>
        <w:tc>
          <w:tcPr>
            <w:tcW w:w="1668" w:type="dxa"/>
            <w:noWrap w:val="0"/>
            <w:vAlign w:val="center"/>
          </w:tcPr>
          <w:p>
            <w:pPr>
              <w:widowControl/>
              <w:adjustRightInd w:val="0"/>
              <w:snapToGrid w:val="0"/>
              <w:spacing w:before="100" w:beforeAutospacing="1" w:after="100" w:afterAutospacing="1" w:line="240" w:lineRule="auto"/>
              <w:ind w:firstLine="0" w:firstLineChars="0"/>
              <w:jc w:val="center"/>
              <w:rPr>
                <w:rFonts w:ascii="Times New Roman" w:hAnsi="Times New Roman" w:eastAsia="宋体" w:cs="Times New Roman"/>
                <w:b/>
                <w:sz w:val="24"/>
                <w:szCs w:val="24"/>
              </w:rPr>
            </w:pPr>
            <w:r>
              <w:rPr>
                <w:rFonts w:hint="eastAsia" w:ascii="Times New Roman" w:hAnsi="Times New Roman" w:eastAsia="宋体" w:cs="Times New Roman"/>
                <w:b/>
                <w:sz w:val="24"/>
                <w:szCs w:val="24"/>
              </w:rPr>
              <w:t>名称</w:t>
            </w:r>
          </w:p>
        </w:tc>
        <w:tc>
          <w:tcPr>
            <w:tcW w:w="8465" w:type="dxa"/>
            <w:noWrap w:val="0"/>
            <w:vAlign w:val="center"/>
          </w:tcPr>
          <w:p>
            <w:pPr>
              <w:spacing w:line="240" w:lineRule="auto"/>
              <w:ind w:firstLine="0" w:firstLineChars="0"/>
              <w:jc w:val="center"/>
              <w:rPr>
                <w:rFonts w:ascii="宋体" w:hAnsi="宋体" w:eastAsia="宋体" w:cs="Lucida Sans Unicode"/>
                <w:b/>
                <w:sz w:val="21"/>
                <w:szCs w:val="21"/>
              </w:rPr>
            </w:pPr>
            <w:r>
              <w:rPr>
                <w:rFonts w:hint="eastAsia" w:ascii="宋体" w:hAnsi="宋体" w:eastAsia="宋体" w:cs="Lucida Sans Unicode"/>
                <w:b/>
                <w:sz w:val="21"/>
                <w:szCs w:val="21"/>
              </w:rPr>
              <w:t>具体参数及功能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7" w:hRule="atLeast"/>
        </w:trPr>
        <w:tc>
          <w:tcPr>
            <w:tcW w:w="601" w:type="dxa"/>
            <w:noWrap w:val="0"/>
            <w:vAlign w:val="top"/>
          </w:tcPr>
          <w:p>
            <w:pPr>
              <w:widowControl/>
              <w:adjustRightInd w:val="0"/>
              <w:snapToGrid w:val="0"/>
              <w:spacing w:before="100" w:beforeAutospacing="1" w:after="100" w:afterAutospacing="1" w:line="240" w:lineRule="auto"/>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1</w:t>
            </w:r>
          </w:p>
        </w:tc>
        <w:tc>
          <w:tcPr>
            <w:tcW w:w="1668" w:type="dxa"/>
            <w:noWrap w:val="0"/>
            <w:vAlign w:val="top"/>
          </w:tcPr>
          <w:p>
            <w:pPr>
              <w:widowControl/>
              <w:adjustRightInd w:val="0"/>
              <w:snapToGrid w:val="0"/>
              <w:spacing w:before="100" w:beforeAutospacing="1" w:after="100" w:afterAutospacing="1" w:line="240" w:lineRule="auto"/>
              <w:ind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机电一体化创新设计与仿真调试系统</w:t>
            </w:r>
          </w:p>
        </w:tc>
        <w:tc>
          <w:tcPr>
            <w:tcW w:w="8465" w:type="dxa"/>
            <w:noWrap w:val="0"/>
            <w:vAlign w:val="top"/>
          </w:tcPr>
          <w:p>
            <w:pPr>
              <w:spacing w:line="240" w:lineRule="auto"/>
              <w:ind w:firstLine="0" w:firstLineChars="0"/>
              <w:jc w:val="left"/>
              <w:rPr>
                <w:rFonts w:ascii="宋体" w:hAnsi="宋体" w:eastAsia="宋体" w:cs="Lucida Sans Unicode"/>
                <w:sz w:val="21"/>
                <w:szCs w:val="21"/>
              </w:rPr>
            </w:pPr>
            <w:r>
              <w:rPr>
                <w:rFonts w:hint="eastAsia" w:ascii="宋体" w:hAnsi="宋体" w:eastAsia="宋体" w:cs="Lucida Sans Unicode"/>
                <w:b/>
                <w:sz w:val="21"/>
                <w:szCs w:val="21"/>
              </w:rPr>
              <w:t>MCD（机电一体化创新设计与仿真调试系统）</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1.包含模块：</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1.1三维实体建模功能；</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1.2装配设计功能；</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1.3工程图绘制功能；</w:t>
            </w:r>
          </w:p>
          <w:p>
            <w:pPr>
              <w:widowControl/>
              <w:spacing w:line="240" w:lineRule="auto"/>
              <w:ind w:firstLine="0" w:firstLineChars="0"/>
              <w:rPr>
                <w:rFonts w:ascii="宋体" w:hAnsi="宋体" w:eastAsia="宋体" w:cs="宋体"/>
                <w:sz w:val="21"/>
                <w:szCs w:val="18"/>
              </w:rPr>
            </w:pPr>
            <w:r>
              <w:rPr>
                <w:rFonts w:ascii="宋体" w:hAnsi="宋体" w:eastAsia="宋体" w:cs="宋体"/>
                <w:sz w:val="21"/>
                <w:szCs w:val="18"/>
              </w:rPr>
              <w:t>1.4</w:t>
            </w:r>
            <w:r>
              <w:rPr>
                <w:rFonts w:hint="eastAsia" w:ascii="宋体" w:hAnsi="宋体" w:eastAsia="宋体" w:cs="宋体"/>
                <w:sz w:val="21"/>
                <w:szCs w:val="18"/>
              </w:rPr>
              <w:t>数控多轴加工与模拟仿真功能；</w:t>
            </w:r>
          </w:p>
          <w:p>
            <w:pPr>
              <w:widowControl/>
              <w:spacing w:line="240" w:lineRule="auto"/>
              <w:ind w:firstLine="0" w:firstLineChars="0"/>
              <w:rPr>
                <w:rFonts w:ascii="宋体" w:hAnsi="宋体" w:eastAsia="宋体" w:cs="宋体"/>
                <w:sz w:val="21"/>
                <w:szCs w:val="18"/>
              </w:rPr>
            </w:pPr>
            <w:r>
              <w:rPr>
                <w:rFonts w:ascii="宋体" w:hAnsi="宋体" w:eastAsia="宋体" w:cs="宋体"/>
                <w:sz w:val="21"/>
                <w:szCs w:val="18"/>
              </w:rPr>
              <w:t>1.5</w:t>
            </w:r>
            <w:r>
              <w:rPr>
                <w:rFonts w:hint="eastAsia" w:ascii="宋体" w:hAnsi="宋体" w:eastAsia="宋体" w:cs="宋体"/>
                <w:sz w:val="21"/>
                <w:szCs w:val="18"/>
              </w:rPr>
              <w:t>高级仿真功能；</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1.6模具设计能力；</w:t>
            </w:r>
          </w:p>
          <w:p>
            <w:pPr>
              <w:widowControl/>
              <w:spacing w:line="240" w:lineRule="auto"/>
              <w:ind w:firstLine="0" w:firstLineChars="0"/>
              <w:rPr>
                <w:rFonts w:ascii="宋体" w:hAnsi="宋体" w:eastAsia="宋体" w:cs="宋体"/>
                <w:sz w:val="21"/>
                <w:szCs w:val="18"/>
              </w:rPr>
            </w:pPr>
            <w:r>
              <w:rPr>
                <w:rFonts w:ascii="宋体" w:hAnsi="宋体" w:eastAsia="宋体" w:cs="宋体"/>
                <w:sz w:val="21"/>
                <w:szCs w:val="18"/>
              </w:rPr>
              <w:t>1.7</w:t>
            </w:r>
            <w:r>
              <w:rPr>
                <w:rFonts w:hint="eastAsia" w:ascii="宋体" w:hAnsi="宋体" w:eastAsia="宋体" w:cs="宋体"/>
                <w:sz w:val="21"/>
                <w:szCs w:val="18"/>
              </w:rPr>
              <w:t>通用数据交换功能；</w:t>
            </w:r>
          </w:p>
          <w:p>
            <w:pPr>
              <w:widowControl/>
              <w:spacing w:line="240" w:lineRule="auto"/>
              <w:ind w:firstLine="0" w:firstLineChars="0"/>
              <w:rPr>
                <w:rFonts w:ascii="宋体" w:hAnsi="宋体" w:eastAsia="宋体" w:cs="宋体"/>
                <w:sz w:val="21"/>
                <w:szCs w:val="18"/>
              </w:rPr>
            </w:pPr>
            <w:r>
              <w:rPr>
                <w:rFonts w:ascii="宋体" w:hAnsi="宋体" w:eastAsia="宋体" w:cs="宋体"/>
                <w:sz w:val="21"/>
                <w:szCs w:val="18"/>
              </w:rPr>
              <w:t>1.8</w:t>
            </w:r>
            <w:r>
              <w:rPr>
                <w:rFonts w:hint="eastAsia" w:ascii="宋体" w:hAnsi="宋体" w:eastAsia="宋体" w:cs="宋体"/>
                <w:sz w:val="21"/>
                <w:szCs w:val="18"/>
              </w:rPr>
              <w:t>机电一体化概念设计；</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2</w:t>
            </w:r>
            <w:r>
              <w:rPr>
                <w:rFonts w:ascii="宋体" w:hAnsi="宋体" w:eastAsia="宋体" w:cs="宋体"/>
                <w:sz w:val="21"/>
                <w:szCs w:val="18"/>
              </w:rPr>
              <w:t xml:space="preserve"> </w:t>
            </w:r>
            <w:r>
              <w:rPr>
                <w:rFonts w:hint="eastAsia" w:ascii="宋体" w:hAnsi="宋体" w:eastAsia="宋体" w:cs="宋体"/>
                <w:sz w:val="21"/>
                <w:szCs w:val="18"/>
              </w:rPr>
              <w:t>CAD\CAM\CAE一体化软件；</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2.1具备CAD\CAM\CAE 数据管理功能；</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2.2具备同步建模技术；</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w:t>
            </w:r>
            <w:r>
              <w:rPr>
                <w:rFonts w:ascii="宋体" w:hAnsi="宋体" w:eastAsia="宋体" w:cs="宋体"/>
                <w:sz w:val="21"/>
                <w:szCs w:val="18"/>
              </w:rPr>
              <w:t>2.3</w:t>
            </w:r>
            <w:r>
              <w:rPr>
                <w:rFonts w:hint="eastAsia" w:ascii="宋体" w:hAnsi="宋体" w:eastAsia="宋体" w:cs="宋体"/>
                <w:sz w:val="21"/>
                <w:szCs w:val="18"/>
              </w:rPr>
              <w:t>具备工业造型设计、产品设计、逆向工程、注塑模具设计、冲压模具设计、三轴机械加工编程、五轴机械加工编程、车削编程、车复合加工编程、机构运动模拟仿真、机电一体化设计等三维CAD/CAM集成一体化软件。</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3在线数据库，客户有权限对当前的部件及新的部件进行更新；</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4设计仿真 ，用户能够在一个易用、集成化产品中捕捉实体部件的结构行为；</w:t>
            </w:r>
          </w:p>
          <w:p>
            <w:pPr>
              <w:widowControl/>
              <w:spacing w:line="240" w:lineRule="auto"/>
              <w:ind w:firstLine="0" w:firstLineChars="0"/>
              <w:rPr>
                <w:rFonts w:ascii="宋体" w:hAnsi="宋体" w:eastAsia="宋体" w:cs="宋体"/>
                <w:sz w:val="21"/>
                <w:szCs w:val="18"/>
              </w:rPr>
            </w:pPr>
            <w:r>
              <w:rPr>
                <w:rFonts w:ascii="宋体" w:hAnsi="宋体" w:eastAsia="宋体" w:cs="宋体"/>
                <w:sz w:val="21"/>
                <w:szCs w:val="18"/>
              </w:rPr>
              <w:t xml:space="preserve">5 </w:t>
            </w:r>
            <w:r>
              <w:rPr>
                <w:rFonts w:hint="eastAsia" w:ascii="宋体" w:hAnsi="宋体" w:eastAsia="宋体" w:cs="宋体"/>
                <w:sz w:val="21"/>
                <w:szCs w:val="18"/>
              </w:rPr>
              <w:t>ECAD软件包界面 ECAD系统交换界面，提供ECAD系统与NX连接交互；</w:t>
            </w:r>
          </w:p>
          <w:p>
            <w:pPr>
              <w:widowControl/>
              <w:spacing w:line="240" w:lineRule="auto"/>
              <w:ind w:firstLine="0" w:firstLineChars="0"/>
              <w:rPr>
                <w:rFonts w:ascii="宋体" w:hAnsi="宋体" w:eastAsia="宋体" w:cs="宋体"/>
                <w:sz w:val="21"/>
                <w:szCs w:val="18"/>
              </w:rPr>
            </w:pPr>
            <w:r>
              <w:rPr>
                <w:rFonts w:ascii="宋体" w:hAnsi="宋体" w:eastAsia="宋体" w:cs="宋体"/>
                <w:sz w:val="21"/>
                <w:szCs w:val="18"/>
              </w:rPr>
              <w:t>6</w:t>
            </w:r>
            <w:r>
              <w:rPr>
                <w:rFonts w:hint="eastAsia" w:ascii="宋体" w:hAnsi="宋体" w:eastAsia="宋体" w:cs="宋体"/>
                <w:sz w:val="21"/>
                <w:szCs w:val="18"/>
              </w:rPr>
              <w:t>示意图  2D的示意图模块，允许用户对设备标识图进行排布，允许定义设备间的连接关系；</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7入口模块，该模块为软件的其他各模块运行提供了底层的统一数据库支持和一个窗口化的图形交互环境，执行包括打开、创建、存储模型、屏幕布局、视图定义、模型显示、消隐、着色、放大、旋转、模型漫游、图层管理、绘图输出、绘图机队列管理、模块使用权浮动管理等关键功能；</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8工程图   工程制图模块使任何设计师、工程师或绘图员都可从三维实体模型得到完全双向相关的二维工程图</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9产品制造信息  用户可以用产品合制造信息（PMI）工具来把标注分成与模型的一个特定取向相关的多个信息集，同时方便3D 标注的创建和放置</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10多工位级进模向导  通过级进模设计功能的过程自动化，能够帮助大量的客户实现更大的规模经济。级进模向导的用户界面合并了行业最佳实践，引导用户完成构建级进模所需要的工作</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11实体建模 实体建模模块将基于约束的特征造型功能和显式的直接几何造型功能无缝地集成一体，提供业界最强大的复合建模功能，使用户可充分利用集成在先进的参数化特征造型环境中的传统实体、曲面和线架功能。该模块提供用于快速有效地进行概念设计的变量化草图工具、尺寸驱动编辑和用于一般建模和编辑的工具，使用户既可以进行参数化建模又可以方便地用非参数方法生成二维、三维线架模型，扫掠和旋转实体以及进行布尔运算；也可以部分参数化或将非参数化模型后参数化，方便地生成复杂机械零件的实体模型</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12特征建模 特征建模模块用工程特征来定义设计信息，在实体建模模块的基础上提高用户设计意图表达的能力。该模块支持标准设计特征的生成和编辑，包括各种孔、键槽、凹腔、方形凸垫、圆柱凸台以及各种圆柱、方块、圆锥、球体、管道、杆、倒圆、倒角等，同时也包括抽空实体模型、产生薄壁实体的能力；</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13基本自由曲面建模 自由曲面建模模块独创地把实体和曲面建模技术融合在一组强大的工具中，提供生成、编辑和评估复杂曲面的强大功能，可以方便地设计如飞机、汽车、电视机及其他工业造型设计产品上的复杂自由曲面形状；</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14焊接助手 用于通过熔焊、机械连接和固态连接来对材料接合进行建模。这包括端接焊、坡口焊、填角焊、塞焊、点焊、焊缝、焊带、焊块以及铆钉。提供关于焊接和连接的信息，以帮助对已装配产品进行有限元分析</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15钣金工程  冲模工程向导包装在一个类似向导的环境之中，为型面设计提供专用工具；</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16</w:t>
            </w:r>
            <w:r>
              <w:rPr>
                <w:rFonts w:ascii="宋体" w:hAnsi="宋体" w:eastAsia="宋体" w:cs="宋体"/>
                <w:sz w:val="21"/>
                <w:szCs w:val="18"/>
              </w:rPr>
              <w:t xml:space="preserve"> </w:t>
            </w:r>
            <w:r>
              <w:rPr>
                <w:rFonts w:hint="eastAsia" w:ascii="宋体" w:hAnsi="宋体" w:eastAsia="宋体" w:cs="宋体"/>
                <w:sz w:val="21"/>
                <w:szCs w:val="18"/>
              </w:rPr>
              <w:t>渲染器 提供高级的渲染工具，包括质量等级、视角渲染、装配渲染、阴影、光能等渲染工具；</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17工业造型自由曲面设计 工业设计曲面模块扩展了自由曲面模块的曲面设计功能，提供工业设计所需的自由曲面造型和控制功能，具备各种不同类型的曲面实时动态操纵和反馈能力。该模块是产品创意设计人员进行概念设计的有力工具。该模块与其他模块完全集成，使产品工业设计和结构设计无逢集成；</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18可视化工业造型 高级的可视化系统，提供实时的几何图形工具，动态分布和实时控制图像映射，材料及斑马线；</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19工业造型分析 模块提供曲面质量评估的能力，断面分析工具显示曲面质量连续性和非连续性的可视化指向。提供重要的流体力学及美学方面的工具；</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20知识熔接编辑器 基于规则建模（Rules Based Modeling）和基于知识工程（Knowledge Based Engineering）的软件开发工具包；</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 xml:space="preserve">21知识熔接共享 </w:t>
            </w:r>
            <w:r>
              <w:rPr>
                <w:rFonts w:ascii="宋体" w:hAnsi="宋体" w:eastAsia="宋体" w:cs="宋体"/>
                <w:sz w:val="21"/>
                <w:szCs w:val="18"/>
              </w:rPr>
              <w:t xml:space="preserve"> </w:t>
            </w:r>
            <w:r>
              <w:rPr>
                <w:rFonts w:hint="eastAsia" w:ascii="宋体" w:hAnsi="宋体" w:eastAsia="宋体" w:cs="宋体"/>
                <w:sz w:val="21"/>
                <w:szCs w:val="18"/>
              </w:rPr>
              <w:t>允许用户利用模块创建的不同工程参数的零件。用户可利用知识重用零件，从而达到可以共享和重用知识内容；</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 xml:space="preserve">22塑胶模具设计向导 </w:t>
            </w:r>
            <w:r>
              <w:rPr>
                <w:rFonts w:ascii="宋体" w:hAnsi="宋体" w:eastAsia="宋体" w:cs="宋体"/>
                <w:sz w:val="21"/>
                <w:szCs w:val="18"/>
              </w:rPr>
              <w:t xml:space="preserve"> </w:t>
            </w:r>
            <w:r>
              <w:rPr>
                <w:rFonts w:hint="eastAsia" w:ascii="宋体" w:hAnsi="宋体" w:eastAsia="宋体" w:cs="宋体"/>
                <w:sz w:val="21"/>
                <w:szCs w:val="18"/>
              </w:rPr>
              <w:t>提供用户和潜在客户一套高度自动化和全相关的应用软件。利用这套软件，用户能够显著地减少注塑模设计的时间，提高设计效率；</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 xml:space="preserve">23装配 </w:t>
            </w:r>
            <w:r>
              <w:rPr>
                <w:rFonts w:ascii="宋体" w:hAnsi="宋体" w:eastAsia="宋体" w:cs="宋体"/>
                <w:sz w:val="21"/>
                <w:szCs w:val="18"/>
              </w:rPr>
              <w:t xml:space="preserve"> </w:t>
            </w:r>
            <w:r>
              <w:rPr>
                <w:rFonts w:hint="eastAsia" w:ascii="宋体" w:hAnsi="宋体" w:eastAsia="宋体" w:cs="宋体"/>
                <w:sz w:val="21"/>
                <w:szCs w:val="18"/>
              </w:rPr>
              <w:t>基本的装配模块，每个产品包中都包含此功能</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24高级装配</w:t>
            </w:r>
            <w:r>
              <w:rPr>
                <w:rFonts w:ascii="宋体" w:hAnsi="宋体" w:eastAsia="宋体" w:cs="宋体"/>
                <w:sz w:val="21"/>
                <w:szCs w:val="18"/>
              </w:rPr>
              <w:t xml:space="preserve"> </w:t>
            </w:r>
            <w:r>
              <w:rPr>
                <w:rFonts w:hint="eastAsia" w:ascii="宋体" w:hAnsi="宋体" w:eastAsia="宋体" w:cs="宋体"/>
                <w:sz w:val="21"/>
                <w:szCs w:val="18"/>
              </w:rPr>
              <w:t>高级装配模块为装配建模模块添加针对产品级大装配设计的特殊功能，包括允许用户灵活过滤装配结构的数据调用控制、高速大装配着色和大装配干涉检查功能。该模块管理、共享和检查用于确定复杂产品布局的数字模型，完成全数字化的电子样机装配。用它提供的各种工具，可提高用户对整个产品、指定的子系统或子部件进行可视化和装配分析的效率。利用其特有的模型表示方式可以对特大型装配快速进行干涉检查、着色和消隐。已定义的各种干涉检查工况可以储存起来多次使用，并可选择以批处理的方式运行。模块还可提供软、硬干涉的精确报告</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 xml:space="preserve">25用户自定义特征 </w:t>
            </w:r>
            <w:r>
              <w:rPr>
                <w:rFonts w:ascii="宋体" w:hAnsi="宋体" w:eastAsia="宋体" w:cs="宋体"/>
                <w:sz w:val="21"/>
                <w:szCs w:val="18"/>
              </w:rPr>
              <w:t xml:space="preserve"> </w:t>
            </w:r>
            <w:r>
              <w:rPr>
                <w:rFonts w:hint="eastAsia" w:ascii="宋体" w:hAnsi="宋体" w:eastAsia="宋体" w:cs="宋体"/>
                <w:sz w:val="21"/>
                <w:szCs w:val="18"/>
              </w:rPr>
              <w:t>用户自定义特征模块提供交互式方法来定义和存储基于用户自定义特征（UDF）概念、便于调用和编辑的零件族，形成用户专有的UDF库，提高用户设计建模效率。该模块包括从已生成的参数化实体模型中提取参数、定义特征变量、建立参数间相关关系、设置变量缺省值、定义代表该UDF的图标菜单的全部工具</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26云点控制  利用该模块，可以对复杂系统进行参数化装配建模，几乎能够自动传播每个工程过程中的变更，包括概念设计、可制造性设计以及“在制品”制造。利用该产品，能够识别驱动产品设计的关键设计变量，然后在一个关联的控制结构中捕捉这些变量</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27运动仿真 该产品可为零件和装配提供的一个集成、关联、直观的运动仿真前/后处理器，并集成解算器。可用的运动对象包括约束、弹簧、阻尼器、运动驱动、力、扭矩和衬套</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28强度向导；</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29车削加工</w:t>
            </w:r>
            <w:r>
              <w:rPr>
                <w:rFonts w:ascii="宋体" w:hAnsi="宋体" w:eastAsia="宋体" w:cs="宋体"/>
                <w:sz w:val="21"/>
                <w:szCs w:val="18"/>
              </w:rPr>
              <w:t xml:space="preserve"> </w:t>
            </w:r>
            <w:r>
              <w:rPr>
                <w:rFonts w:hint="eastAsia" w:ascii="宋体" w:hAnsi="宋体" w:eastAsia="宋体" w:cs="宋体"/>
                <w:sz w:val="21"/>
                <w:szCs w:val="18"/>
              </w:rPr>
              <w:t>车削模块中刀具路径和零件几何模型完全相关，刀具路径能随几何模型的改变而自动更新，并提供高质量旋转体零件加工所需的全部功能。有粗车、多次走刀精车、车退刀槽、车螺纹和钻中心孔等功能；</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30后置处理器 将刀具路径执行计算，生成可以用于各种机床加工的NC代码；</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31后置处理制作器  加工后置处理模块使用户可方便地建立自己的加工后置处理程序；</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32库访问界面</w:t>
            </w:r>
            <w:r>
              <w:rPr>
                <w:rFonts w:ascii="宋体" w:hAnsi="宋体" w:eastAsia="宋体" w:cs="宋体"/>
                <w:sz w:val="21"/>
                <w:szCs w:val="18"/>
              </w:rPr>
              <w:t xml:space="preserve"> </w:t>
            </w:r>
            <w:r>
              <w:rPr>
                <w:rFonts w:hint="eastAsia" w:ascii="宋体" w:hAnsi="宋体" w:eastAsia="宋体" w:cs="宋体"/>
                <w:sz w:val="21"/>
                <w:szCs w:val="18"/>
              </w:rPr>
              <w:t>通过这个界面，用户可以查找、检查、找到刀具、切削速度和转速，还有机床刀具等等的其他信息，以达到帮助刀路生成和验证。</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33 CAM可视化</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34小平面片加工 小平面片加工是用户可以加工STL模型，通常这类模型产生于逆向工程和模型抄数，并且难以被加工；</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 xml:space="preserve">35多轴加工 </w:t>
            </w:r>
            <w:r>
              <w:rPr>
                <w:rFonts w:ascii="宋体" w:hAnsi="宋体" w:eastAsia="宋体" w:cs="宋体"/>
                <w:sz w:val="21"/>
                <w:szCs w:val="18"/>
              </w:rPr>
              <w:t xml:space="preserve"> </w:t>
            </w:r>
            <w:r>
              <w:rPr>
                <w:rFonts w:hint="eastAsia" w:ascii="宋体" w:hAnsi="宋体" w:eastAsia="宋体" w:cs="宋体"/>
                <w:sz w:val="21"/>
                <w:szCs w:val="18"/>
              </w:rPr>
              <w:t>可变轴轮廓铣削模块支持定轴和多轴铣削功能，可加工造型模块中生成的任何几何体，并保持主模型相关性。该模块提供完整的、经过多年工程使用验证的3－5轴铣削功能，提供强大的刀轴控制、走刀方式选择和刀具路径生成功能；</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36图形化刀具路径编辑器</w:t>
            </w:r>
            <w:r>
              <w:rPr>
                <w:rFonts w:ascii="宋体" w:hAnsi="宋体" w:eastAsia="宋体" w:cs="宋体"/>
                <w:sz w:val="21"/>
                <w:szCs w:val="18"/>
              </w:rPr>
              <w:t xml:space="preserve"> </w:t>
            </w:r>
            <w:r>
              <w:rPr>
                <w:rFonts w:hint="eastAsia" w:ascii="宋体" w:hAnsi="宋体" w:eastAsia="宋体" w:cs="宋体"/>
                <w:sz w:val="21"/>
                <w:szCs w:val="18"/>
              </w:rPr>
              <w:t>图形化刀具路径编辑器可以是用户图形化编辑产生的刀路。NC编程员不仅可以通过选择屏幕上图形化的刀路，而且可以选择文本的刀路叙述，达到编辑、显示、模拟的目的；</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 xml:space="preserve">37凹凸模型腔铣削 </w:t>
            </w:r>
            <w:r>
              <w:rPr>
                <w:rFonts w:ascii="宋体" w:hAnsi="宋体" w:eastAsia="宋体" w:cs="宋体"/>
                <w:sz w:val="21"/>
                <w:szCs w:val="18"/>
              </w:rPr>
              <w:t xml:space="preserve"> </w:t>
            </w:r>
            <w:r>
              <w:rPr>
                <w:rFonts w:hint="eastAsia" w:ascii="宋体" w:hAnsi="宋体" w:eastAsia="宋体" w:cs="宋体"/>
                <w:sz w:val="21"/>
                <w:szCs w:val="18"/>
              </w:rPr>
              <w:t xml:space="preserve"> 它提供粗加工单个或多个型腔、沿任意类似型芯的形状进行粗加工大余量去除的全部功能；</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38流线加工（清根）</w:t>
            </w:r>
            <w:r>
              <w:rPr>
                <w:rFonts w:ascii="宋体" w:hAnsi="宋体" w:eastAsia="宋体" w:cs="宋体"/>
                <w:sz w:val="21"/>
                <w:szCs w:val="18"/>
              </w:rPr>
              <w:t xml:space="preserve"> </w:t>
            </w:r>
            <w:r>
              <w:rPr>
                <w:rFonts w:hint="eastAsia" w:ascii="宋体" w:hAnsi="宋体" w:eastAsia="宋体" w:cs="宋体"/>
                <w:sz w:val="21"/>
                <w:szCs w:val="18"/>
              </w:rPr>
              <w:t>半自动清根模块可大幅度地缩短半精加工和精加工时间。该模块和固定轴轮廓铣模块配合使用，能自动找出待加工零件上满足“双相切条件”的区域；</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39顺铣</w:t>
            </w:r>
            <w:r>
              <w:rPr>
                <w:rFonts w:ascii="宋体" w:hAnsi="宋体" w:eastAsia="宋体" w:cs="宋体"/>
                <w:sz w:val="21"/>
                <w:szCs w:val="18"/>
              </w:rPr>
              <w:t xml:space="preserve"> </w:t>
            </w:r>
            <w:r>
              <w:rPr>
                <w:rFonts w:hint="eastAsia" w:ascii="宋体" w:hAnsi="宋体" w:eastAsia="宋体" w:cs="宋体"/>
                <w:sz w:val="21"/>
                <w:szCs w:val="18"/>
              </w:rPr>
              <w:t>顺序铣模块适用于需要完全控制刀具路径生成过程中的每一步骤的情况，支持2-5轴的铣削编程。该模块和主模型完全相关，以高度自动化的方式，获得如用APT直接编程一样的绝对控制；</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40</w:t>
            </w:r>
            <w:r>
              <w:rPr>
                <w:rFonts w:ascii="宋体" w:hAnsi="宋体" w:eastAsia="宋体" w:cs="宋体"/>
                <w:sz w:val="21"/>
                <w:szCs w:val="18"/>
              </w:rPr>
              <w:t xml:space="preserve"> </w:t>
            </w:r>
            <w:r>
              <w:rPr>
                <w:rFonts w:hint="eastAsia" w:ascii="宋体" w:hAnsi="宋体" w:eastAsia="宋体" w:cs="宋体"/>
                <w:sz w:val="21"/>
                <w:szCs w:val="18"/>
              </w:rPr>
              <w:t xml:space="preserve">非均匀有理B样条刀路径生成器 </w:t>
            </w:r>
            <w:r>
              <w:rPr>
                <w:rFonts w:ascii="宋体" w:hAnsi="宋体" w:eastAsia="宋体" w:cs="宋体"/>
                <w:sz w:val="21"/>
                <w:szCs w:val="18"/>
              </w:rPr>
              <w:t xml:space="preserve"> </w:t>
            </w:r>
            <w:r>
              <w:rPr>
                <w:rFonts w:hint="eastAsia" w:ascii="宋体" w:hAnsi="宋体" w:eastAsia="宋体" w:cs="宋体"/>
                <w:sz w:val="21"/>
                <w:szCs w:val="18"/>
              </w:rPr>
              <w:t>允许中直接生成基于Nurbs样条的刀具轨迹数据，使得生成的轨迹拥有更高的精度和超级光洁度，而加工程序量则比标准格式减少；</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 xml:space="preserve">41线切割 </w:t>
            </w:r>
            <w:r>
              <w:rPr>
                <w:rFonts w:ascii="宋体" w:hAnsi="宋体" w:eastAsia="宋体" w:cs="宋体"/>
                <w:sz w:val="21"/>
                <w:szCs w:val="18"/>
              </w:rPr>
              <w:t xml:space="preserve"> </w:t>
            </w:r>
            <w:r>
              <w:rPr>
                <w:rFonts w:hint="eastAsia" w:ascii="宋体" w:hAnsi="宋体" w:eastAsia="宋体" w:cs="宋体"/>
                <w:sz w:val="21"/>
                <w:szCs w:val="18"/>
              </w:rPr>
              <w:t>模块支持线框或实体模型，以方便零件的2轴和4轴模式线切割。可获得多种类型的走线操作，比如多级轮廓走线、反走线和区域清除。支持glue stops轨迹，及各种钼线径尺寸和功率设置的使用；</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42车间工艺文档  车间工艺文件的创建包括设备清单、加工工步信息和工具清单；</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43</w:t>
            </w:r>
            <w:r>
              <w:rPr>
                <w:rFonts w:ascii="宋体" w:hAnsi="宋体" w:eastAsia="宋体" w:cs="宋体"/>
                <w:sz w:val="21"/>
                <w:szCs w:val="18"/>
              </w:rPr>
              <w:t xml:space="preserve"> </w:t>
            </w:r>
            <w:r>
              <w:rPr>
                <w:rFonts w:hint="eastAsia" w:ascii="宋体" w:hAnsi="宋体" w:eastAsia="宋体" w:cs="宋体"/>
                <w:sz w:val="21"/>
                <w:szCs w:val="18"/>
              </w:rPr>
              <w:t>基于自动化加工的特征创建 基于机械加工的特征创建为孔，型腔及面加工提供了自动化工艺过程定义；</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44高级钣金设计</w:t>
            </w:r>
            <w:r>
              <w:rPr>
                <w:rFonts w:ascii="宋体" w:hAnsi="宋体" w:eastAsia="宋体" w:cs="宋体"/>
                <w:sz w:val="21"/>
                <w:szCs w:val="18"/>
              </w:rPr>
              <w:t xml:space="preserve"> </w:t>
            </w:r>
            <w:r>
              <w:rPr>
                <w:rFonts w:hint="eastAsia" w:ascii="宋体" w:hAnsi="宋体" w:eastAsia="宋体" w:cs="宋体"/>
                <w:sz w:val="21"/>
                <w:szCs w:val="18"/>
              </w:rPr>
              <w:t>包含用于直弯钣金件设计的基本特征和折弯操作，同时也为复杂零件建模的设计人员提供相应的工具；</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45材料展开</w:t>
            </w:r>
            <w:r>
              <w:rPr>
                <w:rFonts w:ascii="宋体" w:hAnsi="宋体" w:eastAsia="宋体" w:cs="宋体"/>
                <w:sz w:val="21"/>
                <w:szCs w:val="18"/>
              </w:rPr>
              <w:t xml:space="preserve"> </w:t>
            </w:r>
            <w:r>
              <w:rPr>
                <w:rFonts w:hint="eastAsia" w:ascii="宋体" w:hAnsi="宋体" w:eastAsia="宋体" w:cs="宋体"/>
                <w:sz w:val="21"/>
                <w:szCs w:val="18"/>
              </w:rPr>
              <w:t>用于编织或者单向纤维织物材料的展开模型生成，可用于展平复合层压板或者符合编织或者单向纤维织物理论模型的任何材料。提供两个解算器用于处理多曲面、修边曲线、任意或无边界坯料（从中创建最终曲面的原材料）以及附加曲线和点的展开操作；</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46</w:t>
            </w:r>
            <w:r>
              <w:rPr>
                <w:rFonts w:ascii="宋体" w:hAnsi="宋体" w:eastAsia="宋体" w:cs="宋体"/>
                <w:sz w:val="21"/>
                <w:szCs w:val="18"/>
              </w:rPr>
              <w:t xml:space="preserve"> </w:t>
            </w:r>
            <w:r>
              <w:rPr>
                <w:rFonts w:hint="eastAsia" w:ascii="宋体" w:hAnsi="宋体" w:eastAsia="宋体" w:cs="宋体"/>
                <w:sz w:val="21"/>
                <w:szCs w:val="18"/>
              </w:rPr>
              <w:t>ISV高级仿真 模块采用人机交互方式，可模拟、检验和显示机床运动和刀具的路径, 该模块亦可将机床各部件，如主轴头、拖板、转台、换刀架、夹具、刀具、工件等以实体的形式定义，用机床构造器和相应的机床驱动程序构建机床模型</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47</w:t>
            </w:r>
            <w:r>
              <w:rPr>
                <w:rFonts w:ascii="宋体" w:hAnsi="宋体" w:eastAsia="宋体" w:cs="宋体"/>
                <w:sz w:val="21"/>
                <w:szCs w:val="18"/>
              </w:rPr>
              <w:t xml:space="preserve"> </w:t>
            </w:r>
            <w:r>
              <w:rPr>
                <w:rFonts w:hint="eastAsia" w:ascii="宋体" w:hAnsi="宋体" w:eastAsia="宋体" w:cs="宋体"/>
                <w:sz w:val="21"/>
                <w:szCs w:val="18"/>
              </w:rPr>
              <w:t>Open C语言编辑器</w:t>
            </w:r>
            <w:r>
              <w:rPr>
                <w:rFonts w:ascii="宋体" w:hAnsi="宋体" w:eastAsia="宋体" w:cs="宋体"/>
                <w:sz w:val="21"/>
                <w:szCs w:val="18"/>
              </w:rPr>
              <w:t xml:space="preserve"> </w:t>
            </w:r>
            <w:r>
              <w:rPr>
                <w:rFonts w:hint="eastAsia" w:ascii="宋体" w:hAnsi="宋体" w:eastAsia="宋体" w:cs="宋体"/>
                <w:sz w:val="21"/>
                <w:szCs w:val="18"/>
              </w:rPr>
              <w:t>提供C语言开发环境，用于编辑、编译和连接C语言应用程序；</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48实时运行</w:t>
            </w:r>
            <w:r>
              <w:rPr>
                <w:rFonts w:ascii="宋体" w:hAnsi="宋体" w:eastAsia="宋体" w:cs="宋体"/>
                <w:sz w:val="21"/>
                <w:szCs w:val="18"/>
              </w:rPr>
              <w:t xml:space="preserve"> </w:t>
            </w:r>
            <w:r>
              <w:rPr>
                <w:rFonts w:hint="eastAsia" w:ascii="宋体" w:hAnsi="宋体" w:eastAsia="宋体" w:cs="宋体"/>
                <w:sz w:val="21"/>
                <w:szCs w:val="18"/>
              </w:rPr>
              <w:t>提供运行之前编译的程序以及链接GRIP应用程序的能力；</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49编辑器</w:t>
            </w:r>
            <w:r>
              <w:rPr>
                <w:rFonts w:ascii="宋体" w:hAnsi="宋体" w:eastAsia="宋体" w:cs="宋体"/>
                <w:sz w:val="21"/>
                <w:szCs w:val="18"/>
              </w:rPr>
              <w:t xml:space="preserve"> </w:t>
            </w:r>
            <w:r>
              <w:rPr>
                <w:rFonts w:hint="eastAsia" w:ascii="宋体" w:hAnsi="宋体" w:eastAsia="宋体" w:cs="宋体"/>
                <w:sz w:val="21"/>
                <w:szCs w:val="18"/>
              </w:rPr>
              <w:t>提供GRIP高级开发环境（GRADE），用于编辑、编译和连接GRIP 应用程序；</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50</w:t>
            </w:r>
            <w:r>
              <w:rPr>
                <w:rFonts w:ascii="宋体" w:hAnsi="宋体" w:eastAsia="宋体" w:cs="宋体"/>
                <w:sz w:val="21"/>
                <w:szCs w:val="18"/>
              </w:rPr>
              <w:t xml:space="preserve"> </w:t>
            </w:r>
            <w:r>
              <w:rPr>
                <w:rFonts w:hint="eastAsia" w:ascii="宋体" w:hAnsi="宋体" w:eastAsia="宋体" w:cs="宋体"/>
                <w:sz w:val="21"/>
                <w:szCs w:val="18"/>
              </w:rPr>
              <w:t xml:space="preserve">软件开发实时运行包 </w:t>
            </w:r>
            <w:r>
              <w:rPr>
                <w:rFonts w:ascii="宋体" w:hAnsi="宋体" w:eastAsia="宋体" w:cs="宋体"/>
                <w:sz w:val="21"/>
                <w:szCs w:val="18"/>
              </w:rPr>
              <w:t xml:space="preserve"> </w:t>
            </w:r>
            <w:r>
              <w:rPr>
                <w:rFonts w:hint="eastAsia" w:ascii="宋体" w:hAnsi="宋体" w:eastAsia="宋体" w:cs="宋体"/>
                <w:sz w:val="21"/>
                <w:szCs w:val="18"/>
              </w:rPr>
              <w:t>二次开发运行包</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51</w:t>
            </w:r>
            <w:r>
              <w:rPr>
                <w:rFonts w:ascii="宋体" w:hAnsi="宋体" w:eastAsia="宋体" w:cs="宋体"/>
                <w:sz w:val="21"/>
                <w:szCs w:val="18"/>
              </w:rPr>
              <w:t xml:space="preserve"> </w:t>
            </w:r>
            <w:r>
              <w:rPr>
                <w:rFonts w:hint="eastAsia" w:ascii="宋体" w:hAnsi="宋体" w:eastAsia="宋体" w:cs="宋体"/>
                <w:sz w:val="21"/>
                <w:szCs w:val="18"/>
              </w:rPr>
              <w:t>软件开发工具集编辑器 提供利用Open C++、Open for .NET或Open for Java应用编程接口（API）创建客户化应用程序所需要的库、文档和实用工具；</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52语言编辑器 提供C++语言开发环境，用于编辑、编译和连接C++语言应用程序；</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53软件开发用户界面风格编辑器，二次开发用户界面风格编辑器；</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54IGES转换器 符合国际标准的数据转换接口，与符合该标准的其他系统完全兼容；</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55 Dxf/Dwg转换器 DXF/DWG转换器提供在Auto CAD和软件间的极好的数据交换；</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56</w:t>
            </w:r>
            <w:r>
              <w:rPr>
                <w:rFonts w:ascii="宋体" w:hAnsi="宋体" w:eastAsia="宋体" w:cs="宋体"/>
                <w:sz w:val="21"/>
                <w:szCs w:val="18"/>
              </w:rPr>
              <w:t xml:space="preserve"> </w:t>
            </w:r>
            <w:r>
              <w:rPr>
                <w:rFonts w:hint="eastAsia" w:ascii="宋体" w:hAnsi="宋体" w:eastAsia="宋体" w:cs="宋体"/>
                <w:sz w:val="21"/>
                <w:szCs w:val="18"/>
              </w:rPr>
              <w:t>Step Ap203转换器 完全符合国际标准的数据转换接口，与符合该标准的其他系统完全兼容；</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57</w:t>
            </w:r>
            <w:r>
              <w:rPr>
                <w:rFonts w:ascii="宋体" w:hAnsi="宋体" w:eastAsia="宋体" w:cs="宋体"/>
                <w:sz w:val="21"/>
                <w:szCs w:val="18"/>
              </w:rPr>
              <w:t xml:space="preserve"> </w:t>
            </w:r>
            <w:r>
              <w:rPr>
                <w:rFonts w:hint="eastAsia" w:ascii="宋体" w:hAnsi="宋体" w:eastAsia="宋体" w:cs="宋体"/>
                <w:sz w:val="21"/>
                <w:szCs w:val="18"/>
              </w:rPr>
              <w:t>Step Ap214转换器 完全符合国际标准的数据转换接口，与符合该标准的其他系统完全兼容；</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▲58</w:t>
            </w:r>
            <w:r>
              <w:rPr>
                <w:rFonts w:ascii="宋体" w:hAnsi="宋体" w:eastAsia="宋体" w:cs="宋体"/>
                <w:sz w:val="21"/>
                <w:szCs w:val="18"/>
              </w:rPr>
              <w:t xml:space="preserve"> </w:t>
            </w:r>
            <w:r>
              <w:rPr>
                <w:rFonts w:hint="eastAsia" w:ascii="宋体" w:hAnsi="宋体" w:eastAsia="宋体" w:cs="宋体"/>
                <w:sz w:val="21"/>
                <w:szCs w:val="18"/>
              </w:rPr>
              <w:t>电气线缆-机械管路设计</w:t>
            </w:r>
            <w:r>
              <w:rPr>
                <w:rFonts w:ascii="宋体" w:hAnsi="宋体" w:eastAsia="宋体" w:cs="宋体"/>
                <w:sz w:val="21"/>
                <w:szCs w:val="18"/>
              </w:rPr>
              <w:t xml:space="preserve"> </w:t>
            </w:r>
            <w:r>
              <w:rPr>
                <w:rFonts w:hint="eastAsia" w:ascii="宋体" w:hAnsi="宋体" w:eastAsia="宋体" w:cs="宋体"/>
                <w:sz w:val="21"/>
                <w:szCs w:val="18"/>
              </w:rPr>
              <w:t>为已选路径的电气和机械子系统提供裁剪的设计环境。对于电气路径选择，设计者可以使用布线、管路和导线指令，充分利用电气系统的标准部件库。机械路径选择为管道系统、管路和钢制结构增加设计工具。已选路径系统模型与装配模型是完全相关的，以方便于设计变更。 关于材料的自动化清单（BOM）和弯头报告为子系统制造提供了信息；</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 xml:space="preserve">59网络发布 </w:t>
            </w:r>
            <w:r>
              <w:rPr>
                <w:rFonts w:ascii="宋体" w:hAnsi="宋体" w:eastAsia="宋体" w:cs="宋体"/>
                <w:sz w:val="21"/>
                <w:szCs w:val="18"/>
              </w:rPr>
              <w:t xml:space="preserve"> </w:t>
            </w:r>
            <w:r>
              <w:rPr>
                <w:rFonts w:hint="eastAsia" w:ascii="宋体" w:hAnsi="宋体" w:eastAsia="宋体" w:cs="宋体"/>
                <w:sz w:val="21"/>
                <w:szCs w:val="18"/>
              </w:rPr>
              <w:t>提供和互联网的接口，可以将软件中生成的零件、装配件中的信息以超文本的方式输出，供有关人员使用或参考；</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60轮廓铣削 轮廓铣削是生成半精加工或精加工的壁面加工路径的加工模块。可定义刀具沿着边界去除材料；</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61快速原型创建</w:t>
            </w:r>
            <w:r>
              <w:rPr>
                <w:rFonts w:ascii="宋体" w:hAnsi="宋体" w:eastAsia="宋体" w:cs="宋体"/>
                <w:sz w:val="21"/>
                <w:szCs w:val="18"/>
              </w:rPr>
              <w:t xml:space="preserve"> </w:t>
            </w:r>
            <w:r>
              <w:rPr>
                <w:rFonts w:hint="eastAsia" w:ascii="宋体" w:hAnsi="宋体" w:eastAsia="宋体" w:cs="宋体"/>
                <w:sz w:val="21"/>
                <w:szCs w:val="18"/>
              </w:rPr>
              <w:t>提供有效的和易于使用的功能来生成快速成型机所需要的数据信息。模块生成工业标准的“STL” 格式的文件，允许用户在一个先进的从设计到制造的环境中快速评估设计。允许用户使用精确的实体模型或者曲面模型，应用程序自动将所有必要的信息转换成STL格式，使用户能根据要使用的快速成型机来控制公差；</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62加工基础</w:t>
            </w:r>
            <w:r>
              <w:rPr>
                <w:rFonts w:ascii="宋体" w:hAnsi="宋体" w:eastAsia="宋体" w:cs="宋体"/>
                <w:sz w:val="21"/>
                <w:szCs w:val="18"/>
              </w:rPr>
              <w:t xml:space="preserve"> </w:t>
            </w:r>
            <w:r>
              <w:rPr>
                <w:rFonts w:hint="eastAsia" w:ascii="宋体" w:hAnsi="宋体" w:eastAsia="宋体" w:cs="宋体"/>
                <w:sz w:val="21"/>
                <w:szCs w:val="18"/>
              </w:rPr>
              <w:t>加工基础模块提供连接软件所有加工模块的基础框架，它为所有软件的加工模块提供了一个相同的、界面友好的图形化窗口环境，用户可以在图形方式下观察刀具沿轨迹运动的情况并可对其进行图形化修改，如对刀具轨迹进行延伸、缩短或修改等。该模块同时还提供通用的点位加工编程功能，可用于钻孔、攻丝和镗孔等加工编程。该模块交互界面可按用户需求进行灵活的用户化修改和剪裁，并可定义标准化刀具库、加工工艺参数样板库使初加工、半精加工、精加工等操作常用参数标准化，以减少使用培训时间并优化加工工艺。软件所有模块都可在实体模型上直接生成加工程序，并保持和实体模型全相关；</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63平面铣削</w:t>
            </w:r>
            <w:r>
              <w:rPr>
                <w:rFonts w:ascii="宋体" w:hAnsi="宋体" w:eastAsia="宋体" w:cs="宋体"/>
                <w:sz w:val="21"/>
                <w:szCs w:val="18"/>
              </w:rPr>
              <w:t xml:space="preserve"> </w:t>
            </w:r>
            <w:r>
              <w:rPr>
                <w:rFonts w:hint="eastAsia" w:ascii="宋体" w:hAnsi="宋体" w:eastAsia="宋体" w:cs="宋体"/>
                <w:sz w:val="21"/>
                <w:szCs w:val="18"/>
              </w:rPr>
              <w:t>平面铣模块提供加工2-2.5轴零件的所有功能，设计更改通过相关性而自动处理。该模块包括多次走刀轮廓铣、仿型内腔铣和Z字型走刀铣削，用户可规定避开夹具和进行内部移动的安全余量；</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64人体建模 设计人员能够创建人体特征模型，该人体模型基于E-factory的Jack技术。这些人体模型可用于所有环境下，产品设计过程中人机交互界面的探索和验证；</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65网络发布及评审</w:t>
            </w:r>
            <w:r>
              <w:rPr>
                <w:rFonts w:ascii="宋体" w:hAnsi="宋体" w:eastAsia="宋体" w:cs="宋体"/>
                <w:sz w:val="21"/>
                <w:szCs w:val="18"/>
              </w:rPr>
              <w:t xml:space="preserve"> </w:t>
            </w:r>
            <w:r>
              <w:rPr>
                <w:rFonts w:hint="eastAsia" w:ascii="宋体" w:hAnsi="宋体" w:eastAsia="宋体" w:cs="宋体"/>
                <w:sz w:val="21"/>
                <w:szCs w:val="18"/>
              </w:rPr>
              <w:t>允许查看由其他应用程序保存的软件包协作文件(.pcf)，而无需加载该应用程序；</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▲66机电一体化概念设计  可为设计人员建立结合机械、电气和软件组件基础上概念模型，符合系统级产品的要求；</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▲67机电一体化概念设计支持早期的概念设计在机械、电气、自动化设计、工程及其相关的并行跨学科的工作流程；</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▲68支持精细的产品开发过程；</w:t>
            </w:r>
          </w:p>
          <w:p>
            <w:pPr>
              <w:widowControl/>
              <w:spacing w:line="240" w:lineRule="auto"/>
              <w:ind w:firstLine="0" w:firstLineChars="0"/>
              <w:rPr>
                <w:rFonts w:ascii="宋体" w:hAnsi="宋体" w:eastAsia="宋体" w:cs="宋体"/>
                <w:sz w:val="21"/>
                <w:szCs w:val="18"/>
              </w:rPr>
            </w:pPr>
            <w:r>
              <w:rPr>
                <w:rFonts w:hint="eastAsia" w:ascii="宋体" w:hAnsi="宋体" w:eastAsia="宋体" w:cs="宋体"/>
                <w:sz w:val="21"/>
                <w:szCs w:val="18"/>
              </w:rPr>
              <w:t>▲69机电一体化概念设计支持行为、物理和过程模拟验证功能。</w:t>
            </w:r>
          </w:p>
          <w:p>
            <w:pPr>
              <w:spacing w:line="240" w:lineRule="auto"/>
              <w:ind w:firstLine="0" w:firstLineChars="0"/>
              <w:rPr>
                <w:rFonts w:ascii="Times New Roman" w:hAnsi="Times New Roman" w:eastAsia="宋体" w:cs="Times New Roman"/>
                <w:sz w:val="21"/>
                <w:szCs w:val="24"/>
              </w:rPr>
            </w:pPr>
          </w:p>
          <w:p>
            <w:pPr>
              <w:widowControl w:val="0"/>
              <w:spacing w:line="360" w:lineRule="atLeast"/>
              <w:ind w:firstLine="0" w:firstLineChars="0"/>
              <w:jc w:val="both"/>
              <w:rPr>
                <w:rFonts w:ascii="宋体" w:hAnsi="宋体" w:eastAsia="宋体" w:cs="Times New Roman"/>
                <w:b/>
                <w:color w:val="000000"/>
                <w:kern w:val="2"/>
                <w:sz w:val="21"/>
                <w:szCs w:val="20"/>
                <w:lang w:val="en-US" w:eastAsia="zh-CN" w:bidi="ar-SA"/>
              </w:rPr>
            </w:pPr>
            <w:r>
              <w:rPr>
                <w:rFonts w:ascii="宋体" w:hAnsi="宋体" w:eastAsia="宋体" w:cs="Times New Roman"/>
                <w:b/>
                <w:color w:val="000000"/>
                <w:kern w:val="2"/>
                <w:sz w:val="21"/>
                <w:szCs w:val="20"/>
                <w:lang w:val="en-US" w:eastAsia="zh-CN" w:bidi="ar-SA"/>
              </w:rPr>
              <w:drawing>
                <wp:inline distT="0" distB="0" distL="114300" distR="114300">
                  <wp:extent cx="5257800" cy="971550"/>
                  <wp:effectExtent l="0" t="0" r="0" b="0"/>
                  <wp:docPr id="21" name="未知 21"/>
                  <wp:cNvGraphicFramePr>
                    <a:graphicFrameLocks xmlns:a="http://schemas.openxmlformats.org/drawingml/2006/main" noChangeAspect="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0" y="0"/>
                            <a:ext cx="9929776" cy="1755014"/>
                            <a:chOff x="907659" y="2088107"/>
                            <a:chExt cx="9929776" cy="1755014"/>
                          </a:xfrm>
                        </a:grpSpPr>
                        <a:graphicFrame>
                          <a:nvGraphicFramePr>
                            <a:cNvPr id="11" name="图示 10"/>
                            <a:cNvGraphicFramePr/>
                          </a:nvGraphicFramePr>
                          <a:graphic>
                            <a:graphicData uri="http://schemas.openxmlformats.org/drawingml/2006/diagram">
                              <dgm:relIds xmlns:dgm="http://schemas.openxmlformats.org/drawingml/2006/diagram" xmlns:r="http://schemas.openxmlformats.org/officeDocument/2006/relationships" r:dm="rId9" r:lo="rId10" r:qs="rId11" r:cs="rId12"/>
                            </a:graphicData>
                          </a:graphic>
                          <a:xfrm>
                            <a:off x="907659" y="2126045"/>
                            <a:ext cx="2939892" cy="1683822"/>
                          </a:xfrm>
                        </a:graphicFrame>
                        <a:pic>
                          <a:nvPicPr>
                            <a:cNvPr id="15" name="图片 14" descr="图片2.jpg"/>
                            <a:cNvPicPr>
                              <a:picLocks noChangeAspect="1"/>
                            </a:cNvPicPr>
                          </a:nvPicPr>
                          <a:blipFill>
                            <a:blip r:embed="rId14"/>
                            <a:stretch>
                              <a:fillRect/>
                            </a:stretch>
                          </a:blipFill>
                          <a:spPr>
                            <a:xfrm>
                              <a:off x="7802276" y="2126045"/>
                              <a:ext cx="3035159" cy="1683822"/>
                            </a:xfrm>
                            <a:prstGeom prst="rect">
                              <a:avLst/>
                            </a:prstGeom>
                          </a:spPr>
                        </a:pic>
                        <a:pic>
                          <a:nvPicPr>
                            <a:cNvPr id="16" name="图片 15" descr="图片3.png"/>
                            <a:cNvPicPr>
                              <a:picLocks noChangeAspect="1"/>
                            </a:cNvPicPr>
                          </a:nvPicPr>
                          <a:blipFill>
                            <a:blip r:embed="rId15" cstate="print"/>
                            <a:stretch>
                              <a:fillRect/>
                            </a:stretch>
                          </a:blipFill>
                          <a:spPr>
                            <a:xfrm>
                              <a:off x="4091452" y="2088107"/>
                              <a:ext cx="3100918" cy="1755014"/>
                            </a:xfrm>
                            <a:prstGeom prst="rect">
                              <a:avLst/>
                            </a:prstGeom>
                          </a:spPr>
                        </a:pic>
                        <a:grpSp>
                          <a:nvGrpSpPr>
                            <a:cNvPr id="17" name="组合 16"/>
                            <a:cNvGrpSpPr/>
                          </a:nvGrpSpPr>
                          <a:grpSpPr>
                            <a:xfrm>
                              <a:off x="7260609" y="2724576"/>
                              <a:ext cx="516615" cy="644574"/>
                              <a:chOff x="6410888" y="-322287"/>
                              <a:chExt cx="551007" cy="644574"/>
                            </a:xfrm>
                            <a:solidFill>
                              <a:srgbClr val="FAC090">
                                <a:lumMod val="60000"/>
                                <a:lumOff val="40000"/>
                              </a:srgbClr>
                            </a:solidFill>
                          </a:grpSpPr>
                          <a:sp>
                            <a:nvSpPr>
                              <a:cNvPr id="18" name="右箭头 17"/>
                              <a:cNvSpPr/>
                            </a:nvSpPr>
                            <a:spPr>
                              <a:xfrm>
                                <a:off x="6410888" y="-322287"/>
                                <a:ext cx="551007" cy="644574"/>
                              </a:xfrm>
                              <a:prstGeom prst="rightArrow">
                                <a:avLst>
                                  <a:gd name="adj1" fmla="val 60000"/>
                                  <a:gd name="adj2" fmla="val 50000"/>
                                </a:avLst>
                              </a:prstGeom>
                              <a:grpFill/>
                            </a:spPr>
                            <a:style>
                              <a:lnRef idx="0">
                                <a:srgbClr val="FFFFFF">
                                  <a:hueOff val="0"/>
                                  <a:satOff val="0"/>
                                  <a:lumOff val="0"/>
                                  <a:alphaOff val="0"/>
                                </a:srgbClr>
                              </a:lnRef>
                              <a:fillRef idx="3">
                                <a:srgbClr val="8AA36C">
                                  <a:hueOff val="0"/>
                                  <a:satOff val="-47965"/>
                                  <a:lumOff val="1765"/>
                                  <a:alphaOff val="0"/>
                                </a:srgbClr>
                              </a:fillRef>
                              <a:effectRef idx="3">
                                <a:srgbClr val="8AA36C">
                                  <a:hueOff val="0"/>
                                  <a:satOff val="-47965"/>
                                  <a:lumOff val="1765"/>
                                  <a:alphaOff val="0"/>
                                </a:srgbClr>
                              </a:effectRef>
                              <a:fontRef idx="minor">
                                <a:srgbClr val="FFFFFF"/>
                              </a:fontRef>
                            </a:style>
                          </a:sp>
                          <a:sp>
                            <a:nvSpPr>
                              <a:cNvPr id="19" name="右箭头 4"/>
                              <a:cNvSpPr/>
                            </a:nvSpPr>
                            <a:spPr>
                              <a:xfrm>
                                <a:off x="6410888" y="-193372"/>
                                <a:ext cx="385705" cy="386744"/>
                              </a:xfrm>
                              <a:prstGeom prst="rect">
                                <a:avLst/>
                              </a:prstGeom>
                              <a:grpFill/>
                            </a:spPr>
                            <a:txSp>
                              <a:txBody>
                                <a:bodyPr spcFirstLastPara="0" vert="horz" wrap="square" lIns="0" tIns="0" rIns="0" bIns="0" numCol="1" spcCol="1270" anchor="ctr" anchorCtr="0">
                                  <a:noAutofit/>
                                </a:bodyPr>
                                <a:lstStyle>
                                  <a:defPPr>
                                    <a:defRPr lang="zh-CN"/>
                                  </a:defPPr>
                                  <a:lvl1pPr marL="0" algn="l" defTabSz="914400" rtl="0" eaLnBrk="1" latinLnBrk="0" hangingPunct="1">
                                    <a:defRPr sz="1800" kern="1200">
                                      <a:solidFill>
                                        <a:srgbClr val="FFFFFF"/>
                                      </a:solidFill>
                                      <a:latin typeface="+mn-lt"/>
                                      <a:ea typeface="+mn-ea"/>
                                      <a:cs typeface="+mn-cs"/>
                                    </a:defRPr>
                                  </a:lvl1pPr>
                                  <a:lvl2pPr marL="457200" algn="l" defTabSz="914400" rtl="0" eaLnBrk="1" latinLnBrk="0" hangingPunct="1">
                                    <a:defRPr sz="1800" kern="1200">
                                      <a:solidFill>
                                        <a:srgbClr val="FFFFFF"/>
                                      </a:solidFill>
                                      <a:latin typeface="+mn-lt"/>
                                      <a:ea typeface="+mn-ea"/>
                                      <a:cs typeface="+mn-cs"/>
                                    </a:defRPr>
                                  </a:lvl2pPr>
                                  <a:lvl3pPr marL="914400" algn="l" defTabSz="914400" rtl="0" eaLnBrk="1" latinLnBrk="0" hangingPunct="1">
                                    <a:defRPr sz="1800" kern="1200">
                                      <a:solidFill>
                                        <a:srgbClr val="FFFFFF"/>
                                      </a:solidFill>
                                      <a:latin typeface="+mn-lt"/>
                                      <a:ea typeface="+mn-ea"/>
                                      <a:cs typeface="+mn-cs"/>
                                    </a:defRPr>
                                  </a:lvl3pPr>
                                  <a:lvl4pPr marL="1371600" algn="l" defTabSz="914400" rtl="0" eaLnBrk="1" latinLnBrk="0" hangingPunct="1">
                                    <a:defRPr sz="1800" kern="1200">
                                      <a:solidFill>
                                        <a:srgbClr val="FFFFFF"/>
                                      </a:solidFill>
                                      <a:latin typeface="+mn-lt"/>
                                      <a:ea typeface="+mn-ea"/>
                                      <a:cs typeface="+mn-cs"/>
                                    </a:defRPr>
                                  </a:lvl4pPr>
                                  <a:lvl5pPr marL="1828800" algn="l" defTabSz="914400" rtl="0" eaLnBrk="1" latinLnBrk="0" hangingPunct="1">
                                    <a:defRPr sz="1800" kern="1200">
                                      <a:solidFill>
                                        <a:srgbClr val="FFFFFF"/>
                                      </a:solidFill>
                                      <a:latin typeface="+mn-lt"/>
                                      <a:ea typeface="+mn-ea"/>
                                      <a:cs typeface="+mn-cs"/>
                                    </a:defRPr>
                                  </a:lvl5pPr>
                                  <a:lvl6pPr marL="2286000" algn="l" defTabSz="914400" rtl="0" eaLnBrk="1" latinLnBrk="0" hangingPunct="1">
                                    <a:defRPr sz="1800" kern="1200">
                                      <a:solidFill>
                                        <a:srgbClr val="FFFFFF"/>
                                      </a:solidFill>
                                      <a:latin typeface="+mn-lt"/>
                                      <a:ea typeface="+mn-ea"/>
                                      <a:cs typeface="+mn-cs"/>
                                    </a:defRPr>
                                  </a:lvl6pPr>
                                  <a:lvl7pPr marL="2743200" algn="l" defTabSz="914400" rtl="0" eaLnBrk="1" latinLnBrk="0" hangingPunct="1">
                                    <a:defRPr sz="1800" kern="1200">
                                      <a:solidFill>
                                        <a:srgbClr val="FFFFFF"/>
                                      </a:solidFill>
                                      <a:latin typeface="+mn-lt"/>
                                      <a:ea typeface="+mn-ea"/>
                                      <a:cs typeface="+mn-cs"/>
                                    </a:defRPr>
                                  </a:lvl7pPr>
                                  <a:lvl8pPr marL="3200400" algn="l" defTabSz="914400" rtl="0" eaLnBrk="1" latinLnBrk="0" hangingPunct="1">
                                    <a:defRPr sz="1800" kern="1200">
                                      <a:solidFill>
                                        <a:srgbClr val="FFFFFF"/>
                                      </a:solidFill>
                                      <a:latin typeface="+mn-lt"/>
                                      <a:ea typeface="+mn-ea"/>
                                      <a:cs typeface="+mn-cs"/>
                                    </a:defRPr>
                                  </a:lvl8pPr>
                                  <a:lvl9pPr marL="3657600" algn="l" defTabSz="914400" rtl="0" eaLnBrk="1" latinLnBrk="0" hangingPunct="1">
                                    <a:defRPr sz="1800" kern="1200">
                                      <a:solidFill>
                                        <a:srgbClr val="FFFFFF"/>
                                      </a:solidFill>
                                      <a:latin typeface="+mn-lt"/>
                                      <a:ea typeface="+mn-ea"/>
                                      <a:cs typeface="+mn-cs"/>
                                    </a:defRPr>
                                  </a:lvl9pPr>
                                </a:lstStyle>
                                <a:p>
                                  <a:pPr lvl="0" algn="ctr" defTabSz="889000">
                                    <a:lnSpc>
                                      <a:spcPct val="90000"/>
                                    </a:lnSpc>
                                    <a:spcBef>
                                      <a:spcPct val="0"/>
                                    </a:spcBef>
                                    <a:spcAft>
                                      <a:spcPct val="35000"/>
                                    </a:spcAft>
                                  </a:pPr>
                                  <a:endParaRPr lang="zh-CN" altLang="en-US" sz="2000" kern="1200"/>
                                </a:p>
                              </a:txBody>
                              <a:useSpRect/>
                            </a:txSp>
                            <a:style>
                              <a:lnRef idx="0">
                                <a:scrgbClr r="0" g="0" b="0"/>
                              </a:lnRef>
                              <a:fillRef idx="0">
                                <a:scrgbClr r="0" g="0" b="0"/>
                              </a:fillRef>
                              <a:effectRef idx="0">
                                <a:scrgbClr r="0" g="0" b="0"/>
                              </a:effectRef>
                              <a:fontRef idx="minor">
                                <a:srgbClr val="FFFFFF"/>
                              </a:fontRef>
                            </a:style>
                          </a:sp>
                        </a:grpSp>
                      </lc:lockedCanvas>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1" w:hRule="atLeast"/>
        </w:trPr>
        <w:tc>
          <w:tcPr>
            <w:tcW w:w="601" w:type="dxa"/>
            <w:noWrap w:val="0"/>
            <w:vAlign w:val="top"/>
          </w:tcPr>
          <w:p>
            <w:pPr>
              <w:widowControl/>
              <w:adjustRightInd w:val="0"/>
              <w:snapToGrid w:val="0"/>
              <w:spacing w:before="100" w:beforeAutospacing="1" w:after="100" w:afterAutospacing="1" w:line="240" w:lineRule="auto"/>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2</w:t>
            </w:r>
          </w:p>
        </w:tc>
        <w:tc>
          <w:tcPr>
            <w:tcW w:w="1668" w:type="dxa"/>
            <w:noWrap w:val="0"/>
            <w:vAlign w:val="top"/>
          </w:tcPr>
          <w:p>
            <w:pPr>
              <w:widowControl/>
              <w:adjustRightInd w:val="0"/>
              <w:snapToGrid w:val="0"/>
              <w:spacing w:before="100" w:beforeAutospacing="1" w:after="100" w:afterAutospacing="1" w:line="240" w:lineRule="auto"/>
              <w:ind w:firstLine="0" w:firstLineChars="0"/>
              <w:rPr>
                <w:rFonts w:ascii="Times New Roman" w:hAnsi="Times New Roman" w:eastAsia="宋体" w:cs="Times New Roman"/>
                <w:sz w:val="24"/>
                <w:szCs w:val="24"/>
              </w:rPr>
            </w:pPr>
            <w:r>
              <w:rPr>
                <w:rFonts w:hint="eastAsia" w:ascii="Times New Roman" w:hAnsi="Times New Roman" w:eastAsia="宋体" w:cs="Times New Roman"/>
                <w:sz w:val="24"/>
                <w:szCs w:val="24"/>
              </w:rPr>
              <w:t>机电一体化仿真控制平台</w:t>
            </w:r>
          </w:p>
        </w:tc>
        <w:tc>
          <w:tcPr>
            <w:tcW w:w="8465" w:type="dxa"/>
            <w:noWrap w:val="0"/>
            <w:vAlign w:val="top"/>
          </w:tcPr>
          <w:p>
            <w:pPr>
              <w:autoSpaceDN w:val="0"/>
              <w:spacing w:line="240" w:lineRule="auto"/>
              <w:ind w:firstLine="0" w:firstLineChars="0"/>
              <w:jc w:val="left"/>
              <w:rPr>
                <w:rFonts w:ascii="宋体" w:hAnsi="宋体" w:eastAsia="宋体" w:cs="Times New Roman"/>
                <w:color w:val="000000"/>
                <w:sz w:val="21"/>
                <w:szCs w:val="24"/>
              </w:rPr>
            </w:pPr>
            <w:r>
              <w:rPr>
                <w:rFonts w:hint="eastAsia" w:ascii="宋体" w:hAnsi="宋体" w:eastAsia="宋体" w:cs="Times New Roman"/>
                <w:color w:val="000000"/>
                <w:sz w:val="21"/>
                <w:szCs w:val="24"/>
              </w:rPr>
              <w:t>1、PLC（</w:t>
            </w:r>
            <w:r>
              <w:rPr>
                <w:rFonts w:hint="eastAsia" w:ascii="宋体" w:hAnsi="宋体" w:eastAsia="宋体" w:cs="Times New Roman"/>
                <w:color w:val="000000"/>
                <w:sz w:val="21"/>
                <w:szCs w:val="20"/>
              </w:rPr>
              <w:t>SMATIC S7-1500）</w:t>
            </w:r>
          </w:p>
          <w:p>
            <w:pPr>
              <w:widowControl w:val="0"/>
              <w:spacing w:line="360" w:lineRule="atLeast"/>
              <w:ind w:firstLine="0" w:firstLineChars="0"/>
              <w:jc w:val="both"/>
              <w:rPr>
                <w:rFonts w:ascii="宋体" w:hAnsi="宋体" w:eastAsia="宋体" w:cs="Times New Roman"/>
                <w:color w:val="000000"/>
                <w:kern w:val="2"/>
                <w:sz w:val="21"/>
                <w:szCs w:val="20"/>
                <w:lang w:val="en-US" w:eastAsia="zh-CN" w:bidi="ar-SA"/>
              </w:rPr>
            </w:pPr>
            <w:r>
              <w:rPr>
                <w:rFonts w:hint="eastAsia" w:ascii="宋体" w:hAnsi="宋体" w:eastAsia="宋体" w:cs="Times New Roman"/>
                <w:color w:val="000000"/>
                <w:kern w:val="2"/>
                <w:sz w:val="21"/>
                <w:szCs w:val="20"/>
                <w:lang w:val="en-US" w:eastAsia="zh-CN" w:bidi="ar-SA"/>
              </w:rPr>
              <w:t>（1）、24V DC电源；</w:t>
            </w:r>
          </w:p>
          <w:p>
            <w:pPr>
              <w:widowControl w:val="0"/>
              <w:spacing w:line="360" w:lineRule="atLeast"/>
              <w:ind w:firstLine="0" w:firstLineChars="0"/>
              <w:jc w:val="both"/>
              <w:rPr>
                <w:rFonts w:ascii="宋体" w:hAnsi="宋体" w:eastAsia="宋体" w:cs="Times New Roman"/>
                <w:color w:val="000000"/>
                <w:kern w:val="2"/>
                <w:sz w:val="21"/>
                <w:szCs w:val="20"/>
                <w:lang w:val="en-US" w:eastAsia="zh-CN" w:bidi="ar-SA"/>
              </w:rPr>
            </w:pPr>
            <w:r>
              <w:rPr>
                <w:rFonts w:hint="eastAsia" w:ascii="宋体" w:hAnsi="宋体" w:eastAsia="宋体" w:cs="Times New Roman"/>
                <w:color w:val="000000"/>
                <w:kern w:val="2"/>
                <w:sz w:val="21"/>
                <w:szCs w:val="20"/>
                <w:lang w:val="en-US" w:eastAsia="zh-CN" w:bidi="ar-SA"/>
              </w:rPr>
              <w:t>（2）、工作存储器可存储 150 KB 代码和 1 MB 数据；</w:t>
            </w:r>
          </w:p>
          <w:p>
            <w:pPr>
              <w:widowControl w:val="0"/>
              <w:spacing w:line="360" w:lineRule="atLeast"/>
              <w:ind w:firstLine="0" w:firstLineChars="0"/>
              <w:jc w:val="both"/>
              <w:rPr>
                <w:rFonts w:ascii="宋体" w:hAnsi="宋体" w:eastAsia="宋体" w:cs="Times New Roman"/>
                <w:color w:val="000000"/>
                <w:kern w:val="2"/>
                <w:sz w:val="21"/>
                <w:szCs w:val="20"/>
                <w:lang w:val="en-US" w:eastAsia="zh-CN" w:bidi="ar-SA"/>
              </w:rPr>
            </w:pPr>
            <w:r>
              <w:rPr>
                <w:rFonts w:hint="eastAsia" w:ascii="宋体" w:hAnsi="宋体" w:eastAsia="宋体" w:cs="Times New Roman"/>
                <w:color w:val="000000"/>
                <w:kern w:val="2"/>
                <w:sz w:val="21"/>
                <w:szCs w:val="20"/>
                <w:lang w:val="en-US" w:eastAsia="zh-CN" w:bidi="ar-SA"/>
              </w:rPr>
              <w:t>（3）、位指令执行时间 60 ns；4 级防护机制，工艺功能：</w:t>
            </w:r>
          </w:p>
          <w:p>
            <w:pPr>
              <w:widowControl w:val="0"/>
              <w:spacing w:line="360" w:lineRule="atLeast"/>
              <w:ind w:firstLine="0" w:firstLineChars="0"/>
              <w:jc w:val="both"/>
              <w:rPr>
                <w:rFonts w:ascii="宋体" w:hAnsi="宋体" w:eastAsia="宋体" w:cs="Times New Roman"/>
                <w:color w:val="000000"/>
                <w:kern w:val="2"/>
                <w:sz w:val="21"/>
                <w:szCs w:val="20"/>
                <w:lang w:val="en-US" w:eastAsia="zh-CN" w:bidi="ar-SA"/>
              </w:rPr>
            </w:pPr>
            <w:r>
              <w:rPr>
                <w:rFonts w:hint="eastAsia" w:ascii="宋体" w:hAnsi="宋体" w:eastAsia="宋体" w:cs="Times New Roman"/>
                <w:color w:val="000000"/>
                <w:kern w:val="2"/>
                <w:sz w:val="21"/>
                <w:szCs w:val="20"/>
                <w:lang w:val="en-US" w:eastAsia="zh-CN" w:bidi="ar-SA"/>
              </w:rPr>
              <w:t>（4）、4 级防护机制，工艺功能：运动控制，闭环控制，计数与测量；跟踪功能；</w:t>
            </w:r>
          </w:p>
          <w:p>
            <w:pPr>
              <w:autoSpaceDN w:val="0"/>
              <w:spacing w:line="240" w:lineRule="auto"/>
              <w:ind w:firstLine="0" w:firstLineChars="0"/>
              <w:jc w:val="left"/>
              <w:rPr>
                <w:rFonts w:ascii="宋体" w:hAnsi="宋体" w:eastAsia="宋体" w:cs="Times New Roman"/>
                <w:color w:val="000000"/>
                <w:sz w:val="21"/>
                <w:szCs w:val="24"/>
              </w:rPr>
            </w:pPr>
            <w:r>
              <w:rPr>
                <w:rFonts w:hint="eastAsia" w:ascii="宋体" w:hAnsi="宋体" w:eastAsia="宋体" w:cs="Times New Roman"/>
                <w:color w:val="000000"/>
                <w:sz w:val="21"/>
                <w:szCs w:val="24"/>
              </w:rPr>
              <w:t>（5）、PROFINET IO 控制器，支持 RT/IRT，性能升级 PROFINET V2.3，双端口，智能设备，支持 MRP、MRPD，传输协议 TCP/IP，安全开放式用户通信，S7 通信，Web 服务器，DNS 客户端，OPC UA 服务器数据访问，恒定总线循环时间，路由功能；运行系统选件，固件版本 V2.0</w:t>
            </w:r>
          </w:p>
          <w:p>
            <w:pPr>
              <w:widowControl w:val="0"/>
              <w:spacing w:line="360" w:lineRule="atLeast"/>
              <w:ind w:firstLine="0" w:firstLineChars="0"/>
              <w:jc w:val="both"/>
              <w:rPr>
                <w:rFonts w:ascii="宋体" w:hAnsi="宋体" w:eastAsia="宋体" w:cs="Times New Roman"/>
                <w:color w:val="000000"/>
                <w:kern w:val="2"/>
                <w:sz w:val="21"/>
                <w:szCs w:val="20"/>
                <w:lang w:val="en-US" w:eastAsia="zh-CN" w:bidi="ar-SA"/>
              </w:rPr>
            </w:pPr>
            <w:r>
              <w:rPr>
                <w:rFonts w:hint="eastAsia" w:ascii="宋体" w:hAnsi="宋体" w:eastAsia="宋体" w:cs="Times New Roman"/>
                <w:color w:val="000000"/>
                <w:kern w:val="2"/>
                <w:sz w:val="21"/>
                <w:szCs w:val="20"/>
                <w:lang w:val="en-US" w:eastAsia="zh-CN" w:bidi="ar-SA"/>
              </w:rPr>
              <w:t>2、触摸屏:</w:t>
            </w:r>
          </w:p>
          <w:p>
            <w:pPr>
              <w:widowControl w:val="0"/>
              <w:spacing w:line="360" w:lineRule="atLeast"/>
              <w:ind w:firstLine="0" w:firstLineChars="0"/>
              <w:jc w:val="both"/>
              <w:rPr>
                <w:rFonts w:ascii="宋体" w:hAnsi="宋体" w:eastAsia="宋体" w:cs="Times New Roman"/>
                <w:color w:val="000000"/>
                <w:kern w:val="2"/>
                <w:sz w:val="21"/>
                <w:szCs w:val="20"/>
                <w:lang w:val="en-US" w:eastAsia="zh-CN" w:bidi="ar-SA"/>
              </w:rPr>
            </w:pPr>
            <w:r>
              <w:rPr>
                <w:rFonts w:hint="eastAsia" w:ascii="宋体" w:hAnsi="宋体" w:eastAsia="宋体" w:cs="Times New Roman"/>
                <w:color w:val="000000"/>
                <w:kern w:val="2"/>
                <w:sz w:val="21"/>
                <w:szCs w:val="20"/>
                <w:lang w:val="en-US" w:eastAsia="zh-CN" w:bidi="ar-SA"/>
              </w:rPr>
              <w:t>（1）、尺寸7寸</w:t>
            </w:r>
            <w:r>
              <w:rPr>
                <w:rFonts w:ascii="宋体" w:hAnsi="宋体" w:eastAsia="宋体" w:cs="Times New Roman"/>
                <w:color w:val="000000"/>
                <w:kern w:val="2"/>
                <w:sz w:val="21"/>
                <w:szCs w:val="20"/>
                <w:lang w:val="en-US" w:eastAsia="zh-CN" w:bidi="ar-SA"/>
              </w:rPr>
              <w:t>触摸 + 按键</w:t>
            </w:r>
            <w:r>
              <w:rPr>
                <w:rFonts w:hint="eastAsia" w:ascii="宋体" w:hAnsi="宋体" w:eastAsia="宋体" w:cs="Times New Roman"/>
                <w:color w:val="000000"/>
                <w:kern w:val="2"/>
                <w:sz w:val="21"/>
                <w:szCs w:val="20"/>
                <w:lang w:val="en-US" w:eastAsia="zh-CN" w:bidi="ar-SA"/>
              </w:rPr>
              <w:t>；</w:t>
            </w:r>
          </w:p>
          <w:p>
            <w:pPr>
              <w:widowControl w:val="0"/>
              <w:spacing w:line="360" w:lineRule="atLeast"/>
              <w:ind w:firstLine="0" w:firstLineChars="0"/>
              <w:jc w:val="both"/>
              <w:rPr>
                <w:rFonts w:ascii="宋体" w:hAnsi="宋体" w:eastAsia="宋体" w:cs="Times New Roman"/>
                <w:color w:val="000000"/>
                <w:kern w:val="2"/>
                <w:sz w:val="21"/>
                <w:szCs w:val="20"/>
                <w:lang w:val="en-US" w:eastAsia="zh-CN" w:bidi="ar-SA"/>
              </w:rPr>
            </w:pPr>
            <w:r>
              <w:rPr>
                <w:rFonts w:hint="eastAsia" w:ascii="宋体" w:hAnsi="宋体" w:eastAsia="宋体" w:cs="Times New Roman"/>
                <w:color w:val="000000"/>
                <w:kern w:val="2"/>
                <w:sz w:val="21"/>
                <w:szCs w:val="20"/>
                <w:lang w:val="en-US" w:eastAsia="zh-CN" w:bidi="ar-SA"/>
              </w:rPr>
              <w:t>（2）、显示屏</w:t>
            </w:r>
            <w:r>
              <w:rPr>
                <w:rFonts w:ascii="宋体" w:hAnsi="宋体" w:eastAsia="宋体" w:cs="Times New Roman"/>
                <w:color w:val="000000"/>
                <w:kern w:val="2"/>
                <w:sz w:val="21"/>
                <w:szCs w:val="20"/>
                <w:lang w:val="en-US" w:eastAsia="zh-CN" w:bidi="ar-SA"/>
              </w:rPr>
              <w:t>TFT 真彩液晶屏64K 色</w:t>
            </w:r>
            <w:r>
              <w:rPr>
                <w:rFonts w:hint="eastAsia" w:ascii="宋体" w:hAnsi="宋体" w:eastAsia="宋体" w:cs="Times New Roman"/>
                <w:color w:val="000000"/>
                <w:kern w:val="2"/>
                <w:sz w:val="21"/>
                <w:szCs w:val="20"/>
                <w:lang w:val="en-US" w:eastAsia="zh-CN" w:bidi="ar-SA"/>
              </w:rPr>
              <w:t>；</w:t>
            </w:r>
          </w:p>
          <w:p>
            <w:pPr>
              <w:widowControl w:val="0"/>
              <w:spacing w:line="360" w:lineRule="atLeast"/>
              <w:ind w:firstLine="0" w:firstLineChars="0"/>
              <w:jc w:val="both"/>
              <w:rPr>
                <w:rFonts w:ascii="宋体" w:hAnsi="宋体" w:eastAsia="宋体" w:cs="Times New Roman"/>
                <w:color w:val="000000"/>
                <w:kern w:val="2"/>
                <w:sz w:val="21"/>
                <w:szCs w:val="20"/>
                <w:lang w:val="en-US" w:eastAsia="zh-CN" w:bidi="ar-SA"/>
              </w:rPr>
            </w:pPr>
            <w:r>
              <w:rPr>
                <w:rFonts w:hint="eastAsia" w:ascii="宋体" w:hAnsi="宋体" w:eastAsia="宋体" w:cs="Times New Roman"/>
                <w:color w:val="000000"/>
                <w:kern w:val="2"/>
                <w:sz w:val="21"/>
                <w:szCs w:val="20"/>
                <w:lang w:val="en-US" w:eastAsia="zh-CN" w:bidi="ar-SA"/>
              </w:rPr>
              <w:t>（3）、分辨率</w:t>
            </w:r>
            <w:r>
              <w:rPr>
                <w:rFonts w:ascii="宋体" w:hAnsi="宋体" w:eastAsia="宋体" w:cs="Times New Roman"/>
                <w:color w:val="000000"/>
                <w:kern w:val="2"/>
                <w:sz w:val="21"/>
                <w:szCs w:val="20"/>
                <w:lang w:val="en-US" w:eastAsia="zh-CN" w:bidi="ar-SA"/>
              </w:rPr>
              <w:t>800</w:t>
            </w:r>
            <w:r>
              <w:rPr>
                <w:rFonts w:hint="eastAsia" w:ascii="宋体" w:hAnsi="宋体" w:eastAsia="宋体" w:cs="Times New Roman"/>
                <w:color w:val="000000"/>
                <w:kern w:val="2"/>
                <w:sz w:val="21"/>
                <w:szCs w:val="20"/>
                <w:lang w:val="en-US" w:eastAsia="zh-CN" w:bidi="ar-SA"/>
              </w:rPr>
              <w:t>×</w:t>
            </w:r>
            <w:r>
              <w:rPr>
                <w:rFonts w:ascii="宋体" w:hAnsi="宋体" w:eastAsia="宋体" w:cs="Times New Roman"/>
                <w:color w:val="000000"/>
                <w:kern w:val="2"/>
                <w:sz w:val="21"/>
                <w:szCs w:val="20"/>
                <w:lang w:val="en-US" w:eastAsia="zh-CN" w:bidi="ar-SA"/>
              </w:rPr>
              <w:t>480</w:t>
            </w:r>
            <w:r>
              <w:rPr>
                <w:rFonts w:hint="eastAsia" w:ascii="宋体" w:hAnsi="宋体" w:eastAsia="宋体" w:cs="Times New Roman"/>
                <w:color w:val="000000"/>
                <w:kern w:val="2"/>
                <w:sz w:val="21"/>
                <w:szCs w:val="20"/>
                <w:lang w:val="en-US" w:eastAsia="zh-CN" w:bidi="ar-SA"/>
              </w:rPr>
              <w:t>；</w:t>
            </w:r>
          </w:p>
          <w:p>
            <w:pPr>
              <w:widowControl w:val="0"/>
              <w:spacing w:line="360" w:lineRule="atLeast"/>
              <w:ind w:firstLine="0" w:firstLineChars="0"/>
              <w:jc w:val="both"/>
              <w:rPr>
                <w:rFonts w:ascii="宋体" w:hAnsi="宋体" w:eastAsia="宋体" w:cs="Times New Roman"/>
                <w:color w:val="000000"/>
                <w:kern w:val="2"/>
                <w:sz w:val="21"/>
                <w:szCs w:val="20"/>
                <w:lang w:val="en-US" w:eastAsia="zh-CN" w:bidi="ar-SA"/>
              </w:rPr>
            </w:pPr>
            <w:r>
              <w:rPr>
                <w:rFonts w:hint="eastAsia" w:ascii="宋体" w:hAnsi="宋体" w:eastAsia="宋体" w:cs="Times New Roman"/>
                <w:color w:val="000000"/>
                <w:kern w:val="2"/>
                <w:sz w:val="21"/>
                <w:szCs w:val="20"/>
                <w:lang w:val="en-US" w:eastAsia="zh-CN" w:bidi="ar-SA"/>
              </w:rPr>
              <w:t>（4）、</w:t>
            </w:r>
            <w:r>
              <w:rPr>
                <w:rFonts w:ascii="宋体" w:hAnsi="宋体" w:eastAsia="宋体" w:cs="Times New Roman"/>
                <w:color w:val="000000"/>
                <w:kern w:val="2"/>
                <w:sz w:val="21"/>
                <w:szCs w:val="20"/>
                <w:lang w:val="en-US" w:eastAsia="zh-CN" w:bidi="ar-SA"/>
              </w:rPr>
              <w:t>背光平均无故障时间20,000</w:t>
            </w:r>
            <w:r>
              <w:rPr>
                <w:rFonts w:hint="eastAsia" w:ascii="宋体" w:hAnsi="宋体" w:eastAsia="宋体" w:cs="Times New Roman"/>
                <w:color w:val="000000"/>
                <w:kern w:val="2"/>
                <w:sz w:val="21"/>
                <w:szCs w:val="20"/>
                <w:lang w:val="en-US" w:eastAsia="zh-CN" w:bidi="ar-SA"/>
              </w:rPr>
              <w:t>小时；</w:t>
            </w:r>
          </w:p>
          <w:p>
            <w:pPr>
              <w:widowControl w:val="0"/>
              <w:spacing w:line="360" w:lineRule="atLeast"/>
              <w:ind w:firstLine="0" w:firstLineChars="0"/>
              <w:jc w:val="both"/>
              <w:rPr>
                <w:rFonts w:ascii="宋体" w:hAnsi="宋体" w:eastAsia="宋体" w:cs="Times New Roman"/>
                <w:color w:val="000000"/>
                <w:kern w:val="2"/>
                <w:sz w:val="21"/>
                <w:szCs w:val="20"/>
                <w:lang w:val="en-US" w:eastAsia="zh-CN" w:bidi="ar-SA"/>
              </w:rPr>
            </w:pPr>
            <w:r>
              <w:rPr>
                <w:rFonts w:hint="eastAsia" w:ascii="宋体" w:hAnsi="宋体" w:eastAsia="宋体" w:cs="Times New Roman"/>
                <w:color w:val="000000"/>
                <w:kern w:val="2"/>
                <w:sz w:val="21"/>
                <w:szCs w:val="20"/>
                <w:lang w:val="en-US" w:eastAsia="zh-CN" w:bidi="ar-SA"/>
              </w:rPr>
              <w:t>（5）、</w:t>
            </w:r>
            <w:r>
              <w:rPr>
                <w:rFonts w:ascii="宋体" w:hAnsi="宋体" w:eastAsia="宋体" w:cs="Times New Roman"/>
                <w:color w:val="000000"/>
                <w:kern w:val="2"/>
                <w:sz w:val="21"/>
                <w:szCs w:val="20"/>
                <w:lang w:val="en-US" w:eastAsia="zh-CN" w:bidi="ar-SA"/>
              </w:rPr>
              <w:t>前面板尺寸267</w:t>
            </w:r>
            <w:r>
              <w:rPr>
                <w:rFonts w:hint="eastAsia" w:ascii="宋体" w:hAnsi="宋体" w:eastAsia="宋体" w:cs="Times New Roman"/>
                <w:color w:val="000000"/>
                <w:kern w:val="2"/>
                <w:sz w:val="21"/>
                <w:szCs w:val="20"/>
                <w:lang w:val="en-US" w:eastAsia="zh-CN" w:bidi="ar-SA"/>
              </w:rPr>
              <w:t>×</w:t>
            </w:r>
            <w:r>
              <w:rPr>
                <w:rFonts w:ascii="宋体" w:hAnsi="宋体" w:eastAsia="宋体" w:cs="Times New Roman"/>
                <w:color w:val="000000"/>
                <w:kern w:val="2"/>
                <w:sz w:val="21"/>
                <w:szCs w:val="20"/>
                <w:lang w:val="en-US" w:eastAsia="zh-CN" w:bidi="ar-SA"/>
              </w:rPr>
              <w:t>182mm</w:t>
            </w:r>
            <w:r>
              <w:rPr>
                <w:rFonts w:hint="eastAsia" w:ascii="宋体" w:hAnsi="宋体" w:eastAsia="宋体" w:cs="Times New Roman"/>
                <w:color w:val="000000"/>
                <w:kern w:val="2"/>
                <w:sz w:val="21"/>
                <w:szCs w:val="20"/>
                <w:lang w:val="en-US" w:eastAsia="zh-CN" w:bidi="ar-SA"/>
              </w:rPr>
              <w:t>；</w:t>
            </w:r>
          </w:p>
          <w:p>
            <w:pPr>
              <w:widowControl w:val="0"/>
              <w:spacing w:line="360" w:lineRule="atLeast"/>
              <w:ind w:firstLine="0" w:firstLineChars="0"/>
              <w:jc w:val="both"/>
              <w:rPr>
                <w:rFonts w:ascii="宋体" w:hAnsi="宋体" w:eastAsia="宋体" w:cs="Times New Roman"/>
                <w:color w:val="000000"/>
                <w:kern w:val="2"/>
                <w:sz w:val="21"/>
                <w:szCs w:val="20"/>
                <w:lang w:val="en-US" w:eastAsia="zh-CN" w:bidi="ar-SA"/>
              </w:rPr>
            </w:pPr>
            <w:r>
              <w:rPr>
                <w:rFonts w:hint="eastAsia" w:ascii="宋体" w:hAnsi="宋体" w:eastAsia="宋体" w:cs="Times New Roman"/>
                <w:color w:val="000000"/>
                <w:kern w:val="2"/>
                <w:sz w:val="21"/>
                <w:szCs w:val="20"/>
                <w:lang w:val="en-US" w:eastAsia="zh-CN" w:bidi="ar-SA"/>
              </w:rPr>
              <w:t>（6）、</w:t>
            </w:r>
            <w:r>
              <w:rPr>
                <w:rFonts w:ascii="宋体" w:hAnsi="宋体" w:eastAsia="宋体" w:cs="Times New Roman"/>
                <w:color w:val="000000"/>
                <w:kern w:val="2"/>
                <w:sz w:val="21"/>
                <w:szCs w:val="20"/>
                <w:lang w:val="en-US" w:eastAsia="zh-CN" w:bidi="ar-SA"/>
              </w:rPr>
              <w:t>功能按键（可编程）8</w:t>
            </w:r>
            <w:r>
              <w:rPr>
                <w:rFonts w:hint="eastAsia" w:ascii="宋体" w:hAnsi="宋体" w:eastAsia="宋体" w:cs="Times New Roman"/>
                <w:color w:val="000000"/>
                <w:kern w:val="2"/>
                <w:sz w:val="21"/>
                <w:szCs w:val="20"/>
                <w:lang w:val="en-US" w:eastAsia="zh-CN" w:bidi="ar-SA"/>
              </w:rPr>
              <w:t>个；</w:t>
            </w:r>
          </w:p>
          <w:p>
            <w:pPr>
              <w:widowControl w:val="0"/>
              <w:spacing w:line="360" w:lineRule="atLeast"/>
              <w:ind w:firstLine="0" w:firstLineChars="0"/>
              <w:jc w:val="both"/>
              <w:rPr>
                <w:rFonts w:ascii="宋体" w:hAnsi="宋体" w:eastAsia="宋体" w:cs="Times New Roman"/>
                <w:color w:val="000000"/>
                <w:kern w:val="2"/>
                <w:sz w:val="21"/>
                <w:szCs w:val="20"/>
                <w:lang w:val="en-US" w:eastAsia="zh-CN" w:bidi="ar-SA"/>
              </w:rPr>
            </w:pPr>
            <w:r>
              <w:rPr>
                <w:rFonts w:hint="eastAsia" w:ascii="宋体" w:hAnsi="宋体" w:eastAsia="宋体" w:cs="Times New Roman"/>
                <w:color w:val="000000"/>
                <w:kern w:val="2"/>
                <w:sz w:val="21"/>
                <w:szCs w:val="20"/>
                <w:lang w:val="en-US" w:eastAsia="zh-CN" w:bidi="ar-SA"/>
              </w:rPr>
              <w:t>（7）、</w:t>
            </w:r>
            <w:r>
              <w:rPr>
                <w:rFonts w:ascii="宋体" w:hAnsi="宋体" w:eastAsia="宋体" w:cs="Times New Roman"/>
                <w:color w:val="000000"/>
                <w:kern w:val="2"/>
                <w:sz w:val="21"/>
                <w:szCs w:val="20"/>
                <w:lang w:val="en-US" w:eastAsia="zh-CN" w:bidi="ar-SA"/>
              </w:rPr>
              <w:t>用户内存</w:t>
            </w:r>
            <w:r>
              <w:rPr>
                <w:rFonts w:hint="eastAsia" w:ascii="宋体" w:hAnsi="宋体" w:eastAsia="宋体" w:cs="Times New Roman"/>
                <w:color w:val="000000"/>
                <w:kern w:val="2"/>
                <w:sz w:val="21"/>
                <w:szCs w:val="20"/>
                <w:lang w:val="en-US" w:eastAsia="zh-CN" w:bidi="ar-SA"/>
              </w:rPr>
              <w:t>：10MB；</w:t>
            </w:r>
            <w:r>
              <w:rPr>
                <w:rFonts w:ascii="宋体" w:hAnsi="宋体" w:eastAsia="宋体" w:cs="Times New Roman"/>
                <w:color w:val="000000"/>
                <w:kern w:val="2"/>
                <w:sz w:val="21"/>
                <w:szCs w:val="20"/>
                <w:lang w:val="en-US" w:eastAsia="zh-CN" w:bidi="ar-SA"/>
              </w:rPr>
              <w:t> USB </w:t>
            </w:r>
            <w:r>
              <w:rPr>
                <w:rFonts w:hint="eastAsia" w:ascii="宋体" w:hAnsi="宋体" w:eastAsia="宋体" w:cs="Times New Roman"/>
                <w:color w:val="000000"/>
                <w:kern w:val="2"/>
                <w:sz w:val="21"/>
                <w:szCs w:val="20"/>
                <w:lang w:val="en-US" w:eastAsia="zh-CN" w:bidi="ar-SA"/>
              </w:rPr>
              <w:t>接口1个</w:t>
            </w:r>
            <w:r>
              <w:rPr>
                <w:rFonts w:ascii="宋体" w:hAnsi="宋体" w:eastAsia="宋体" w:cs="Times New Roman"/>
                <w:color w:val="000000"/>
                <w:kern w:val="2"/>
                <w:sz w:val="21"/>
                <w:szCs w:val="20"/>
                <w:lang w:val="en-US" w:eastAsia="zh-CN" w:bidi="ar-SA"/>
              </w:rPr>
              <w:t>；</w:t>
            </w:r>
          </w:p>
          <w:p>
            <w:pPr>
              <w:autoSpaceDN w:val="0"/>
              <w:spacing w:line="240" w:lineRule="auto"/>
              <w:ind w:firstLine="0" w:firstLineChars="0"/>
              <w:jc w:val="left"/>
              <w:rPr>
                <w:rFonts w:ascii="宋体" w:hAnsi="宋体" w:eastAsia="宋体" w:cs="Times New Roman"/>
                <w:color w:val="000000"/>
                <w:sz w:val="21"/>
                <w:szCs w:val="24"/>
              </w:rPr>
            </w:pPr>
            <w:r>
              <w:rPr>
                <w:rFonts w:hint="eastAsia" w:ascii="宋体" w:hAnsi="宋体" w:eastAsia="宋体" w:cs="Times New Roman"/>
                <w:color w:val="000000"/>
                <w:sz w:val="21"/>
                <w:szCs w:val="24"/>
              </w:rPr>
              <w:t>（8）、以太网接口1个</w:t>
            </w:r>
            <w:r>
              <w:rPr>
                <w:rFonts w:ascii="宋体" w:hAnsi="宋体" w:eastAsia="宋体" w:cs="Times New Roman"/>
                <w:color w:val="000000"/>
                <w:sz w:val="21"/>
                <w:szCs w:val="24"/>
              </w:rPr>
              <w:t>；</w:t>
            </w:r>
            <w:r>
              <w:rPr>
                <w:rFonts w:hint="eastAsia" w:ascii="宋体" w:hAnsi="宋体" w:eastAsia="宋体" w:cs="Times New Roman"/>
                <w:color w:val="000000"/>
                <w:sz w:val="21"/>
                <w:szCs w:val="24"/>
              </w:rPr>
              <w:t>支持</w:t>
            </w:r>
            <w:r>
              <w:rPr>
                <w:rFonts w:ascii="宋体" w:hAnsi="宋体" w:eastAsia="宋体" w:cs="Times New Roman"/>
                <w:color w:val="000000"/>
                <w:sz w:val="21"/>
                <w:szCs w:val="24"/>
              </w:rPr>
              <w:t>变量</w:t>
            </w:r>
            <w:r>
              <w:rPr>
                <w:rFonts w:hint="eastAsia" w:ascii="宋体" w:hAnsi="宋体" w:eastAsia="宋体" w:cs="Times New Roman"/>
                <w:color w:val="000000"/>
                <w:sz w:val="21"/>
                <w:szCs w:val="24"/>
              </w:rPr>
              <w:t>800个</w:t>
            </w:r>
            <w:r>
              <w:rPr>
                <w:rFonts w:ascii="宋体" w:hAnsi="宋体" w:eastAsia="宋体" w:cs="Times New Roman"/>
                <w:color w:val="000000"/>
                <w:sz w:val="21"/>
                <w:szCs w:val="24"/>
              </w:rPr>
              <w:t>；</w:t>
            </w:r>
          </w:p>
          <w:p>
            <w:pPr>
              <w:autoSpaceDN w:val="0"/>
              <w:spacing w:line="240" w:lineRule="auto"/>
              <w:ind w:firstLine="0" w:firstLineChars="0"/>
              <w:jc w:val="left"/>
              <w:rPr>
                <w:rFonts w:ascii="宋体" w:hAnsi="宋体" w:eastAsia="宋体" w:cs="Times New Roman"/>
                <w:color w:val="000000"/>
                <w:sz w:val="21"/>
                <w:szCs w:val="24"/>
              </w:rPr>
            </w:pPr>
            <w:r>
              <w:rPr>
                <w:rFonts w:hint="eastAsia" w:ascii="宋体" w:hAnsi="宋体" w:eastAsia="宋体" w:cs="Times New Roman"/>
                <w:color w:val="000000"/>
                <w:sz w:val="21"/>
                <w:szCs w:val="24"/>
              </w:rPr>
              <w:t>3、</w:t>
            </w:r>
            <w:r>
              <w:rPr>
                <w:rFonts w:hint="eastAsia" w:ascii="宋体" w:hAnsi="宋体" w:eastAsia="宋体" w:cs="Times New Roman"/>
                <w:color w:val="000000"/>
                <w:sz w:val="21"/>
                <w:szCs w:val="20"/>
              </w:rPr>
              <w:t>存储卡</w:t>
            </w:r>
          </w:p>
          <w:p>
            <w:pPr>
              <w:widowControl w:val="0"/>
              <w:spacing w:line="360" w:lineRule="atLeast"/>
              <w:ind w:firstLine="0" w:firstLineChars="0"/>
              <w:jc w:val="both"/>
              <w:rPr>
                <w:rFonts w:ascii="宋体" w:hAnsi="宋体" w:eastAsia="宋体" w:cs="Times New Roman"/>
                <w:color w:val="000000"/>
                <w:kern w:val="2"/>
                <w:sz w:val="21"/>
                <w:szCs w:val="20"/>
                <w:lang w:val="en-US" w:eastAsia="zh-CN" w:bidi="ar-SA"/>
              </w:rPr>
            </w:pPr>
            <w:r>
              <w:rPr>
                <w:rFonts w:hint="eastAsia" w:ascii="宋体" w:hAnsi="宋体" w:eastAsia="宋体" w:cs="Times New Roman"/>
                <w:color w:val="000000"/>
                <w:kern w:val="2"/>
                <w:sz w:val="21"/>
                <w:szCs w:val="20"/>
                <w:lang w:val="en-US" w:eastAsia="zh-CN" w:bidi="ar-SA"/>
              </w:rPr>
              <w:t>（1）、PLC Memory卡用于S7-1x 00 CPU/SINAMICS, 3,3V 闪存,4 MByte存储器；</w:t>
            </w:r>
          </w:p>
          <w:p>
            <w:pPr>
              <w:widowControl w:val="0"/>
              <w:spacing w:line="360" w:lineRule="atLeast"/>
              <w:ind w:firstLine="0" w:firstLineChars="0"/>
              <w:jc w:val="both"/>
              <w:rPr>
                <w:rFonts w:ascii="宋体" w:hAnsi="宋体" w:eastAsia="宋体" w:cs="Times New Roman"/>
                <w:color w:val="000000"/>
                <w:kern w:val="2"/>
                <w:sz w:val="21"/>
                <w:szCs w:val="20"/>
                <w:lang w:val="en-US" w:eastAsia="zh-CN" w:bidi="ar-SA"/>
              </w:rPr>
            </w:pPr>
            <w:r>
              <w:rPr>
                <w:rFonts w:hint="eastAsia" w:ascii="宋体" w:hAnsi="宋体" w:eastAsia="宋体" w:cs="Times New Roman"/>
                <w:color w:val="000000"/>
                <w:kern w:val="2"/>
                <w:sz w:val="21"/>
                <w:szCs w:val="20"/>
                <w:lang w:val="en-US" w:eastAsia="zh-CN" w:bidi="ar-SA"/>
              </w:rPr>
              <w:t>（2）、存储器类型：Flash-EPROM；</w:t>
            </w:r>
          </w:p>
          <w:p>
            <w:pPr>
              <w:widowControl w:val="0"/>
              <w:spacing w:line="360" w:lineRule="atLeast"/>
              <w:ind w:firstLine="0" w:firstLineChars="0"/>
              <w:jc w:val="both"/>
              <w:rPr>
                <w:rFonts w:ascii="宋体" w:hAnsi="宋体" w:eastAsia="宋体" w:cs="Times New Roman"/>
                <w:color w:val="000000"/>
                <w:kern w:val="2"/>
                <w:sz w:val="21"/>
                <w:szCs w:val="20"/>
                <w:lang w:val="en-US" w:eastAsia="zh-CN" w:bidi="ar-SA"/>
              </w:rPr>
            </w:pPr>
            <w:r>
              <w:rPr>
                <w:rFonts w:hint="eastAsia" w:ascii="宋体" w:hAnsi="宋体" w:eastAsia="宋体" w:cs="Times New Roman"/>
                <w:color w:val="000000"/>
                <w:kern w:val="2"/>
                <w:sz w:val="21"/>
                <w:szCs w:val="20"/>
                <w:lang w:val="en-US" w:eastAsia="zh-CN" w:bidi="ar-SA"/>
              </w:rPr>
              <w:t>（3）、存储器大小：4 Mbyte；</w:t>
            </w:r>
          </w:p>
          <w:p>
            <w:pPr>
              <w:widowControl w:val="0"/>
              <w:spacing w:line="360" w:lineRule="atLeast"/>
              <w:ind w:firstLine="0" w:firstLineChars="0"/>
              <w:jc w:val="both"/>
              <w:rPr>
                <w:rFonts w:ascii="宋体" w:hAnsi="宋体" w:eastAsia="宋体" w:cs="Times New Roman"/>
                <w:color w:val="000000"/>
                <w:kern w:val="2"/>
                <w:sz w:val="21"/>
                <w:szCs w:val="20"/>
                <w:lang w:val="en-US" w:eastAsia="zh-CN" w:bidi="ar-SA"/>
              </w:rPr>
            </w:pPr>
            <w:r>
              <w:rPr>
                <w:rFonts w:hint="eastAsia" w:ascii="宋体" w:hAnsi="宋体" w:eastAsia="宋体" w:cs="Times New Roman"/>
                <w:color w:val="000000"/>
                <w:kern w:val="2"/>
                <w:sz w:val="21"/>
                <w:szCs w:val="20"/>
                <w:lang w:val="en-US" w:eastAsia="zh-CN" w:bidi="ar-SA"/>
              </w:rPr>
              <w:t>（4）、删除/写入过程的数量，最小值500 000；</w:t>
            </w:r>
          </w:p>
          <w:p>
            <w:pPr>
              <w:autoSpaceDN w:val="0"/>
              <w:spacing w:line="240" w:lineRule="auto"/>
              <w:ind w:firstLine="0" w:firstLineChars="0"/>
              <w:jc w:val="left"/>
              <w:rPr>
                <w:rFonts w:ascii="宋体" w:hAnsi="宋体" w:eastAsia="宋体" w:cs="Times New Roman"/>
                <w:color w:val="000000"/>
                <w:sz w:val="21"/>
                <w:szCs w:val="24"/>
              </w:rPr>
            </w:pPr>
            <w:r>
              <w:rPr>
                <w:rFonts w:hint="eastAsia" w:ascii="宋体" w:hAnsi="宋体" w:eastAsia="宋体" w:cs="Times New Roman"/>
                <w:color w:val="000000"/>
                <w:sz w:val="21"/>
                <w:szCs w:val="24"/>
              </w:rPr>
              <w:t>（5）、数据维护（在最后一次编程后），最小值：10 y；当删除/写入操作次数 &lt; 50000 时（1 a，当删除/写入操作次数 &gt; 450000 时）；尺寸宽度24 mm；高度32 mm；深度2.1 mm；</w:t>
            </w:r>
          </w:p>
          <w:p>
            <w:pPr>
              <w:autoSpaceDN w:val="0"/>
              <w:spacing w:line="240" w:lineRule="auto"/>
              <w:ind w:firstLine="0" w:firstLineChars="0"/>
              <w:jc w:val="left"/>
              <w:rPr>
                <w:rFonts w:ascii="宋体" w:hAnsi="宋体" w:eastAsia="宋体" w:cs="Times New Roman"/>
                <w:color w:val="000000"/>
                <w:sz w:val="21"/>
                <w:szCs w:val="24"/>
              </w:rPr>
            </w:pPr>
            <w:r>
              <w:rPr>
                <w:rFonts w:hint="eastAsia" w:ascii="宋体" w:hAnsi="宋体" w:eastAsia="宋体" w:cs="Times New Roman"/>
                <w:color w:val="000000"/>
                <w:sz w:val="21"/>
                <w:szCs w:val="24"/>
              </w:rPr>
              <w:t>4、电源</w:t>
            </w:r>
          </w:p>
          <w:p>
            <w:pPr>
              <w:widowControl w:val="0"/>
              <w:spacing w:line="360" w:lineRule="atLeast"/>
              <w:ind w:firstLine="0" w:firstLineChars="0"/>
              <w:jc w:val="both"/>
              <w:rPr>
                <w:rFonts w:ascii="宋体" w:hAnsi="宋体" w:eastAsia="宋体" w:cs="Times New Roman"/>
                <w:color w:val="000000"/>
                <w:kern w:val="2"/>
                <w:sz w:val="21"/>
                <w:szCs w:val="20"/>
                <w:lang w:val="en-US" w:eastAsia="zh-CN" w:bidi="ar-SA"/>
              </w:rPr>
            </w:pPr>
            <w:r>
              <w:rPr>
                <w:rFonts w:hint="eastAsia" w:ascii="宋体" w:hAnsi="宋体" w:eastAsia="宋体" w:cs="Times New Roman"/>
                <w:color w:val="000000"/>
                <w:kern w:val="2"/>
                <w:sz w:val="21"/>
                <w:szCs w:val="20"/>
                <w:lang w:val="en-US" w:eastAsia="zh-CN" w:bidi="ar-SA"/>
              </w:rPr>
              <w:t>（1）、电源电压： 24V 8.25A；</w:t>
            </w:r>
          </w:p>
          <w:p>
            <w:pPr>
              <w:widowControl w:val="0"/>
              <w:spacing w:line="360" w:lineRule="atLeast"/>
              <w:ind w:firstLine="0" w:firstLineChars="0"/>
              <w:jc w:val="both"/>
              <w:rPr>
                <w:rFonts w:ascii="宋体" w:hAnsi="宋体" w:eastAsia="宋体" w:cs="Times New Roman"/>
                <w:color w:val="000000"/>
                <w:kern w:val="2"/>
                <w:sz w:val="21"/>
                <w:szCs w:val="20"/>
                <w:lang w:val="en-US" w:eastAsia="zh-CN" w:bidi="ar-SA"/>
              </w:rPr>
            </w:pPr>
            <w:r>
              <w:rPr>
                <w:rFonts w:hint="eastAsia" w:ascii="宋体" w:hAnsi="宋体" w:eastAsia="宋体" w:cs="Times New Roman"/>
                <w:color w:val="000000"/>
                <w:kern w:val="2"/>
                <w:sz w:val="21"/>
                <w:szCs w:val="20"/>
                <w:lang w:val="en-US" w:eastAsia="zh-CN" w:bidi="ar-SA"/>
              </w:rPr>
              <w:t>（2）、电源功率：198W；</w:t>
            </w:r>
          </w:p>
          <w:p>
            <w:pPr>
              <w:autoSpaceDN w:val="0"/>
              <w:spacing w:line="240" w:lineRule="auto"/>
              <w:ind w:firstLine="0" w:firstLineChars="0"/>
              <w:jc w:val="left"/>
              <w:rPr>
                <w:rFonts w:ascii="宋体" w:hAnsi="宋体" w:eastAsia="宋体" w:cs="Times New Roman"/>
                <w:color w:val="000000"/>
                <w:sz w:val="21"/>
                <w:szCs w:val="24"/>
              </w:rPr>
            </w:pPr>
            <w:r>
              <w:rPr>
                <w:rFonts w:hint="eastAsia" w:ascii="宋体" w:hAnsi="宋体" w:eastAsia="宋体" w:cs="Times New Roman"/>
                <w:color w:val="000000"/>
                <w:sz w:val="21"/>
                <w:szCs w:val="24"/>
              </w:rPr>
              <w:t>（3）、电源接口规格： 5.5x2.5mm</w:t>
            </w:r>
          </w:p>
          <w:p>
            <w:pPr>
              <w:autoSpaceDN w:val="0"/>
              <w:spacing w:line="240" w:lineRule="auto"/>
              <w:ind w:firstLine="0" w:firstLineChars="0"/>
              <w:jc w:val="left"/>
              <w:rPr>
                <w:rFonts w:ascii="宋体" w:hAnsi="宋体" w:eastAsia="宋体" w:cs="Times New Roman"/>
                <w:b/>
                <w:color w:val="000000"/>
                <w:sz w:val="21"/>
                <w:szCs w:val="24"/>
              </w:rPr>
            </w:pPr>
            <w:r>
              <w:rPr>
                <w:rFonts w:hint="eastAsia" w:ascii="宋体" w:hAnsi="宋体" w:eastAsia="宋体" w:cs="Times New Roman"/>
                <w:color w:val="000000"/>
                <w:sz w:val="21"/>
                <w:szCs w:val="24"/>
              </w:rPr>
              <w:t>5、交换机：</w:t>
            </w:r>
            <w:r>
              <w:rPr>
                <w:rFonts w:hint="eastAsia" w:ascii="宋体" w:hAnsi="宋体" w:eastAsia="宋体" w:cs="宋体"/>
                <w:kern w:val="0"/>
                <w:sz w:val="20"/>
                <w:szCs w:val="20"/>
              </w:rPr>
              <w:t>网络交换设备，可实现所有设备相连，网口不少于30个，预留级联接口；</w:t>
            </w:r>
          </w:p>
          <w:p>
            <w:pPr>
              <w:autoSpaceDN w:val="0"/>
              <w:spacing w:line="240" w:lineRule="auto"/>
              <w:ind w:firstLine="0" w:firstLineChars="0"/>
              <w:jc w:val="left"/>
              <w:rPr>
                <w:rFonts w:ascii="宋体" w:hAnsi="宋体" w:eastAsia="宋体" w:cs="Times New Roman"/>
                <w:color w:val="000000"/>
                <w:sz w:val="21"/>
                <w:szCs w:val="24"/>
              </w:rPr>
            </w:pPr>
            <w:r>
              <w:rPr>
                <w:rFonts w:hint="eastAsia" w:ascii="宋体" w:hAnsi="宋体" w:eastAsia="宋体" w:cs="Times New Roman"/>
                <w:color w:val="000000"/>
                <w:sz w:val="21"/>
                <w:szCs w:val="24"/>
              </w:rPr>
              <w:t>6、仿真</w:t>
            </w:r>
            <w:r>
              <w:rPr>
                <w:rFonts w:ascii="宋体" w:hAnsi="宋体" w:eastAsia="宋体" w:cs="Times New Roman"/>
                <w:color w:val="000000"/>
                <w:sz w:val="21"/>
                <w:szCs w:val="24"/>
              </w:rPr>
              <w:t>控制系统</w:t>
            </w:r>
            <w:r>
              <w:rPr>
                <w:rFonts w:hint="eastAsia" w:ascii="宋体" w:hAnsi="宋体" w:eastAsia="宋体" w:cs="Times New Roman"/>
                <w:color w:val="000000"/>
                <w:sz w:val="21"/>
                <w:szCs w:val="24"/>
              </w:rPr>
              <w:t>安装</w:t>
            </w:r>
            <w:r>
              <w:rPr>
                <w:rFonts w:ascii="宋体" w:hAnsi="宋体" w:eastAsia="宋体" w:cs="Times New Roman"/>
                <w:color w:val="000000"/>
                <w:sz w:val="21"/>
                <w:szCs w:val="24"/>
              </w:rPr>
              <w:t>台</w:t>
            </w:r>
          </w:p>
          <w:p>
            <w:pPr>
              <w:spacing w:line="360" w:lineRule="atLeast"/>
              <w:ind w:firstLine="0" w:firstLineChars="0"/>
              <w:rPr>
                <w:rFonts w:ascii="宋体" w:hAnsi="宋体" w:eastAsia="宋体" w:cs="Times New Roman"/>
                <w:color w:val="000000"/>
                <w:sz w:val="21"/>
                <w:szCs w:val="20"/>
              </w:rPr>
            </w:pPr>
            <w:r>
              <w:rPr>
                <w:rFonts w:hint="eastAsia" w:ascii="宋体" w:hAnsi="宋体" w:eastAsia="宋体" w:cs="Times New Roman"/>
                <w:color w:val="000000"/>
                <w:sz w:val="21"/>
                <w:szCs w:val="24"/>
              </w:rPr>
              <w:t>（1）、规格：</w:t>
            </w:r>
            <w:r>
              <w:rPr>
                <w:rFonts w:hint="eastAsia" w:ascii="宋体" w:hAnsi="宋体" w:eastAsia="宋体" w:cs="Times New Roman"/>
                <w:color w:val="000000"/>
                <w:sz w:val="21"/>
                <w:szCs w:val="20"/>
              </w:rPr>
              <w:t>500</w:t>
            </w:r>
            <w:r>
              <w:rPr>
                <w:rFonts w:ascii="宋体" w:hAnsi="宋体" w:eastAsia="宋体" w:cs="Times New Roman"/>
                <w:color w:val="000000"/>
                <w:sz w:val="21"/>
                <w:szCs w:val="20"/>
              </w:rPr>
              <w:t>*</w:t>
            </w:r>
            <w:r>
              <w:rPr>
                <w:rFonts w:hint="eastAsia" w:ascii="宋体" w:hAnsi="宋体" w:eastAsia="宋体" w:cs="Times New Roman"/>
                <w:color w:val="000000"/>
                <w:sz w:val="21"/>
                <w:szCs w:val="20"/>
              </w:rPr>
              <w:t>30</w:t>
            </w:r>
            <w:r>
              <w:rPr>
                <w:rFonts w:ascii="宋体" w:hAnsi="宋体" w:eastAsia="宋体" w:cs="Times New Roman"/>
                <w:color w:val="000000"/>
                <w:sz w:val="21"/>
                <w:szCs w:val="20"/>
              </w:rPr>
              <w:t>0*</w:t>
            </w:r>
            <w:r>
              <w:rPr>
                <w:rFonts w:hint="eastAsia" w:ascii="宋体" w:hAnsi="宋体" w:eastAsia="宋体" w:cs="Times New Roman"/>
                <w:color w:val="000000"/>
                <w:sz w:val="21"/>
                <w:szCs w:val="20"/>
              </w:rPr>
              <w:t>300mm；</w:t>
            </w:r>
          </w:p>
          <w:p>
            <w:pPr>
              <w:spacing w:line="360" w:lineRule="atLeast"/>
              <w:ind w:firstLine="0" w:firstLineChars="0"/>
              <w:rPr>
                <w:rFonts w:ascii="宋体" w:hAnsi="宋体" w:eastAsia="宋体" w:cs="Times New Roman"/>
                <w:color w:val="000000"/>
                <w:sz w:val="21"/>
                <w:szCs w:val="20"/>
              </w:rPr>
            </w:pPr>
            <w:r>
              <w:rPr>
                <w:rFonts w:hint="eastAsia" w:ascii="宋体" w:hAnsi="宋体" w:eastAsia="宋体" w:cs="Times New Roman"/>
                <w:color w:val="000000"/>
                <w:sz w:val="21"/>
                <w:szCs w:val="24"/>
              </w:rPr>
              <w:t>（</w:t>
            </w:r>
            <w:r>
              <w:rPr>
                <w:rFonts w:hint="eastAsia" w:ascii="宋体" w:hAnsi="宋体" w:eastAsia="宋体" w:cs="Times New Roman"/>
                <w:color w:val="000000"/>
                <w:sz w:val="21"/>
                <w:szCs w:val="20"/>
              </w:rPr>
              <w:t>2</w:t>
            </w:r>
            <w:r>
              <w:rPr>
                <w:rFonts w:hint="eastAsia" w:ascii="宋体" w:hAnsi="宋体" w:eastAsia="宋体" w:cs="Times New Roman"/>
                <w:color w:val="000000"/>
                <w:sz w:val="21"/>
                <w:szCs w:val="24"/>
              </w:rPr>
              <w:t>）、</w:t>
            </w:r>
            <w:r>
              <w:rPr>
                <w:rFonts w:hint="eastAsia" w:ascii="宋体" w:hAnsi="宋体" w:eastAsia="宋体" w:cs="Times New Roman"/>
                <w:color w:val="000000"/>
                <w:sz w:val="21"/>
                <w:szCs w:val="20"/>
              </w:rPr>
              <w:t>铝型材组合，透明面板；</w:t>
            </w:r>
          </w:p>
          <w:p>
            <w:pPr>
              <w:spacing w:line="360" w:lineRule="atLeast"/>
              <w:ind w:firstLine="0" w:firstLineChars="0"/>
              <w:rPr>
                <w:rFonts w:ascii="宋体" w:hAnsi="宋体" w:eastAsia="宋体" w:cs="Times New Roman"/>
                <w:color w:val="000000"/>
                <w:sz w:val="21"/>
                <w:szCs w:val="20"/>
              </w:rPr>
            </w:pPr>
            <w:r>
              <w:rPr>
                <w:rFonts w:hint="eastAsia" w:ascii="宋体" w:hAnsi="宋体" w:eastAsia="宋体" w:cs="Times New Roman"/>
                <w:color w:val="000000"/>
                <w:sz w:val="21"/>
                <w:szCs w:val="24"/>
              </w:rPr>
              <w:t>（</w:t>
            </w:r>
            <w:r>
              <w:rPr>
                <w:rFonts w:hint="eastAsia" w:ascii="宋体" w:hAnsi="宋体" w:eastAsia="宋体" w:cs="Times New Roman"/>
                <w:color w:val="000000"/>
                <w:sz w:val="21"/>
                <w:szCs w:val="20"/>
              </w:rPr>
              <w:t>3</w:t>
            </w:r>
            <w:r>
              <w:rPr>
                <w:rFonts w:hint="eastAsia" w:ascii="宋体" w:hAnsi="宋体" w:eastAsia="宋体" w:cs="Times New Roman"/>
                <w:color w:val="000000"/>
                <w:sz w:val="21"/>
                <w:szCs w:val="24"/>
              </w:rPr>
              <w:t>）、</w:t>
            </w:r>
            <w:r>
              <w:rPr>
                <w:rFonts w:hint="eastAsia" w:ascii="宋体" w:hAnsi="宋体" w:eastAsia="宋体" w:cs="Times New Roman"/>
                <w:color w:val="000000"/>
                <w:sz w:val="21"/>
                <w:szCs w:val="20"/>
              </w:rPr>
              <w:t>茶色透明亚克力面板；</w:t>
            </w:r>
          </w:p>
          <w:p>
            <w:pPr>
              <w:spacing w:line="360" w:lineRule="atLeast"/>
              <w:ind w:firstLine="0" w:firstLineChars="0"/>
              <w:rPr>
                <w:rFonts w:ascii="宋体" w:hAnsi="宋体" w:eastAsia="宋体" w:cs="Times New Roman"/>
                <w:color w:val="000000"/>
                <w:sz w:val="21"/>
                <w:szCs w:val="20"/>
              </w:rPr>
            </w:pPr>
            <w:r>
              <w:rPr>
                <w:rFonts w:hint="eastAsia" w:ascii="宋体" w:hAnsi="宋体" w:eastAsia="宋体" w:cs="Times New Roman"/>
                <w:color w:val="000000"/>
                <w:sz w:val="21"/>
                <w:szCs w:val="24"/>
              </w:rPr>
              <w:t>（</w:t>
            </w:r>
            <w:r>
              <w:rPr>
                <w:rFonts w:hint="eastAsia" w:ascii="宋体" w:hAnsi="宋体" w:eastAsia="宋体" w:cs="Times New Roman"/>
                <w:color w:val="000000"/>
                <w:sz w:val="21"/>
                <w:szCs w:val="20"/>
              </w:rPr>
              <w:t>4</w:t>
            </w:r>
            <w:r>
              <w:rPr>
                <w:rFonts w:hint="eastAsia" w:ascii="宋体" w:hAnsi="宋体" w:eastAsia="宋体" w:cs="Times New Roman"/>
                <w:color w:val="000000"/>
                <w:sz w:val="21"/>
                <w:szCs w:val="24"/>
              </w:rPr>
              <w:t>）、</w:t>
            </w:r>
            <w:r>
              <w:rPr>
                <w:rFonts w:ascii="宋体" w:hAnsi="宋体" w:eastAsia="宋体" w:cs="Times New Roman"/>
                <w:color w:val="000000"/>
                <w:sz w:val="21"/>
                <w:szCs w:val="20"/>
              </w:rPr>
              <w:t>五孔</w:t>
            </w:r>
            <w:r>
              <w:rPr>
                <w:rFonts w:hint="eastAsia" w:ascii="宋体" w:hAnsi="宋体" w:eastAsia="宋体" w:cs="Times New Roman"/>
                <w:color w:val="000000"/>
                <w:sz w:val="21"/>
                <w:szCs w:val="20"/>
              </w:rPr>
              <w:t>插座：</w:t>
            </w:r>
            <w:r>
              <w:rPr>
                <w:rFonts w:ascii="宋体" w:hAnsi="宋体" w:eastAsia="宋体" w:cs="Times New Roman"/>
                <w:color w:val="000000"/>
                <w:sz w:val="21"/>
                <w:szCs w:val="24"/>
              </w:rPr>
              <w:t>5UB01061CC</w:t>
            </w:r>
            <w:r>
              <w:rPr>
                <w:rFonts w:hint="eastAsia" w:ascii="宋体" w:hAnsi="宋体" w:eastAsia="宋体" w:cs="Times New Roman"/>
                <w:color w:val="000000"/>
                <w:sz w:val="21"/>
                <w:szCs w:val="20"/>
              </w:rPr>
              <w:t xml:space="preserve"> ，86</w:t>
            </w:r>
            <w:r>
              <w:rPr>
                <w:rFonts w:ascii="宋体" w:hAnsi="宋体" w:eastAsia="宋体" w:cs="Times New Roman"/>
                <w:color w:val="000000"/>
                <w:sz w:val="21"/>
                <w:szCs w:val="20"/>
              </w:rPr>
              <w:t>*86</w:t>
            </w:r>
            <w:r>
              <w:rPr>
                <w:rFonts w:hint="eastAsia" w:ascii="宋体" w:hAnsi="宋体" w:eastAsia="宋体" w:cs="Times New Roman"/>
                <w:color w:val="000000"/>
                <w:sz w:val="21"/>
                <w:szCs w:val="20"/>
              </w:rPr>
              <w:t>mm，额定</w:t>
            </w:r>
            <w:r>
              <w:rPr>
                <w:rFonts w:ascii="宋体" w:hAnsi="宋体" w:eastAsia="宋体" w:cs="Times New Roman"/>
                <w:color w:val="000000"/>
                <w:sz w:val="21"/>
                <w:szCs w:val="20"/>
              </w:rPr>
              <w:t>电流</w:t>
            </w:r>
            <w:r>
              <w:rPr>
                <w:rFonts w:hint="eastAsia" w:ascii="宋体" w:hAnsi="宋体" w:eastAsia="宋体" w:cs="Times New Roman"/>
                <w:color w:val="000000"/>
                <w:sz w:val="21"/>
                <w:szCs w:val="20"/>
              </w:rPr>
              <w:t>10</w:t>
            </w:r>
            <w:r>
              <w:rPr>
                <w:rFonts w:ascii="宋体" w:hAnsi="宋体" w:eastAsia="宋体" w:cs="Times New Roman"/>
                <w:color w:val="000000"/>
                <w:sz w:val="21"/>
                <w:szCs w:val="20"/>
              </w:rPr>
              <w:t>A</w:t>
            </w:r>
            <w:r>
              <w:rPr>
                <w:rFonts w:hint="eastAsia" w:ascii="宋体" w:hAnsi="宋体" w:eastAsia="宋体" w:cs="Times New Roman"/>
                <w:color w:val="000000"/>
                <w:sz w:val="21"/>
                <w:szCs w:val="20"/>
              </w:rPr>
              <w:t>；</w:t>
            </w:r>
          </w:p>
          <w:p>
            <w:pPr>
              <w:spacing w:line="360" w:lineRule="atLeast"/>
              <w:ind w:firstLine="0" w:firstLineChars="0"/>
              <w:rPr>
                <w:rFonts w:ascii="宋体" w:hAnsi="宋体" w:eastAsia="宋体" w:cs="Times New Roman"/>
                <w:color w:val="000000"/>
                <w:sz w:val="21"/>
                <w:szCs w:val="20"/>
              </w:rPr>
            </w:pPr>
            <w:r>
              <w:rPr>
                <w:rFonts w:hint="eastAsia" w:ascii="宋体" w:hAnsi="宋体" w:eastAsia="宋体" w:cs="Times New Roman"/>
                <w:color w:val="000000"/>
                <w:sz w:val="21"/>
                <w:szCs w:val="24"/>
              </w:rPr>
              <w:t>（</w:t>
            </w:r>
            <w:r>
              <w:rPr>
                <w:rFonts w:hint="eastAsia" w:ascii="宋体" w:hAnsi="宋体" w:eastAsia="宋体" w:cs="Times New Roman"/>
                <w:color w:val="000000"/>
                <w:sz w:val="21"/>
                <w:szCs w:val="20"/>
              </w:rPr>
              <w:t>5</w:t>
            </w:r>
            <w:r>
              <w:rPr>
                <w:rFonts w:hint="eastAsia" w:ascii="宋体" w:hAnsi="宋体" w:eastAsia="宋体" w:cs="Times New Roman"/>
                <w:color w:val="000000"/>
                <w:sz w:val="21"/>
                <w:szCs w:val="24"/>
              </w:rPr>
              <w:t>）、</w:t>
            </w:r>
            <w:r>
              <w:rPr>
                <w:rFonts w:hint="eastAsia" w:ascii="宋体" w:hAnsi="宋体" w:eastAsia="宋体" w:cs="Times New Roman"/>
                <w:color w:val="000000"/>
                <w:sz w:val="21"/>
                <w:szCs w:val="20"/>
              </w:rPr>
              <w:t>保护开关：</w:t>
            </w:r>
            <w:r>
              <w:rPr>
                <w:rFonts w:ascii="宋体" w:hAnsi="宋体" w:eastAsia="宋体" w:cs="Times New Roman"/>
                <w:color w:val="000000"/>
                <w:sz w:val="21"/>
                <w:szCs w:val="24"/>
              </w:rPr>
              <w:t xml:space="preserve"> NBE7LE-32</w:t>
            </w:r>
            <w:r>
              <w:rPr>
                <w:rFonts w:hint="eastAsia" w:ascii="宋体" w:hAnsi="宋体" w:eastAsia="宋体" w:cs="Times New Roman"/>
                <w:color w:val="000000"/>
                <w:sz w:val="21"/>
                <w:szCs w:val="24"/>
              </w:rPr>
              <w:t>，</w:t>
            </w:r>
            <w:r>
              <w:rPr>
                <w:rFonts w:ascii="宋体" w:hAnsi="宋体" w:eastAsia="宋体" w:cs="Times New Roman"/>
                <w:color w:val="000000"/>
                <w:sz w:val="21"/>
                <w:szCs w:val="20"/>
              </w:rPr>
              <w:t>额定</w:t>
            </w:r>
            <w:r>
              <w:rPr>
                <w:rFonts w:hint="eastAsia" w:ascii="宋体" w:hAnsi="宋体" w:eastAsia="宋体" w:cs="Times New Roman"/>
                <w:color w:val="000000"/>
                <w:sz w:val="21"/>
                <w:szCs w:val="20"/>
              </w:rPr>
              <w:t>电压230V，额定</w:t>
            </w:r>
            <w:r>
              <w:rPr>
                <w:rFonts w:ascii="宋体" w:hAnsi="宋体" w:eastAsia="宋体" w:cs="Times New Roman"/>
                <w:color w:val="000000"/>
                <w:sz w:val="21"/>
                <w:szCs w:val="20"/>
              </w:rPr>
              <w:t>电流</w:t>
            </w:r>
            <w:r>
              <w:rPr>
                <w:rFonts w:hint="eastAsia" w:ascii="宋体" w:hAnsi="宋体" w:eastAsia="宋体" w:cs="Times New Roman"/>
                <w:color w:val="000000"/>
                <w:sz w:val="21"/>
                <w:szCs w:val="20"/>
              </w:rPr>
              <w:t>32A，规格</w:t>
            </w:r>
            <w:r>
              <w:rPr>
                <w:rFonts w:ascii="宋体" w:hAnsi="宋体" w:eastAsia="宋体" w:cs="Times New Roman"/>
                <w:color w:val="000000"/>
                <w:sz w:val="21"/>
                <w:szCs w:val="20"/>
              </w:rPr>
              <w:t>88</w:t>
            </w:r>
            <w:r>
              <w:rPr>
                <w:rFonts w:hint="eastAsia" w:ascii="宋体" w:hAnsi="宋体" w:eastAsia="宋体" w:cs="Times New Roman"/>
                <w:color w:val="000000"/>
                <w:sz w:val="21"/>
                <w:szCs w:val="20"/>
              </w:rPr>
              <w:t>*</w:t>
            </w:r>
            <w:r>
              <w:rPr>
                <w:rFonts w:ascii="宋体" w:hAnsi="宋体" w:eastAsia="宋体" w:cs="Times New Roman"/>
                <w:color w:val="000000"/>
                <w:sz w:val="21"/>
                <w:szCs w:val="20"/>
              </w:rPr>
              <w:t>63</w:t>
            </w:r>
            <w:r>
              <w:rPr>
                <w:rFonts w:hint="eastAsia" w:ascii="宋体" w:hAnsi="宋体" w:eastAsia="宋体" w:cs="Times New Roman"/>
                <w:color w:val="000000"/>
                <w:sz w:val="21"/>
                <w:szCs w:val="20"/>
              </w:rPr>
              <w:t>*</w:t>
            </w:r>
            <w:r>
              <w:rPr>
                <w:rFonts w:ascii="宋体" w:hAnsi="宋体" w:eastAsia="宋体" w:cs="Times New Roman"/>
                <w:color w:val="000000"/>
                <w:sz w:val="21"/>
                <w:szCs w:val="20"/>
              </w:rPr>
              <w:t>68</w:t>
            </w:r>
            <w:r>
              <w:rPr>
                <w:rFonts w:hint="eastAsia" w:ascii="宋体" w:hAnsi="宋体" w:eastAsia="宋体" w:cs="Times New Roman"/>
                <w:color w:val="000000"/>
                <w:sz w:val="21"/>
                <w:szCs w:val="20"/>
              </w:rPr>
              <w:t>mm</w:t>
            </w:r>
            <w:r>
              <w:rPr>
                <w:rFonts w:ascii="宋体" w:hAnsi="宋体" w:eastAsia="宋体" w:cs="Times New Roman"/>
                <w:color w:val="000000"/>
                <w:sz w:val="21"/>
                <w:szCs w:val="20"/>
              </w:rPr>
              <w:t xml:space="preserve"> </w:t>
            </w:r>
            <w:r>
              <w:rPr>
                <w:rFonts w:hint="eastAsia" w:ascii="宋体" w:hAnsi="宋体" w:eastAsia="宋体" w:cs="Times New Roman"/>
                <w:color w:val="000000"/>
                <w:sz w:val="21"/>
                <w:szCs w:val="20"/>
              </w:rPr>
              <w:t>，</w:t>
            </w:r>
            <w:r>
              <w:rPr>
                <w:rFonts w:ascii="宋体" w:hAnsi="宋体" w:eastAsia="宋体" w:cs="Times New Roman"/>
                <w:color w:val="000000"/>
                <w:sz w:val="21"/>
                <w:szCs w:val="20"/>
              </w:rPr>
              <w:t>阻燃PC塑料</w:t>
            </w:r>
            <w:r>
              <w:rPr>
                <w:rFonts w:hint="eastAsia" w:ascii="宋体" w:hAnsi="宋体" w:eastAsia="宋体" w:cs="Times New Roman"/>
                <w:color w:val="000000"/>
                <w:sz w:val="21"/>
                <w:szCs w:val="20"/>
              </w:rPr>
              <w:t>，极</w:t>
            </w:r>
            <w:r>
              <w:rPr>
                <w:rFonts w:ascii="宋体" w:hAnsi="宋体" w:eastAsia="宋体" w:cs="Times New Roman"/>
                <w:color w:val="000000"/>
                <w:sz w:val="21"/>
                <w:szCs w:val="20"/>
              </w:rPr>
              <w:t>数</w:t>
            </w:r>
            <w:r>
              <w:rPr>
                <w:rFonts w:hint="eastAsia" w:ascii="宋体" w:hAnsi="宋体" w:eastAsia="宋体" w:cs="Times New Roman"/>
                <w:color w:val="000000"/>
                <w:sz w:val="21"/>
                <w:szCs w:val="20"/>
              </w:rPr>
              <w:t>，</w:t>
            </w:r>
            <w:r>
              <w:rPr>
                <w:rFonts w:ascii="宋体" w:hAnsi="宋体" w:eastAsia="宋体" w:cs="Times New Roman"/>
                <w:color w:val="000000"/>
                <w:sz w:val="21"/>
                <w:szCs w:val="20"/>
              </w:rPr>
              <w:t>过载/短路保护</w:t>
            </w:r>
            <w:r>
              <w:rPr>
                <w:rFonts w:hint="eastAsia" w:ascii="宋体" w:hAnsi="宋体" w:eastAsia="宋体" w:cs="Times New Roman"/>
                <w:color w:val="000000"/>
                <w:sz w:val="21"/>
                <w:szCs w:val="20"/>
              </w:rPr>
              <w:t>；</w:t>
            </w:r>
          </w:p>
          <w:p>
            <w:pPr>
              <w:autoSpaceDN w:val="0"/>
              <w:spacing w:line="240" w:lineRule="auto"/>
              <w:ind w:firstLine="0" w:firstLineChars="0"/>
              <w:jc w:val="left"/>
              <w:rPr>
                <w:rFonts w:ascii="宋体" w:hAnsi="宋体" w:eastAsia="宋体" w:cs="Times New Roman"/>
                <w:color w:val="000000"/>
                <w:sz w:val="21"/>
                <w:szCs w:val="20"/>
              </w:rPr>
            </w:pPr>
            <w:r>
              <w:rPr>
                <w:rFonts w:hint="eastAsia" w:ascii="宋体" w:hAnsi="宋体" w:eastAsia="宋体" w:cs="Times New Roman"/>
                <w:color w:val="000000"/>
                <w:sz w:val="21"/>
                <w:szCs w:val="24"/>
              </w:rPr>
              <w:t>（</w:t>
            </w:r>
            <w:r>
              <w:rPr>
                <w:rFonts w:hint="eastAsia" w:ascii="宋体" w:hAnsi="宋体" w:eastAsia="宋体" w:cs="Times New Roman"/>
                <w:color w:val="000000"/>
                <w:sz w:val="21"/>
                <w:szCs w:val="20"/>
              </w:rPr>
              <w:t>6</w:t>
            </w:r>
            <w:r>
              <w:rPr>
                <w:rFonts w:hint="eastAsia" w:ascii="宋体" w:hAnsi="宋体" w:eastAsia="宋体" w:cs="Times New Roman"/>
                <w:color w:val="000000"/>
                <w:sz w:val="21"/>
                <w:szCs w:val="24"/>
              </w:rPr>
              <w:t>）、</w:t>
            </w:r>
            <w:r>
              <w:rPr>
                <w:rFonts w:hint="eastAsia" w:ascii="宋体" w:hAnsi="宋体" w:eastAsia="宋体" w:cs="Times New Roman"/>
                <w:color w:val="000000"/>
                <w:sz w:val="21"/>
                <w:szCs w:val="20"/>
              </w:rPr>
              <w:t>专用船形开关。</w:t>
            </w:r>
          </w:p>
          <w:p>
            <w:pPr>
              <w:autoSpaceDN w:val="0"/>
              <w:spacing w:line="240" w:lineRule="auto"/>
              <w:ind w:firstLine="0" w:firstLineChars="0"/>
              <w:jc w:val="left"/>
              <w:rPr>
                <w:rFonts w:ascii="仿宋" w:hAnsi="仿宋" w:eastAsia="仿宋" w:cs="Times New Roman"/>
                <w:color w:val="000000"/>
                <w:sz w:val="24"/>
                <w:szCs w:val="24"/>
              </w:rPr>
            </w:pPr>
            <w:r>
              <w:rPr>
                <w:rFonts w:hint="eastAsia" w:ascii="仿宋" w:hAnsi="仿宋" w:eastAsia="仿宋" w:cs="Times New Roman"/>
                <w:color w:val="000000"/>
                <w:sz w:val="24"/>
                <w:szCs w:val="24"/>
              </w:rPr>
              <w:t xml:space="preserve">                 </w:t>
            </w:r>
            <w:r>
              <w:rPr>
                <w:rFonts w:ascii="仿宋" w:hAnsi="仿宋" w:eastAsia="仿宋" w:cs="Times New Roman"/>
                <w:color w:val="000000"/>
                <w:sz w:val="24"/>
                <w:szCs w:val="24"/>
              </w:rPr>
              <w:drawing>
                <wp:inline distT="0" distB="0" distL="114300" distR="114300">
                  <wp:extent cx="2524125" cy="1637030"/>
                  <wp:effectExtent l="0" t="0" r="9525" b="1270"/>
                  <wp:docPr id="22" name="图片 14" descr="E:\学校往来文件\广州科技贸易学院\机器人仿真设备\控制面板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4" descr="E:\学校往来文件\广州科技贸易学院\机器人仿真设备\控制面板4.jpg"/>
                          <pic:cNvPicPr>
                            <a:picLocks noChangeAspect="1"/>
                          </pic:cNvPicPr>
                        </pic:nvPicPr>
                        <pic:blipFill>
                          <a:blip r:embed="rId16"/>
                          <a:stretch>
                            <a:fillRect/>
                          </a:stretch>
                        </pic:blipFill>
                        <pic:spPr>
                          <a:xfrm>
                            <a:off x="0" y="0"/>
                            <a:ext cx="2524125" cy="163703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601" w:type="dxa"/>
            <w:noWrap w:val="0"/>
            <w:vAlign w:val="top"/>
          </w:tcPr>
          <w:p>
            <w:pPr>
              <w:widowControl/>
              <w:adjustRightInd w:val="0"/>
              <w:snapToGrid w:val="0"/>
              <w:spacing w:before="100" w:beforeAutospacing="1" w:after="100" w:afterAutospacing="1" w:line="240" w:lineRule="auto"/>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3</w:t>
            </w:r>
          </w:p>
        </w:tc>
        <w:tc>
          <w:tcPr>
            <w:tcW w:w="1668" w:type="dxa"/>
            <w:noWrap w:val="0"/>
            <w:vAlign w:val="top"/>
          </w:tcPr>
          <w:p>
            <w:pPr>
              <w:widowControl/>
              <w:adjustRightInd w:val="0"/>
              <w:snapToGrid w:val="0"/>
              <w:spacing w:before="100" w:beforeAutospacing="1" w:after="100" w:afterAutospacing="1" w:line="240" w:lineRule="auto"/>
              <w:ind w:firstLine="0" w:firstLineChars="0"/>
              <w:rPr>
                <w:rFonts w:ascii="Times New Roman" w:hAnsi="Times New Roman" w:eastAsia="宋体" w:cs="Times New Roman"/>
                <w:sz w:val="24"/>
                <w:szCs w:val="24"/>
              </w:rPr>
            </w:pPr>
            <w:r>
              <w:rPr>
                <w:rFonts w:hint="eastAsia" w:ascii="宋体" w:hAnsi="宋体" w:eastAsia="宋体" w:cs="宋体"/>
                <w:kern w:val="0"/>
                <w:sz w:val="24"/>
                <w:szCs w:val="24"/>
              </w:rPr>
              <w:t>机电一体化仿真验证设备（全自动彩球输送机）</w:t>
            </w:r>
          </w:p>
        </w:tc>
        <w:tc>
          <w:tcPr>
            <w:tcW w:w="8465" w:type="dxa"/>
            <w:noWrap w:val="0"/>
            <w:vAlign w:val="top"/>
          </w:tcPr>
          <w:p>
            <w:pPr>
              <w:spacing w:line="360" w:lineRule="atLeast"/>
              <w:ind w:firstLine="0" w:firstLineChars="0"/>
              <w:rPr>
                <w:rFonts w:ascii="宋体" w:hAnsi="宋体" w:eastAsia="宋体" w:cs="宋体"/>
                <w:kern w:val="0"/>
                <w:sz w:val="21"/>
                <w:szCs w:val="21"/>
              </w:rPr>
            </w:pPr>
            <w:r>
              <w:rPr>
                <w:rFonts w:hint="eastAsia" w:ascii="宋体" w:hAnsi="宋体" w:eastAsia="宋体" w:cs="宋体"/>
                <w:kern w:val="0"/>
                <w:sz w:val="21"/>
                <w:szCs w:val="21"/>
              </w:rPr>
              <w:t>全自动彩球输送机，</w:t>
            </w:r>
            <w:r>
              <w:rPr>
                <w:rFonts w:hint="eastAsia" w:ascii="Times New Roman" w:hAnsi="Times New Roman" w:eastAsia="宋体" w:cs="Times New Roman"/>
                <w:sz w:val="21"/>
                <w:szCs w:val="21"/>
              </w:rPr>
              <w:t>设备由推进输送单元、转盘输送单元、抬升输送单元和平面输送单元构成。其中推进输送单元由一个传统的物料输送机构，主要由料筒，送料气缸，球头柱塞组成。工作流程是物料球从料筒进入，由惯性掉落在底面。受球头柱塞限位，物料球卡在料仓内。根据下一单元的转盘旋转周期，控制气缸，将物料球推出料仓，准确送入下一单元。推进输送单元考验的是学习者对零部件的设计，料筒大小的把握，球头柱塞安装位置的掌控，气缸的选型和气缸的动作时间把控。抬升输送单元由一个与推进输送单元输送相反的机构，有助于培养学习者逆向思维和创新思维。抬升输送单元主要由气缸，球头柱塞，传感器和料筒组成。斜面输送单元由一个打破传统的平面输送机构的（传送带输送和滚筒输送），巧妙结合球形物体的特性设计而成的平面输送机构。有助于学习者对专业知识的提升和扩展。斜面输送单元主要由步进电机，轴，同步轮，键，普通轴承，线性轴承，偏心轮和斜板组成；</w:t>
            </w:r>
          </w:p>
          <w:p>
            <w:pPr>
              <w:numPr>
                <w:ilvl w:val="0"/>
                <w:numId w:val="4"/>
              </w:numPr>
              <w:spacing w:line="360" w:lineRule="atLeast"/>
              <w:ind w:left="420" w:hanging="42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输入电</w:t>
            </w:r>
            <w:r>
              <w:rPr>
                <w:rFonts w:ascii="Times New Roman" w:hAnsi="Times New Roman" w:eastAsia="宋体" w:cs="Times New Roman"/>
                <w:sz w:val="21"/>
                <w:szCs w:val="21"/>
              </w:rPr>
              <w:t>源：AC220V±10％(单相三线)；</w:t>
            </w:r>
          </w:p>
          <w:p>
            <w:pPr>
              <w:numPr>
                <w:ilvl w:val="0"/>
                <w:numId w:val="4"/>
              </w:numPr>
              <w:spacing w:line="360" w:lineRule="atLeast"/>
              <w:ind w:left="420" w:hanging="420" w:firstLineChars="0"/>
              <w:jc w:val="left"/>
              <w:rPr>
                <w:rFonts w:ascii="Times New Roman" w:hAnsi="Times New Roman" w:eastAsia="宋体" w:cs="Times New Roman"/>
                <w:sz w:val="21"/>
                <w:szCs w:val="21"/>
              </w:rPr>
            </w:pPr>
            <w:r>
              <w:rPr>
                <w:rFonts w:ascii="Times New Roman" w:hAnsi="Times New Roman" w:eastAsia="宋体" w:cs="Times New Roman"/>
                <w:sz w:val="21"/>
                <w:szCs w:val="21"/>
              </w:rPr>
              <w:t>外形尺寸：</w:t>
            </w:r>
            <w:r>
              <w:rPr>
                <w:rFonts w:hint="eastAsia" w:ascii="Times New Roman" w:hAnsi="Times New Roman" w:eastAsia="宋体" w:cs="Times New Roman"/>
                <w:sz w:val="21"/>
                <w:szCs w:val="21"/>
              </w:rPr>
              <w:t>不大于</w:t>
            </w:r>
            <w:r>
              <w:rPr>
                <w:rFonts w:ascii="Times New Roman" w:hAnsi="Times New Roman" w:eastAsia="宋体" w:cs="Times New Roman"/>
                <w:sz w:val="21"/>
                <w:szCs w:val="21"/>
              </w:rPr>
              <w:t>440×400×470mm； </w:t>
            </w:r>
          </w:p>
          <w:p>
            <w:pPr>
              <w:numPr>
                <w:ilvl w:val="0"/>
                <w:numId w:val="4"/>
              </w:numPr>
              <w:spacing w:line="360" w:lineRule="atLeast"/>
              <w:ind w:firstLine="0" w:firstLineChars="0"/>
              <w:jc w:val="left"/>
              <w:rPr>
                <w:rFonts w:ascii="Times New Roman" w:hAnsi="Times New Roman" w:eastAsia="宋体" w:cs="Times New Roman"/>
                <w:sz w:val="21"/>
                <w:szCs w:val="21"/>
              </w:rPr>
            </w:pPr>
            <w:r>
              <w:rPr>
                <w:rFonts w:ascii="Times New Roman" w:hAnsi="Times New Roman" w:eastAsia="宋体" w:cs="Times New Roman"/>
                <w:sz w:val="21"/>
                <w:szCs w:val="21"/>
              </w:rPr>
              <w:t>气源压力：0.4MPa；</w:t>
            </w:r>
          </w:p>
          <w:p>
            <w:pPr>
              <w:numPr>
                <w:ilvl w:val="0"/>
                <w:numId w:val="4"/>
              </w:numPr>
              <w:spacing w:line="360" w:lineRule="atLeast"/>
              <w:ind w:firstLine="0" w:firstLineChars="0"/>
              <w:jc w:val="left"/>
              <w:rPr>
                <w:rFonts w:ascii="Times New Roman" w:hAnsi="Times New Roman" w:eastAsia="宋体" w:cs="Times New Roman"/>
                <w:sz w:val="21"/>
                <w:szCs w:val="21"/>
              </w:rPr>
            </w:pPr>
            <w:r>
              <w:rPr>
                <w:rFonts w:ascii="Times New Roman" w:hAnsi="Times New Roman" w:eastAsia="宋体" w:cs="Times New Roman"/>
                <w:sz w:val="21"/>
                <w:szCs w:val="21"/>
              </w:rPr>
              <w:t>硬件配置</w:t>
            </w:r>
          </w:p>
          <w:p>
            <w:pPr>
              <w:numPr>
                <w:ilvl w:val="0"/>
                <w:numId w:val="4"/>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 xml:space="preserve">  57步进电机：1台，电流：3A，扭矩1.2Nm，机身长56mm,出轴长度21m，出轴轴径8mm，出线方式：二相四根引出线；</w:t>
            </w:r>
          </w:p>
          <w:p>
            <w:pPr>
              <w:numPr>
                <w:ilvl w:val="0"/>
                <w:numId w:val="4"/>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步进电机驱动器：1，输入电压DC9~42V适应恶劣的电网环境，电流：4A速度自适应电路，电流自动寻优，细分数:6400细分，具有过流、过压、欠压、短路等保护，具有脱机保护功能；</w:t>
            </w:r>
          </w:p>
          <w:p>
            <w:pPr>
              <w:numPr>
                <w:ilvl w:val="0"/>
                <w:numId w:val="4"/>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同步带轮：1，带轮材质：铝合金2000系列，齿形S5M，齿数26，对应皮带宽度15mm，孔径：8mm和15mm；</w:t>
            </w:r>
          </w:p>
          <w:p>
            <w:pPr>
              <w:numPr>
                <w:ilvl w:val="0"/>
                <w:numId w:val="4"/>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转盘，采用A6061铝料，240x240x85mm</w:t>
            </w:r>
          </w:p>
          <w:p>
            <w:pPr>
              <w:numPr>
                <w:ilvl w:val="0"/>
                <w:numId w:val="4"/>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平行气缸：1，缸径16mm行程125mm，附磁石，牙型：M5x0.8,含磁感应开关，线长1.5米；</w:t>
            </w:r>
          </w:p>
          <w:p>
            <w:pPr>
              <w:numPr>
                <w:ilvl w:val="0"/>
                <w:numId w:val="4"/>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薄型气缸：1，缸径20mm行程50mm，附磁石，PT牙，活塞杆型式：内牙型，含磁感应开关，线长1.5米；</w:t>
            </w:r>
          </w:p>
          <w:p>
            <w:pPr>
              <w:numPr>
                <w:ilvl w:val="0"/>
                <w:numId w:val="4"/>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同步带，数量：1，齿形：5M，周长：150mm；</w:t>
            </w:r>
          </w:p>
          <w:p>
            <w:pPr>
              <w:numPr>
                <w:ilvl w:val="0"/>
                <w:numId w:val="4"/>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轴承：8，轴承类型：滚珠轴承，滚动轴承座材质：轴承钢，滚动体列数：单列；</w:t>
            </w:r>
          </w:p>
          <w:p>
            <w:pPr>
              <w:numPr>
                <w:ilvl w:val="0"/>
                <w:numId w:val="4"/>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联轴器：1，轴承类型：膜片式联轴器，高扭矩夹持型，孔径d1：8mm，d2：15mm，外形尺寸不小于40x47mm；</w:t>
            </w:r>
          </w:p>
          <w:p>
            <w:pPr>
              <w:numPr>
                <w:ilvl w:val="0"/>
                <w:numId w:val="4"/>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软件配置</w:t>
            </w:r>
          </w:p>
          <w:p>
            <w:pPr>
              <w:numPr>
                <w:ilvl w:val="0"/>
                <w:numId w:val="4"/>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▲支持机电一体化概念设计与仿真调试MCD系统，可与机电一体化概念设计与仿真调试系统实现虚实联调；</w:t>
            </w:r>
          </w:p>
          <w:p>
            <w:pPr>
              <w:numPr>
                <w:ilvl w:val="0"/>
                <w:numId w:val="4"/>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▲提供与实物设备相配套1：1三维模型，及相关图样、仿真调试报告；</w:t>
            </w:r>
          </w:p>
          <w:p>
            <w:pPr>
              <w:widowControl w:val="0"/>
              <w:spacing w:line="360" w:lineRule="atLeast"/>
              <w:ind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17. 支持OPC软件；</w:t>
            </w:r>
          </w:p>
          <w:p>
            <w:pPr>
              <w:widowControl w:val="0"/>
              <w:spacing w:line="360" w:lineRule="atLeast"/>
              <w:ind w:firstLine="0" w:firstLineChars="0"/>
              <w:jc w:val="both"/>
              <w:rPr>
                <w:rFonts w:ascii="宋体" w:hAnsi="宋体" w:eastAsia="宋体" w:cs="Times New Roman"/>
                <w:color w:val="000000"/>
                <w:kern w:val="2"/>
                <w:sz w:val="21"/>
                <w:szCs w:val="20"/>
                <w:lang w:val="en-US" w:eastAsia="zh-CN" w:bidi="ar-SA"/>
              </w:rPr>
            </w:pPr>
            <w:r>
              <w:rPr>
                <w:rFonts w:hint="eastAsia" w:ascii="宋体" w:hAnsi="宋体" w:eastAsia="宋体" w:cs="Times New Roman"/>
                <w:color w:val="000000"/>
                <w:kern w:val="2"/>
                <w:sz w:val="21"/>
                <w:szCs w:val="20"/>
                <w:lang w:val="en-US" w:eastAsia="zh-CN" w:bidi="ar-SA"/>
              </w:rPr>
              <w:t xml:space="preserve">         </w:t>
            </w:r>
            <w:r>
              <w:rPr>
                <w:rFonts w:ascii="宋体" w:hAnsi="宋体" w:eastAsia="宋体" w:cs="Times New Roman"/>
                <w:color w:val="000000"/>
                <w:kern w:val="2"/>
                <w:sz w:val="21"/>
                <w:szCs w:val="20"/>
                <w:lang w:val="en-US" w:eastAsia="zh-CN" w:bidi="ar-SA"/>
              </w:rPr>
              <w:drawing>
                <wp:inline distT="0" distB="0" distL="114300" distR="114300">
                  <wp:extent cx="3371850" cy="2151380"/>
                  <wp:effectExtent l="90805" t="73025" r="99695" b="1187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369751" cy="2133335"/>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601" w:type="dxa"/>
            <w:noWrap w:val="0"/>
            <w:vAlign w:val="top"/>
          </w:tcPr>
          <w:p>
            <w:pPr>
              <w:widowControl/>
              <w:adjustRightInd w:val="0"/>
              <w:snapToGrid w:val="0"/>
              <w:spacing w:before="100" w:beforeAutospacing="1" w:after="100" w:afterAutospacing="1" w:line="240" w:lineRule="auto"/>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4</w:t>
            </w:r>
          </w:p>
        </w:tc>
        <w:tc>
          <w:tcPr>
            <w:tcW w:w="1668" w:type="dxa"/>
            <w:noWrap w:val="0"/>
            <w:vAlign w:val="top"/>
          </w:tcPr>
          <w:p>
            <w:pPr>
              <w:widowControl/>
              <w:adjustRightInd w:val="0"/>
              <w:snapToGrid w:val="0"/>
              <w:spacing w:before="100" w:beforeAutospacing="1" w:after="100" w:afterAutospacing="1" w:line="240" w:lineRule="auto"/>
              <w:ind w:firstLine="0" w:firstLineChars="0"/>
              <w:rPr>
                <w:rFonts w:ascii="Times New Roman" w:hAnsi="Times New Roman" w:eastAsia="宋体" w:cs="Times New Roman"/>
                <w:sz w:val="24"/>
                <w:szCs w:val="24"/>
              </w:rPr>
            </w:pPr>
            <w:r>
              <w:rPr>
                <w:rFonts w:hint="eastAsia" w:ascii="宋体" w:hAnsi="宋体" w:eastAsia="宋体" w:cs="宋体"/>
                <w:kern w:val="0"/>
                <w:sz w:val="24"/>
                <w:szCs w:val="24"/>
              </w:rPr>
              <w:t>机电一体化仿真验证设备（</w:t>
            </w:r>
            <w:r>
              <w:rPr>
                <w:rFonts w:hint="eastAsia" w:ascii="Times New Roman" w:hAnsi="Times New Roman" w:eastAsia="宋体" w:cs="Times New Roman"/>
                <w:sz w:val="24"/>
                <w:szCs w:val="24"/>
              </w:rPr>
              <w:t>五子棋创新柔性设备</w:t>
            </w:r>
            <w:r>
              <w:rPr>
                <w:rFonts w:hint="eastAsia" w:ascii="宋体" w:hAnsi="宋体" w:eastAsia="宋体" w:cs="宋体"/>
                <w:kern w:val="0"/>
                <w:sz w:val="24"/>
                <w:szCs w:val="24"/>
              </w:rPr>
              <w:t>）</w:t>
            </w:r>
          </w:p>
        </w:tc>
        <w:tc>
          <w:tcPr>
            <w:tcW w:w="8465" w:type="dxa"/>
            <w:noWrap w:val="0"/>
            <w:vAlign w:val="top"/>
          </w:tcPr>
          <w:p>
            <w:pPr>
              <w:spacing w:line="540" w:lineRule="exact"/>
              <w:ind w:firstLine="0" w:firstLineChars="0"/>
              <w:rPr>
                <w:rFonts w:ascii="宋体" w:hAnsi="宋体" w:eastAsia="宋体" w:cs="宋体"/>
                <w:sz w:val="24"/>
                <w:szCs w:val="24"/>
              </w:rPr>
            </w:pPr>
            <w:r>
              <w:rPr>
                <w:rFonts w:hint="eastAsia" w:ascii="Times New Roman" w:hAnsi="Times New Roman" w:eastAsia="宋体" w:cs="Times New Roman"/>
                <w:sz w:val="21"/>
                <w:szCs w:val="21"/>
              </w:rPr>
              <w:t>五子棋创新柔性设备，由供料单元；吸盘单元；X轴单元；Y轴单元构成，</w:t>
            </w:r>
            <w:r>
              <w:rPr>
                <w:rFonts w:ascii="Times New Roman" w:hAnsi="Times New Roman" w:eastAsia="宋体" w:cs="Times New Roman"/>
                <w:sz w:val="21"/>
                <w:szCs w:val="21"/>
              </w:rPr>
              <w:t>是为提高学生</w:t>
            </w:r>
            <w:r>
              <w:rPr>
                <w:rFonts w:hint="eastAsia" w:ascii="Times New Roman" w:hAnsi="Times New Roman" w:eastAsia="宋体" w:cs="Times New Roman"/>
                <w:sz w:val="21"/>
                <w:szCs w:val="21"/>
              </w:rPr>
              <w:t>编程逻辑</w:t>
            </w:r>
            <w:r>
              <w:rPr>
                <w:rFonts w:ascii="Times New Roman" w:hAnsi="Times New Roman" w:eastAsia="宋体" w:cs="Times New Roman"/>
                <w:sz w:val="21"/>
                <w:szCs w:val="21"/>
              </w:rPr>
              <w:t>能力和</w:t>
            </w:r>
            <w:r>
              <w:rPr>
                <w:rFonts w:hint="eastAsia" w:ascii="Times New Roman" w:hAnsi="Times New Roman" w:eastAsia="宋体" w:cs="Times New Roman"/>
                <w:sz w:val="21"/>
                <w:szCs w:val="21"/>
              </w:rPr>
              <w:t>自主创新</w:t>
            </w:r>
            <w:r>
              <w:rPr>
                <w:rFonts w:ascii="Times New Roman" w:hAnsi="Times New Roman" w:eastAsia="宋体" w:cs="Times New Roman"/>
                <w:sz w:val="21"/>
                <w:szCs w:val="21"/>
              </w:rPr>
              <w:t>能力而设计生产的一</w:t>
            </w:r>
            <w:r>
              <w:rPr>
                <w:rFonts w:hint="eastAsia" w:ascii="Times New Roman" w:hAnsi="Times New Roman" w:eastAsia="宋体" w:cs="Times New Roman"/>
                <w:sz w:val="21"/>
                <w:szCs w:val="21"/>
              </w:rPr>
              <w:t>台</w:t>
            </w:r>
            <w:r>
              <w:rPr>
                <w:rFonts w:ascii="Times New Roman" w:hAnsi="Times New Roman" w:eastAsia="宋体" w:cs="Times New Roman"/>
                <w:sz w:val="21"/>
                <w:szCs w:val="21"/>
              </w:rPr>
              <w:t>实用性</w:t>
            </w:r>
            <w:r>
              <w:rPr>
                <w:rFonts w:hint="eastAsia" w:ascii="Times New Roman" w:hAnsi="Times New Roman" w:eastAsia="宋体" w:cs="Times New Roman"/>
                <w:sz w:val="21"/>
                <w:szCs w:val="21"/>
              </w:rPr>
              <w:t>范围广的</w:t>
            </w:r>
            <w:r>
              <w:rPr>
                <w:rFonts w:ascii="Times New Roman" w:hAnsi="Times New Roman" w:eastAsia="宋体" w:cs="Times New Roman"/>
                <w:sz w:val="21"/>
                <w:szCs w:val="21"/>
              </w:rPr>
              <w:t>实验设备。</w:t>
            </w:r>
            <w:r>
              <w:rPr>
                <w:rFonts w:hint="eastAsia" w:ascii="Times New Roman" w:hAnsi="Times New Roman" w:eastAsia="宋体" w:cs="Times New Roman"/>
                <w:sz w:val="21"/>
                <w:szCs w:val="21"/>
              </w:rPr>
              <w:t>五子棋的工作原理：该设备开始公司给客户提供了4种工作模式PLC程序，模式1：运行程序摆放出“中国”字样，并触摸屏上的方格对应棋盘的位置颜色点亮，起到监控作用，而电脑MCD环境下整台设备实时动态模型会一致同时动作，起到虚实结合的作用。模式2：与模式1一样，不同在于放的字样是“MCD”。模式3：在模式1、2的基础下，客户可以在触摸屏上自由选择棋子的摆放位置，而不是由机器自动选择放。模式4：在模式1、2、3的基础下，两人下五子棋，机器具有判断输赢的逻辑功能。模式1/2/3/4采用的是递进式教学，客户可以选择不同模式运行不同功能。该设备给</w:t>
            </w:r>
            <w:r>
              <w:rPr>
                <w:rFonts w:ascii="Times New Roman" w:hAnsi="Times New Roman" w:eastAsia="宋体" w:cs="Times New Roman"/>
                <w:sz w:val="21"/>
                <w:szCs w:val="21"/>
              </w:rPr>
              <w:t>学生提供了既能满足专业需要又</w:t>
            </w:r>
            <w:r>
              <w:rPr>
                <w:rFonts w:hint="eastAsia" w:ascii="Times New Roman" w:hAnsi="Times New Roman" w:eastAsia="宋体" w:cs="Times New Roman"/>
                <w:sz w:val="21"/>
                <w:szCs w:val="21"/>
              </w:rPr>
              <w:t>提高学生多种创新思维</w:t>
            </w:r>
            <w:r>
              <w:rPr>
                <w:rFonts w:ascii="Times New Roman" w:hAnsi="Times New Roman" w:eastAsia="宋体" w:cs="Times New Roman"/>
                <w:sz w:val="21"/>
                <w:szCs w:val="21"/>
              </w:rPr>
              <w:t>的教学环境，使学生将所学的诸多单科专业知识得到全面认识、综合训练和相互提升</w:t>
            </w:r>
            <w:r>
              <w:rPr>
                <w:rFonts w:hint="eastAsia" w:ascii="Times New Roman" w:hAnsi="Times New Roman" w:eastAsia="宋体" w:cs="Times New Roman"/>
                <w:sz w:val="21"/>
                <w:szCs w:val="21"/>
              </w:rPr>
              <w:t>以及自主创新能力强</w:t>
            </w:r>
            <w:r>
              <w:rPr>
                <w:rFonts w:ascii="Times New Roman" w:hAnsi="Times New Roman" w:eastAsia="宋体" w:cs="Times New Roman"/>
                <w:sz w:val="21"/>
                <w:szCs w:val="21"/>
              </w:rPr>
              <w:t>。</w:t>
            </w:r>
            <w:r>
              <w:rPr>
                <w:rFonts w:hint="eastAsia" w:ascii="Times New Roman" w:hAnsi="Times New Roman" w:eastAsia="宋体" w:cs="Times New Roman"/>
                <w:sz w:val="21"/>
                <w:szCs w:val="21"/>
              </w:rPr>
              <w:t>该设备</w:t>
            </w:r>
            <w:r>
              <w:rPr>
                <w:rFonts w:ascii="Times New Roman" w:hAnsi="Times New Roman" w:eastAsia="宋体" w:cs="Times New Roman"/>
                <w:sz w:val="21"/>
                <w:szCs w:val="21"/>
              </w:rPr>
              <w:t>具有一套PLC控制，可“</w:t>
            </w:r>
            <w:r>
              <w:rPr>
                <w:rFonts w:hint="eastAsia" w:ascii="Times New Roman" w:hAnsi="Times New Roman" w:eastAsia="宋体" w:cs="Times New Roman"/>
                <w:sz w:val="21"/>
                <w:szCs w:val="21"/>
              </w:rPr>
              <w:t>多种模式</w:t>
            </w:r>
            <w:r>
              <w:rPr>
                <w:rFonts w:ascii="Times New Roman" w:hAnsi="Times New Roman" w:eastAsia="宋体" w:cs="Times New Roman"/>
                <w:sz w:val="21"/>
                <w:szCs w:val="21"/>
              </w:rPr>
              <w:t>”运行，具有较好</w:t>
            </w:r>
            <w:r>
              <w:rPr>
                <w:rFonts w:hint="eastAsia" w:ascii="Times New Roman" w:hAnsi="Times New Roman" w:eastAsia="宋体" w:cs="Times New Roman"/>
                <w:sz w:val="21"/>
                <w:szCs w:val="21"/>
              </w:rPr>
              <w:t>创新</w:t>
            </w:r>
            <w:r>
              <w:rPr>
                <w:rFonts w:ascii="Times New Roman" w:hAnsi="Times New Roman" w:eastAsia="宋体" w:cs="Times New Roman"/>
                <w:sz w:val="21"/>
                <w:szCs w:val="21"/>
              </w:rPr>
              <w:t>的柔性。将</w:t>
            </w:r>
            <w:r>
              <w:rPr>
                <w:rFonts w:hint="eastAsia" w:ascii="Times New Roman" w:hAnsi="Times New Roman" w:eastAsia="宋体" w:cs="Times New Roman"/>
                <w:sz w:val="21"/>
                <w:szCs w:val="21"/>
              </w:rPr>
              <w:t>采用一机多运行教学，因此</w:t>
            </w:r>
            <w:r>
              <w:rPr>
                <w:rFonts w:ascii="Times New Roman" w:hAnsi="Times New Roman" w:eastAsia="宋体" w:cs="Times New Roman"/>
                <w:sz w:val="21"/>
                <w:szCs w:val="21"/>
              </w:rPr>
              <w:t>可以容纳</w:t>
            </w:r>
            <w:r>
              <w:rPr>
                <w:rFonts w:hint="eastAsia" w:ascii="Times New Roman" w:hAnsi="Times New Roman" w:eastAsia="宋体" w:cs="Times New Roman"/>
                <w:sz w:val="21"/>
                <w:szCs w:val="21"/>
              </w:rPr>
              <w:t>多元化多逻辑多</w:t>
            </w:r>
            <w:r>
              <w:rPr>
                <w:rFonts w:ascii="Times New Roman" w:hAnsi="Times New Roman" w:eastAsia="宋体" w:cs="Times New Roman"/>
                <w:sz w:val="21"/>
                <w:szCs w:val="21"/>
              </w:rPr>
              <w:t>学员学习，在基本单元模块培训完成以后，又可以将相邻的两站、三站…直至多站连接在一起，学习复杂系统的控制、编程、装配和调试技术。</w:t>
            </w:r>
            <w:r>
              <w:rPr>
                <w:rFonts w:hint="eastAsia" w:ascii="Times New Roman" w:hAnsi="Times New Roman" w:eastAsia="宋体" w:cs="Times New Roman"/>
                <w:sz w:val="21"/>
                <w:szCs w:val="21"/>
              </w:rPr>
              <w:t>全面学习气动技术、传感器技术、PLC编程技术、位置检测技术、电子电气技术、机械组装技术、电气驱动技术、信号连接与转换技术、机械手技术、机械加工自动化技术、机电概念设计MCD仿真技术、UG 3D建模以及元器件的选型。</w:t>
            </w:r>
          </w:p>
          <w:p>
            <w:pPr>
              <w:numPr>
                <w:ilvl w:val="0"/>
                <w:numId w:val="5"/>
              </w:numPr>
              <w:spacing w:line="360" w:lineRule="atLeast"/>
              <w:ind w:left="420" w:hanging="42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输入电源：</w:t>
            </w:r>
            <w:r>
              <w:rPr>
                <w:rFonts w:ascii="Times New Roman" w:hAnsi="Times New Roman" w:eastAsia="宋体" w:cs="Times New Roman"/>
                <w:sz w:val="21"/>
                <w:szCs w:val="21"/>
              </w:rPr>
              <w:t>AC220V±10％(单相三线)；</w:t>
            </w:r>
          </w:p>
          <w:p>
            <w:pPr>
              <w:numPr>
                <w:ilvl w:val="0"/>
                <w:numId w:val="5"/>
              </w:numPr>
              <w:spacing w:line="360" w:lineRule="atLeast"/>
              <w:ind w:firstLine="0" w:firstLineChars="0"/>
              <w:jc w:val="left"/>
              <w:rPr>
                <w:rFonts w:ascii="Times New Roman" w:hAnsi="Times New Roman" w:eastAsia="宋体" w:cs="Times New Roman"/>
                <w:sz w:val="21"/>
                <w:szCs w:val="21"/>
              </w:rPr>
            </w:pPr>
            <w:r>
              <w:rPr>
                <w:rFonts w:ascii="Times New Roman" w:hAnsi="Times New Roman" w:eastAsia="宋体" w:cs="Times New Roman"/>
                <w:sz w:val="21"/>
                <w:szCs w:val="21"/>
              </w:rPr>
              <w:t>整机功率：＜250W； </w:t>
            </w:r>
          </w:p>
          <w:p>
            <w:pPr>
              <w:numPr>
                <w:ilvl w:val="0"/>
                <w:numId w:val="5"/>
              </w:numPr>
              <w:spacing w:line="360" w:lineRule="atLeast"/>
              <w:ind w:left="420" w:hanging="420" w:firstLineChars="0"/>
              <w:jc w:val="left"/>
              <w:rPr>
                <w:rFonts w:ascii="Times New Roman" w:hAnsi="Times New Roman" w:eastAsia="宋体" w:cs="Times New Roman"/>
                <w:sz w:val="21"/>
                <w:szCs w:val="21"/>
              </w:rPr>
            </w:pPr>
            <w:r>
              <w:rPr>
                <w:rFonts w:ascii="Times New Roman" w:hAnsi="Times New Roman" w:eastAsia="宋体" w:cs="Times New Roman"/>
                <w:sz w:val="21"/>
                <w:szCs w:val="21"/>
              </w:rPr>
              <w:t>外形尺寸：</w:t>
            </w:r>
            <w:r>
              <w:rPr>
                <w:rFonts w:hint="eastAsia" w:ascii="Times New Roman" w:hAnsi="Times New Roman" w:eastAsia="宋体" w:cs="Times New Roman"/>
                <w:sz w:val="21"/>
                <w:szCs w:val="21"/>
              </w:rPr>
              <w:t>不大于</w:t>
            </w:r>
            <w:r>
              <w:rPr>
                <w:rFonts w:ascii="Times New Roman" w:hAnsi="Times New Roman" w:eastAsia="宋体" w:cs="Times New Roman"/>
                <w:sz w:val="21"/>
                <w:szCs w:val="21"/>
              </w:rPr>
              <w:t>450×410×490mm；</w:t>
            </w:r>
          </w:p>
          <w:p>
            <w:pPr>
              <w:numPr>
                <w:ilvl w:val="0"/>
                <w:numId w:val="5"/>
              </w:numPr>
              <w:spacing w:line="360" w:lineRule="atLeast"/>
              <w:ind w:firstLine="0" w:firstLineChars="0"/>
              <w:jc w:val="left"/>
              <w:rPr>
                <w:rFonts w:ascii="Times New Roman" w:hAnsi="Times New Roman" w:eastAsia="宋体" w:cs="Times New Roman"/>
                <w:sz w:val="21"/>
                <w:szCs w:val="21"/>
              </w:rPr>
            </w:pPr>
            <w:r>
              <w:rPr>
                <w:rFonts w:ascii="Times New Roman" w:hAnsi="Times New Roman" w:eastAsia="宋体" w:cs="Times New Roman"/>
                <w:sz w:val="21"/>
                <w:szCs w:val="21"/>
              </w:rPr>
              <w:t>气源压力：0.2MPa；</w:t>
            </w:r>
          </w:p>
          <w:p>
            <w:pPr>
              <w:numPr>
                <w:ilvl w:val="0"/>
                <w:numId w:val="5"/>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硬件配置</w:t>
            </w:r>
          </w:p>
          <w:p>
            <w:pPr>
              <w:numPr>
                <w:ilvl w:val="0"/>
                <w:numId w:val="5"/>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工业交换机：数量：1个；参数：型号: T605F；电源12-48V；规格：不大于100mmX44mmX140mm；工作环境温度-40度至85度）</w:t>
            </w:r>
          </w:p>
          <w:p>
            <w:pPr>
              <w:numPr>
                <w:ilvl w:val="0"/>
                <w:numId w:val="5"/>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2个伸出气缸 (配套两个磁感应开关DS1-H、线长1.5米）；</w:t>
            </w:r>
          </w:p>
          <w:p>
            <w:pPr>
              <w:numPr>
                <w:ilvl w:val="0"/>
                <w:numId w:val="5"/>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2个伸出气缸 (配套两个磁感应开关DS1-H、线长1.5米）；</w:t>
            </w:r>
          </w:p>
          <w:p>
            <w:pPr>
              <w:numPr>
                <w:ilvl w:val="0"/>
                <w:numId w:val="5"/>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1个吸盘：型号：C-MVPLN8-3，吸盘嘴直径8mm，高度45.6mm，吸盘材料：氯丁橡胶，重量18.5g，弹簧最大负载0.9—1.9N）</w:t>
            </w:r>
          </w:p>
          <w:p>
            <w:pPr>
              <w:numPr>
                <w:ilvl w:val="0"/>
                <w:numId w:val="5"/>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1个真空发生器 ：型号：C-VUB12-6，气管直径6分，喷嘴直径2.0mm，排气量110L/min，真空度-91.8（690）KPa(mmHg)，空气消费量180L/min，供给空气压-0.5MPa，重量18g。</w:t>
            </w:r>
          </w:p>
          <w:p>
            <w:pPr>
              <w:numPr>
                <w:ilvl w:val="0"/>
                <w:numId w:val="5"/>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2个42步进电机：型号：42BYGH47-401A  （插线式线长1米）；电流：1.5A； 输出力矩：0.55Nm；机身长度：48mm；出轴长度：22mm；出轴轴径：5mm       出轴方式：单出轴；步矩精度5%；耐压500V AC1MIN；转矩0.55N*m；步距角1.8度。</w:t>
            </w:r>
          </w:p>
          <w:p>
            <w:pPr>
              <w:numPr>
                <w:ilvl w:val="0"/>
                <w:numId w:val="5"/>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2个42步进驱动器（型号：MOONS MD-2522；供给电源12-48VDC；输出电流：拨码开关设定，有8种选择，最大2.2安培；电流控制：PID电流控制算法，高速大力矩输出；16种细分；速度范围最高可达3000rpm；脉冲与方向双脉冲模式控制。</w:t>
            </w:r>
          </w:p>
          <w:p>
            <w:pPr>
              <w:numPr>
                <w:ilvl w:val="0"/>
                <w:numId w:val="5"/>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2条直线滑轨：材质钢；滑轨长度356mm；移动距离381mm；额定负载814N/2 Pieces。</w:t>
            </w:r>
          </w:p>
          <w:p>
            <w:pPr>
              <w:numPr>
                <w:ilvl w:val="0"/>
                <w:numId w:val="5"/>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4个深沟球轴承：型号：606-2Z；轴承钢材质；内径6mm，外径17mm，厚度6mm；</w:t>
            </w:r>
          </w:p>
          <w:p>
            <w:pPr>
              <w:numPr>
                <w:ilvl w:val="0"/>
                <w:numId w:val="5"/>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软件配置</w:t>
            </w:r>
          </w:p>
          <w:p>
            <w:pPr>
              <w:numPr>
                <w:ilvl w:val="0"/>
                <w:numId w:val="5"/>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支持机电一体化概念设计与仿真调试MCD系统，可与机电一体化概念设计与仿真调试系统实现虚实联调；</w:t>
            </w:r>
          </w:p>
          <w:p>
            <w:pPr>
              <w:numPr>
                <w:ilvl w:val="0"/>
                <w:numId w:val="5"/>
              </w:numPr>
              <w:spacing w:line="360" w:lineRule="atLeast"/>
              <w:ind w:firstLine="0" w:firstLineChars="0"/>
              <w:jc w:val="left"/>
              <w:rPr>
                <w:rFonts w:ascii="Times New Roman" w:hAnsi="Times New Roman" w:eastAsia="宋体" w:cs="Times New Roman"/>
                <w:sz w:val="21"/>
                <w:szCs w:val="21"/>
              </w:rPr>
            </w:pPr>
            <w:r>
              <w:rPr>
                <w:rFonts w:hint="eastAsia" w:ascii="Times New Roman" w:hAnsi="Times New Roman" w:eastAsia="宋体" w:cs="Times New Roman"/>
                <w:sz w:val="21"/>
                <w:szCs w:val="21"/>
              </w:rPr>
              <w:t>提供与实物设备相配套1：1三维模型，及相关图样、仿真调试报告；</w:t>
            </w:r>
          </w:p>
          <w:p>
            <w:pPr>
              <w:widowControl w:val="0"/>
              <w:spacing w:line="360" w:lineRule="atLeast"/>
              <w:ind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18. 支持OPC软件；</w:t>
            </w:r>
          </w:p>
          <w:p>
            <w:pPr>
              <w:widowControl w:val="0"/>
              <w:spacing w:line="360" w:lineRule="atLeast"/>
              <w:ind w:firstLine="0" w:firstLineChars="0"/>
              <w:jc w:val="both"/>
              <w:rPr>
                <w:rFonts w:ascii="宋体" w:hAnsi="宋体" w:eastAsia="宋体" w:cs="Times New Roman"/>
                <w:color w:val="000000"/>
                <w:kern w:val="2"/>
                <w:sz w:val="21"/>
                <w:szCs w:val="20"/>
                <w:lang w:val="en-US" w:eastAsia="zh-CN" w:bidi="ar-SA"/>
              </w:rPr>
            </w:pPr>
            <w:r>
              <w:rPr>
                <w:rFonts w:hint="eastAsia" w:ascii="宋体" w:hAnsi="宋体" w:eastAsia="宋体" w:cs="Times New Roman"/>
                <w:color w:val="000000"/>
                <w:kern w:val="2"/>
                <w:sz w:val="21"/>
                <w:szCs w:val="20"/>
                <w:lang w:val="en-US" w:eastAsia="zh-CN" w:bidi="ar-SA"/>
              </w:rPr>
              <w:t xml:space="preserve">              </w:t>
            </w:r>
            <w:r>
              <w:rPr>
                <w:rFonts w:ascii="宋体" w:hAnsi="宋体" w:eastAsia="宋体" w:cs="Times New Roman"/>
                <w:color w:val="000000"/>
                <w:kern w:val="2"/>
                <w:sz w:val="21"/>
                <w:szCs w:val="20"/>
                <w:lang w:val="en-US" w:eastAsia="zh-CN" w:bidi="ar-SA"/>
              </w:rPr>
              <w:drawing>
                <wp:inline distT="0" distB="0" distL="114300" distR="114300">
                  <wp:extent cx="2933700" cy="2112645"/>
                  <wp:effectExtent l="90805" t="73025" r="99695" b="11938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957223" cy="2116460"/>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601" w:type="dxa"/>
            <w:noWrap w:val="0"/>
            <w:vAlign w:val="top"/>
          </w:tcPr>
          <w:p>
            <w:pPr>
              <w:widowControl/>
              <w:adjustRightInd w:val="0"/>
              <w:snapToGrid w:val="0"/>
              <w:spacing w:before="100" w:beforeAutospacing="1" w:after="100" w:afterAutospacing="1" w:line="240" w:lineRule="auto"/>
              <w:ind w:firstLine="0" w:firstLineChars="0"/>
              <w:jc w:val="center"/>
              <w:rPr>
                <w:rFonts w:ascii="Times New Roman" w:hAnsi="Times New Roman" w:eastAsia="宋体" w:cs="Times New Roman"/>
                <w:sz w:val="24"/>
                <w:szCs w:val="24"/>
              </w:rPr>
            </w:pPr>
            <w:r>
              <w:rPr>
                <w:rFonts w:hint="eastAsia" w:ascii="Times New Roman" w:hAnsi="Times New Roman" w:eastAsia="宋体" w:cs="Times New Roman"/>
                <w:sz w:val="24"/>
                <w:szCs w:val="24"/>
              </w:rPr>
              <w:t>5</w:t>
            </w:r>
          </w:p>
        </w:tc>
        <w:tc>
          <w:tcPr>
            <w:tcW w:w="1668" w:type="dxa"/>
            <w:noWrap w:val="0"/>
            <w:vAlign w:val="top"/>
          </w:tcPr>
          <w:p>
            <w:pPr>
              <w:widowControl/>
              <w:adjustRightInd w:val="0"/>
              <w:snapToGrid w:val="0"/>
              <w:spacing w:before="100" w:beforeAutospacing="1" w:after="100" w:afterAutospacing="1" w:line="240" w:lineRule="auto"/>
              <w:ind w:firstLine="0" w:firstLineChars="0"/>
              <w:rPr>
                <w:rFonts w:ascii="Times New Roman" w:hAnsi="Times New Roman" w:eastAsia="宋体" w:cs="Times New Roman"/>
                <w:sz w:val="24"/>
                <w:szCs w:val="24"/>
              </w:rPr>
            </w:pPr>
            <w:r>
              <w:rPr>
                <w:rFonts w:hint="eastAsia" w:ascii="宋体" w:hAnsi="宋体" w:eastAsia="宋体" w:cs="宋体"/>
                <w:kern w:val="0"/>
                <w:sz w:val="24"/>
                <w:szCs w:val="24"/>
              </w:rPr>
              <w:t>机电一体化仿真验证设备（全自动倒圆角机）</w:t>
            </w:r>
          </w:p>
        </w:tc>
        <w:tc>
          <w:tcPr>
            <w:tcW w:w="8465" w:type="dxa"/>
            <w:noWrap w:val="0"/>
            <w:vAlign w:val="top"/>
          </w:tcPr>
          <w:p>
            <w:pPr>
              <w:widowControl/>
              <w:spacing w:line="360" w:lineRule="atLeast"/>
              <w:ind w:firstLine="0" w:firstLineChars="0"/>
              <w:rPr>
                <w:rFonts w:ascii="宋体" w:hAnsi="宋体" w:eastAsia="宋体" w:cs="宋体"/>
                <w:kern w:val="0"/>
                <w:sz w:val="21"/>
                <w:szCs w:val="21"/>
              </w:rPr>
            </w:pPr>
            <w:r>
              <w:rPr>
                <w:rFonts w:hint="eastAsia" w:ascii="宋体" w:hAnsi="宋体" w:eastAsia="宋体" w:cs="宋体"/>
                <w:kern w:val="0"/>
                <w:sz w:val="21"/>
                <w:szCs w:val="21"/>
              </w:rPr>
              <w:t>全自动倒圆角机，</w:t>
            </w:r>
            <w:r>
              <w:rPr>
                <w:rFonts w:hint="eastAsia" w:ascii="Times New Roman" w:hAnsi="Times New Roman" w:eastAsia="宋体" w:cs="Times New Roman"/>
                <w:sz w:val="21"/>
                <w:szCs w:val="21"/>
              </w:rPr>
              <w:t>设备由供料单元、加工单元和机械手单元构成，供料单元的主要功能是为系统提供加工工件，工件由直线送料器140#振动和斜面提供动力下降，再由机械手单元过来夹取工件到加工单元进行加工；机械手单元将工件传送到加工单元，接着等待加工单元把工件加工完后，机械手再将加工完的工件传送到下料台中，个机械手单元由旋转气缸、手指气缸、伸缩气缸、双轴气缸、57步进电机等组成；再由加工单元对工件进行正反两面倒圆角的加工，整个加工单元由三轴气缸、可调行程气缸、交流调速气缸等组成；存料单元安排加工成品的存放。</w:t>
            </w:r>
          </w:p>
          <w:p>
            <w:pPr>
              <w:numPr>
                <w:ilvl w:val="0"/>
                <w:numId w:val="6"/>
              </w:numPr>
              <w:spacing w:line="360" w:lineRule="atLeas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2AC220V±10％(单相三线) ；</w:t>
            </w:r>
          </w:p>
          <w:p>
            <w:pPr>
              <w:numPr>
                <w:ilvl w:val="0"/>
                <w:numId w:val="6"/>
              </w:numPr>
              <w:spacing w:line="360" w:lineRule="atLeas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整机功率：＜1kVA；</w:t>
            </w:r>
          </w:p>
          <w:p>
            <w:pPr>
              <w:numPr>
                <w:ilvl w:val="0"/>
                <w:numId w:val="6"/>
              </w:numPr>
              <w:spacing w:line="360" w:lineRule="atLeas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外形尺寸：不大于600×700×800mm；</w:t>
            </w:r>
          </w:p>
          <w:p>
            <w:pPr>
              <w:numPr>
                <w:ilvl w:val="0"/>
                <w:numId w:val="6"/>
              </w:numPr>
              <w:spacing w:line="360" w:lineRule="atLeas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气源压力：0.4MPa；</w:t>
            </w:r>
          </w:p>
          <w:p>
            <w:pPr>
              <w:numPr>
                <w:ilvl w:val="0"/>
                <w:numId w:val="6"/>
              </w:numPr>
              <w:spacing w:line="360" w:lineRule="atLeas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硬件配置</w:t>
            </w:r>
          </w:p>
          <w:p>
            <w:pPr>
              <w:numPr>
                <w:ilvl w:val="1"/>
                <w:numId w:val="6"/>
              </w:numPr>
              <w:spacing w:line="360" w:lineRule="atLeas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PLC：1台；100 KB 工作存储器；24VDC 电源，板载 DI14 x 24VDC 漏型/源型，DQ10 x 24VDC 和 AI2；板载 6 个高速计数器和 4 路脉冲输出；信号板扩展板载 I/O；多达 3 个用于串行通信的通信模块；多达 8 个用于 I/O 扩展的信号模块；0.04ms/1000 条指令；PROFINET 接口，用于编程、HMI 以及 PLC 间数据通信；</w:t>
            </w:r>
          </w:p>
          <w:p>
            <w:pPr>
              <w:numPr>
                <w:ilvl w:val="0"/>
                <w:numId w:val="6"/>
              </w:numPr>
              <w:spacing w:line="360" w:lineRule="atLeas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触摸屏：1台；7'' TFT 显示屏，800 x 480 像素，64K 色；按键和触摸操作，8 个功能键；1 x PROFINET，1 x USB ；</w:t>
            </w:r>
          </w:p>
          <w:p>
            <w:pPr>
              <w:numPr>
                <w:ilvl w:val="0"/>
                <w:numId w:val="6"/>
              </w:numPr>
              <w:spacing w:line="360" w:lineRule="atLeas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直线送料器140#：1个；功率：30W，额定电压：220V，承载力：2-4kg，振幅：0.5-1.0mm，输送距离：300-450mm（配控制器，电源线）；</w:t>
            </w:r>
          </w:p>
          <w:p>
            <w:pPr>
              <w:numPr>
                <w:ilvl w:val="0"/>
                <w:numId w:val="6"/>
              </w:numPr>
              <w:spacing w:line="360" w:lineRule="atLeas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光电传感器：1个；检测距离20-300mm，配线长1.5米；</w:t>
            </w:r>
          </w:p>
          <w:p>
            <w:pPr>
              <w:numPr>
                <w:ilvl w:val="0"/>
                <w:numId w:val="6"/>
              </w:numPr>
              <w:spacing w:line="360" w:lineRule="atLeas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手指气缸：1个；行程6mm，最大夹持力0.55N，工作压强0.15-0.7MPa （配套两个磁感应开关DS1-H、线长1.5米）。</w:t>
            </w:r>
          </w:p>
          <w:p>
            <w:pPr>
              <w:numPr>
                <w:ilvl w:val="0"/>
                <w:numId w:val="6"/>
              </w:numPr>
              <w:spacing w:line="360" w:lineRule="atLeas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旋转气缸：1个；回转角度范围0-190°，最大允许径向/轴向负载80N，最大工作回转时间范围0.2-0.7s/90°，工作压强0.1-0.6MPa，理论力矩（0.5MPa下）1.1MPa，回转调整角度10.2°（配套两个磁感应开关DS1-H、线长1.5米、油压缓冲器ACA1006-A）；</w:t>
            </w:r>
          </w:p>
          <w:p>
            <w:pPr>
              <w:numPr>
                <w:ilvl w:val="0"/>
                <w:numId w:val="6"/>
              </w:numPr>
              <w:spacing w:line="360" w:lineRule="atLeas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双轴气缸：1个；缸径10mm，行程50mm，工作压强0.1-1.0MPa，最大压力1.5MPa（配套两个传感器GN 线长1.5米）。</w:t>
            </w:r>
          </w:p>
          <w:p>
            <w:pPr>
              <w:numPr>
                <w:ilvl w:val="0"/>
                <w:numId w:val="6"/>
              </w:numPr>
              <w:spacing w:line="360" w:lineRule="atLeas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超薄气缸：1个；缸径20，行程20，工作压强0.1-1.0MPa（配套磁感应开关CS1-J、DS1-J，线长1.5米）。</w:t>
            </w:r>
          </w:p>
          <w:p>
            <w:pPr>
              <w:numPr>
                <w:ilvl w:val="0"/>
                <w:numId w:val="6"/>
              </w:numPr>
              <w:spacing w:line="360" w:lineRule="atLeas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57BYG步进电机：1个；电流3A，步距角0.9°-1.8°，最大扭矩9N，出现方式二线四根引线（红A+、绿A-，黄B+、蓝B-，配套步进电机驱动器）。</w:t>
            </w:r>
          </w:p>
          <w:p>
            <w:pPr>
              <w:numPr>
                <w:ilvl w:val="0"/>
                <w:numId w:val="6"/>
              </w:numPr>
              <w:spacing w:line="360" w:lineRule="atLeas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三轴气缸：1个；缸径20，行程20，工作压强0.1-1.0MPa，最大侧向负载58N，最大扭矩1.26N·m（配两个传感器GN 线长1.5米）。</w:t>
            </w:r>
          </w:p>
          <w:p>
            <w:pPr>
              <w:numPr>
                <w:ilvl w:val="0"/>
                <w:numId w:val="6"/>
              </w:numPr>
              <w:spacing w:line="360" w:lineRule="atLeas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标准气缸：1个；缸径32，行程50，可调行程20，工作压强0.1-1.0MPa（配两个传感器DS1-H、线长1.5米）。</w:t>
            </w:r>
          </w:p>
          <w:p>
            <w:pPr>
              <w:numPr>
                <w:ilvl w:val="0"/>
                <w:numId w:val="6"/>
              </w:numPr>
              <w:spacing w:line="360" w:lineRule="atLeas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光轴调速交流电机：1个；交流电压220V，功率25W，轴径10mm，调速范围0-1250r/min（配调速器）。</w:t>
            </w:r>
          </w:p>
          <w:p>
            <w:pPr>
              <w:numPr>
                <w:ilvl w:val="0"/>
                <w:numId w:val="6"/>
              </w:numPr>
              <w:spacing w:line="360" w:lineRule="atLeas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光电传感器：6个；检测距离20-300mm，配线长1.5米。</w:t>
            </w:r>
          </w:p>
          <w:p>
            <w:pPr>
              <w:numPr>
                <w:ilvl w:val="0"/>
                <w:numId w:val="6"/>
              </w:numPr>
              <w:spacing w:line="360" w:lineRule="atLeas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软件配置</w:t>
            </w:r>
          </w:p>
          <w:p>
            <w:pPr>
              <w:numPr>
                <w:ilvl w:val="1"/>
                <w:numId w:val="6"/>
              </w:numPr>
              <w:spacing w:line="360" w:lineRule="atLeas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支持机电一体化概念设计与仿真调试MCD系统，可与机电一体化概念设计与仿真调试系统实现虚实联调；</w:t>
            </w:r>
          </w:p>
          <w:p>
            <w:pPr>
              <w:numPr>
                <w:ilvl w:val="1"/>
                <w:numId w:val="6"/>
              </w:numPr>
              <w:spacing w:line="360" w:lineRule="atLeast"/>
              <w:ind w:firstLine="0" w:firstLineChars="0"/>
              <w:rPr>
                <w:rFonts w:ascii="Times New Roman" w:hAnsi="Times New Roman" w:eastAsia="宋体" w:cs="Times New Roman"/>
                <w:sz w:val="21"/>
                <w:szCs w:val="21"/>
              </w:rPr>
            </w:pPr>
            <w:r>
              <w:rPr>
                <w:rFonts w:hint="eastAsia" w:ascii="Times New Roman" w:hAnsi="Times New Roman" w:eastAsia="宋体" w:cs="Times New Roman"/>
                <w:sz w:val="21"/>
                <w:szCs w:val="21"/>
              </w:rPr>
              <w:t>提供与实物设备相配套1：1三维模型，及相关图样、仿真调试报告；</w:t>
            </w:r>
          </w:p>
          <w:p>
            <w:pPr>
              <w:autoSpaceDN w:val="0"/>
              <w:spacing w:line="320" w:lineRule="atLeast"/>
              <w:ind w:firstLine="0" w:firstLineChars="0"/>
              <w:jc w:val="left"/>
              <w:rPr>
                <w:rFonts w:ascii="Times New Roman" w:hAnsi="Times New Roman" w:eastAsia="宋体" w:cs="Times New Roman"/>
                <w:sz w:val="21"/>
                <w:szCs w:val="24"/>
              </w:rPr>
            </w:pPr>
            <w:r>
              <w:rPr>
                <w:rFonts w:hint="eastAsia" w:ascii="Times New Roman" w:hAnsi="Times New Roman" w:eastAsia="宋体" w:cs="Times New Roman"/>
                <w:sz w:val="21"/>
                <w:szCs w:val="21"/>
              </w:rPr>
              <w:t>19. 支持OPC软件；</w:t>
            </w:r>
          </w:p>
          <w:p>
            <w:pPr>
              <w:widowControl w:val="0"/>
              <w:spacing w:line="360" w:lineRule="atLeast"/>
              <w:ind w:firstLine="0" w:firstLineChars="0"/>
              <w:jc w:val="both"/>
              <w:rPr>
                <w:rFonts w:ascii="宋体" w:hAnsi="宋体" w:eastAsia="宋体" w:cs="Times New Roman"/>
                <w:color w:val="000000"/>
                <w:kern w:val="2"/>
                <w:sz w:val="21"/>
                <w:szCs w:val="20"/>
                <w:lang w:val="en-US" w:eastAsia="zh-CN" w:bidi="ar-SA"/>
              </w:rPr>
            </w:pPr>
            <w:r>
              <w:rPr>
                <w:rFonts w:hint="eastAsia" w:ascii="宋体" w:hAnsi="宋体" w:eastAsia="宋体" w:cs="Times New Roman"/>
                <w:color w:val="000000"/>
                <w:kern w:val="2"/>
                <w:sz w:val="21"/>
                <w:szCs w:val="20"/>
                <w:lang w:val="en-US" w:eastAsia="zh-CN" w:bidi="ar-SA"/>
              </w:rPr>
              <w:t xml:space="preserve">             </w:t>
            </w:r>
            <w:r>
              <w:rPr>
                <w:rFonts w:ascii="宋体" w:hAnsi="宋体" w:eastAsia="宋体" w:cs="Times New Roman"/>
                <w:color w:val="000000"/>
                <w:kern w:val="2"/>
                <w:sz w:val="21"/>
                <w:szCs w:val="20"/>
                <w:lang w:val="en-US" w:eastAsia="zh-CN" w:bidi="ar-SA"/>
              </w:rPr>
              <w:drawing>
                <wp:inline distT="0" distB="0" distL="114300" distR="114300">
                  <wp:extent cx="3219450" cy="2170430"/>
                  <wp:effectExtent l="90805" t="73025" r="99695" b="118745"/>
                  <wp:docPr id="10" name="图片 3" descr="C:\Users\MACHENIKE\Documents\WeChat Files\H824542922\Files\自动倒圆角机\15014662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C:\Users\MACHENIKE\Documents\WeChat Files\H824542922\Files\自动倒圆角机\1501466280(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217315" cy="2158893"/>
                          </a:xfrm>
                          <a:prstGeom prst="rect">
                            <a:avLst/>
                          </a:prstGeom>
                          <a:solidFill>
                            <a:srgbClr val="FFFFFF">
                              <a:shade val="85000"/>
                            </a:srgbClr>
                          </a:solidFill>
                          <a:ln w="88900" cap="sq">
                            <a:solidFill>
                              <a:srgbClr val="FFFFFF"/>
                            </a:solidFill>
                            <a:miter lim="800000"/>
                            <a:headEnd/>
                            <a:tailEnd/>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tc>
      </w:tr>
    </w:tbl>
    <w:p>
      <w:pPr>
        <w:widowControl/>
        <w:spacing w:line="360" w:lineRule="auto"/>
        <w:jc w:val="both"/>
        <w:rPr>
          <w:rFonts w:hint="eastAsia" w:ascii="宋体" w:hAnsi="宋体"/>
          <w:b/>
          <w:bCs/>
          <w:kern w:val="0"/>
          <w:sz w:val="24"/>
        </w:rPr>
      </w:pPr>
    </w:p>
    <w:p>
      <w:pPr>
        <w:widowControl/>
        <w:spacing w:line="360" w:lineRule="auto"/>
        <w:rPr>
          <w:rFonts w:hint="eastAsia" w:ascii="宋体" w:hAnsi="宋体"/>
          <w:b/>
          <w:bCs/>
          <w:kern w:val="0"/>
          <w:sz w:val="24"/>
        </w:rPr>
      </w:pPr>
    </w:p>
    <w:p>
      <w:pPr>
        <w:widowControl/>
        <w:spacing w:line="360" w:lineRule="auto"/>
        <w:jc w:val="center"/>
        <w:rPr>
          <w:rFonts w:ascii="宋体" w:hAnsi="宋体"/>
          <w:b/>
          <w:bCs/>
          <w:kern w:val="0"/>
          <w:sz w:val="24"/>
        </w:rPr>
        <w:sectPr>
          <w:pgSz w:w="16838" w:h="11906" w:orient="landscape"/>
          <w:pgMar w:top="1803" w:right="1440" w:bottom="1803" w:left="1440" w:header="851" w:footer="992" w:gutter="0"/>
          <w:cols w:space="720" w:num="1"/>
          <w:rtlGutter w:val="0"/>
          <w:docGrid w:type="lines" w:linePitch="319" w:charSpace="0"/>
        </w:sectPr>
      </w:pPr>
    </w:p>
    <w:p>
      <w:pPr>
        <w:widowControl/>
        <w:spacing w:line="360" w:lineRule="auto"/>
        <w:rPr>
          <w:rFonts w:ascii="宋体" w:hAnsi="宋体"/>
          <w:b/>
          <w:bCs/>
          <w:kern w:val="0"/>
          <w:sz w:val="24"/>
        </w:rPr>
      </w:pPr>
    </w:p>
    <w:p/>
    <w:sectPr>
      <w:footerReference r:id="rId6" w:type="default"/>
      <w:pgSz w:w="11906" w:h="16838"/>
      <w:pgMar w:top="1247" w:right="1247" w:bottom="1247" w:left="1247"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矩形 1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0ETybAAQAAjgMAAA4AAABkcnMvZTJvRG9jLnhtbK1TS27bMBDdF8gd&#10;CO5jyV4EhmA5CGAkKFAkAdIegKYoiwB/mKEt+TQFuushepyi1+iQkpw23WTRjTQzHL1573G0uR2s&#10;YScFqL2r+XJRcqac9I12h5p/+Xx/veYMo3CNMN6pmp8V8tvt1YdNHyq18p03jQJGIA6rPtS8izFU&#10;RYGyU1bgwgfl6LD1YEWkFA5FA6IndGuKVVneFL2HJoCXCpGqu/GQT4jwHkDftlqqnZdHq1wcUUEZ&#10;EUkSdjog32a2batkfGpbVJGZmpPSmJ80hOJ9ehbbjagOIEKn5URBvIfCG01WaEdDL1A7EQU7gv4H&#10;ymoJHn0bF9LbYhSSHSEVy/KNNy+dCCprIasxXEzH/wcrH0/PwHRDm3DDmROWbvzX1+8/f3xjVCB3&#10;+oAVNb2EZ5gypDBJHVqw6U0i2JAdPV8cVUNkkorL9Wq9LslsSWdzQjjF6+cBMD4ob1kKag50ZdlJ&#10;cfqEcWydW9I05++1MVQXlXF/FQgzVYrEeOSYojjsh4n43jdnEtvTbdfc0XJzZj46MjMtxhzAHOzn&#10;4BhAH7q8OWkehrtjJBKZW5owwk6D6Zqyumml0h78meeu19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LQRPJsABAACOAwAADgAAAAAAAAABACAAAAAfAQAAZHJzL2Uyb0RvYy54bWxQSwUG&#10;AAAAAAYABgBZAQAAUQ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矩形 9"/>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IP8p+/AQAAjAMAAA4AAABkcnMvZTJvRG9jLnhtbK1TS27bMBDdF8gd&#10;CO5jyV4EjmA5KGCkKBC0AdIegKYoiwB/mKEt+TQFuushepyi1+iQkpw03WTRjTQzHL1573G0uRus&#10;YScFqL2r+XJRcqac9I12h5p//XJ/veYMo3CNMN6pmp8V8rvt1btNHyq18p03jQJGIA6rPtS8izFU&#10;RYGyU1bgwgfl6LD1YEWkFA5FA6IndGuKVVneFL2HJoCXCpGqu/GQT4jwFkDftlqqnZdHq1wcUUEZ&#10;EUkSdjog32a2batk/Ny2qCIzNSelMT9pCMX79Cy2G1EdQIROy4mCeAuFV5qs0I6GXqB2Igp2BP0P&#10;lNUSPPo2LqS3xSgkO0IqluUrb546EVTWQlZjuJiO/w9Wfjo9AtNNzW85c8LShf/+9uPXz+/sNnnT&#10;B6yo5Sk8wpQhhUno0IJNb5LAhuzn+eKnGiKTVFyuV+t1SVZLOpsTwimePw+A8YPylqWg5kAXln0U&#10;pweMY+vckqY5f6+NobqojPurQJipUiTGI8cUxWE/TMT3vjmT1J7uuuaOVpsz89GRlWkt5gDmYD8H&#10;xwD60OW9SfMwvD9GIpG5pQkj7DSYLimrmxYqbcHLPHc9/0T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ACD/Kf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A6A6F"/>
    <w:multiLevelType w:val="singleLevel"/>
    <w:tmpl w:val="D06A6A6F"/>
    <w:lvl w:ilvl="0" w:tentative="0">
      <w:start w:val="3"/>
      <w:numFmt w:val="chineseCounting"/>
      <w:suff w:val="nothing"/>
      <w:lvlText w:val="%1、"/>
      <w:lvlJc w:val="left"/>
      <w:rPr>
        <w:rFonts w:hint="eastAsia"/>
      </w:rPr>
    </w:lvl>
  </w:abstractNum>
  <w:abstractNum w:abstractNumId="1">
    <w:nsid w:val="EACC8747"/>
    <w:multiLevelType w:val="singleLevel"/>
    <w:tmpl w:val="EACC8747"/>
    <w:lvl w:ilvl="0" w:tentative="0">
      <w:start w:val="1"/>
      <w:numFmt w:val="chineseCounting"/>
      <w:pStyle w:val="4"/>
      <w:suff w:val="nothing"/>
      <w:lvlText w:val="（%1）"/>
      <w:lvlJc w:val="left"/>
      <w:pPr>
        <w:ind w:left="0" w:firstLine="0"/>
      </w:pPr>
      <w:rPr>
        <w:rFonts w:hint="eastAsia" w:ascii="仿宋" w:hAnsi="仿宋" w:eastAsia="仿宋" w:cs="仿宋"/>
        <w:b/>
        <w:bCs/>
        <w:sz w:val="30"/>
        <w:szCs w:val="30"/>
      </w:rPr>
    </w:lvl>
  </w:abstractNum>
  <w:abstractNum w:abstractNumId="2">
    <w:nsid w:val="25B962DD"/>
    <w:multiLevelType w:val="multilevel"/>
    <w:tmpl w:val="25B962DD"/>
    <w:lvl w:ilvl="0" w:tentative="0">
      <w:start w:val="1"/>
      <w:numFmt w:val="decimal"/>
      <w:lvlText w:val="%1."/>
      <w:lvlJc w:val="left"/>
      <w:pPr>
        <w:ind w:left="420" w:hanging="420"/>
      </w:pPr>
      <w:rPr>
        <w:color w:val="auto"/>
      </w:rPr>
    </w:lvl>
    <w:lvl w:ilvl="1" w:tentative="0">
      <w:start w:val="0"/>
      <w:numFmt w:val="bullet"/>
      <w:lvlText w:val="▲"/>
      <w:lvlJc w:val="left"/>
      <w:pPr>
        <w:ind w:left="780" w:hanging="360"/>
      </w:pPr>
      <w:rPr>
        <w:rFonts w:hint="eastAsia"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5E4497E"/>
    <w:multiLevelType w:val="singleLevel"/>
    <w:tmpl w:val="25E4497E"/>
    <w:lvl w:ilvl="0" w:tentative="0">
      <w:start w:val="1"/>
      <w:numFmt w:val="chineseCounting"/>
      <w:pStyle w:val="3"/>
      <w:suff w:val="nothing"/>
      <w:lvlText w:val="%1、"/>
      <w:lvlJc w:val="left"/>
      <w:pPr>
        <w:ind w:left="0" w:firstLine="0"/>
      </w:pPr>
      <w:rPr>
        <w:rFonts w:hint="eastAsia" w:ascii="黑体" w:hAnsi="黑体" w:eastAsia="黑体" w:cs="黑体"/>
        <w:b/>
        <w:bCs/>
        <w:sz w:val="32"/>
        <w:szCs w:val="32"/>
      </w:rPr>
    </w:lvl>
  </w:abstractNum>
  <w:abstractNum w:abstractNumId="4">
    <w:nsid w:val="4D061DF1"/>
    <w:multiLevelType w:val="multilevel"/>
    <w:tmpl w:val="4D061DF1"/>
    <w:lvl w:ilvl="0" w:tentative="0">
      <w:start w:val="1"/>
      <w:numFmt w:val="decimal"/>
      <w:lvlText w:val="%1."/>
      <w:lvlJc w:val="left"/>
      <w:pPr>
        <w:ind w:left="420" w:hanging="420"/>
      </w:pPr>
      <w:rPr>
        <w:color w:val="auto"/>
      </w:rPr>
    </w:lvl>
    <w:lvl w:ilvl="1" w:tentative="0">
      <w:start w:val="0"/>
      <w:numFmt w:val="bullet"/>
      <w:lvlText w:val="▲"/>
      <w:lvlJc w:val="left"/>
      <w:pPr>
        <w:ind w:left="780" w:hanging="360"/>
      </w:pPr>
      <w:rPr>
        <w:rFonts w:hint="eastAsia"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63AB68A5"/>
    <w:multiLevelType w:val="multilevel"/>
    <w:tmpl w:val="63AB68A5"/>
    <w:lvl w:ilvl="0" w:tentative="0">
      <w:start w:val="1"/>
      <w:numFmt w:val="decimal"/>
      <w:lvlText w:val="%1."/>
      <w:lvlJc w:val="left"/>
      <w:pPr>
        <w:ind w:left="420" w:hanging="420"/>
      </w:pPr>
      <w:rPr>
        <w:color w:val="auto"/>
      </w:rPr>
    </w:lvl>
    <w:lvl w:ilvl="1" w:tentative="0">
      <w:start w:val="0"/>
      <w:numFmt w:val="bullet"/>
      <w:lvlText w:val="▲"/>
      <w:lvlJc w:val="left"/>
      <w:pPr>
        <w:ind w:left="780" w:hanging="360"/>
      </w:pPr>
      <w:rPr>
        <w:rFonts w:hint="eastAsia" w:ascii="宋体" w:hAnsi="宋体"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1"/>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AC0E72"/>
    <w:rsid w:val="08780A68"/>
    <w:rsid w:val="0EA70944"/>
    <w:rsid w:val="16B757D6"/>
    <w:rsid w:val="19BE3EC3"/>
    <w:rsid w:val="22166B9E"/>
    <w:rsid w:val="32205D93"/>
    <w:rsid w:val="39C13E6E"/>
    <w:rsid w:val="3CBF2473"/>
    <w:rsid w:val="600B673F"/>
    <w:rsid w:val="63AC0E72"/>
    <w:rsid w:val="63D94E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12" w:lineRule="auto"/>
      <w:ind w:firstLine="420" w:firstLineChars="200"/>
      <w:jc w:val="both"/>
    </w:pPr>
    <w:rPr>
      <w:rFonts w:eastAsia="仿宋" w:asciiTheme="minorAscii" w:hAnsiTheme="minorAscii" w:cstheme="minorBidi"/>
      <w:kern w:val="2"/>
      <w:sz w:val="28"/>
      <w:szCs w:val="22"/>
      <w:lang w:val="en-US" w:eastAsia="zh-CN" w:bidi="ar-SA"/>
    </w:rPr>
  </w:style>
  <w:style w:type="paragraph" w:styleId="3">
    <w:name w:val="heading 1"/>
    <w:basedOn w:val="1"/>
    <w:next w:val="1"/>
    <w:qFormat/>
    <w:uiPriority w:val="0"/>
    <w:pPr>
      <w:keepNext/>
      <w:keepLines/>
      <w:numPr>
        <w:ilvl w:val="0"/>
        <w:numId w:val="1"/>
      </w:numPr>
      <w:tabs>
        <w:tab w:val="left" w:pos="0"/>
      </w:tabs>
      <w:spacing w:before="50" w:beforeLines="50" w:after="50" w:afterLines="50" w:line="312" w:lineRule="auto"/>
      <w:ind w:firstLineChars="0"/>
      <w:outlineLvl w:val="0"/>
    </w:pPr>
    <w:rPr>
      <w:rFonts w:ascii="黑体" w:hAnsi="黑体" w:eastAsia="黑体" w:cs="Times New Roman"/>
      <w:b/>
      <w:kern w:val="44"/>
      <w:sz w:val="32"/>
    </w:rPr>
  </w:style>
  <w:style w:type="paragraph" w:styleId="4">
    <w:name w:val="heading 2"/>
    <w:basedOn w:val="1"/>
    <w:next w:val="1"/>
    <w:semiHidden/>
    <w:unhideWhenUsed/>
    <w:qFormat/>
    <w:uiPriority w:val="0"/>
    <w:pPr>
      <w:keepNext/>
      <w:keepLines/>
      <w:numPr>
        <w:ilvl w:val="0"/>
        <w:numId w:val="2"/>
      </w:numPr>
      <w:tabs>
        <w:tab w:val="left" w:pos="0"/>
      </w:tabs>
      <w:spacing w:before="50" w:beforeLines="50" w:line="312" w:lineRule="auto"/>
      <w:outlineLvl w:val="1"/>
    </w:pPr>
    <w:rPr>
      <w:rFonts w:ascii="仿宋" w:hAnsi="仿宋" w:eastAsia="仿宋" w:cs="Times New Roman"/>
      <w:b/>
      <w:sz w:val="32"/>
    </w:rPr>
  </w:style>
  <w:style w:type="paragraph" w:styleId="5">
    <w:name w:val="heading 3"/>
    <w:basedOn w:val="1"/>
    <w:next w:val="1"/>
    <w:semiHidden/>
    <w:unhideWhenUsed/>
    <w:qFormat/>
    <w:uiPriority w:val="0"/>
    <w:pPr>
      <w:keepNext/>
      <w:keepLines/>
      <w:spacing w:beforeLines="0" w:beforeAutospacing="0" w:afterLines="0" w:afterAutospacing="0" w:line="312" w:lineRule="auto"/>
      <w:outlineLvl w:val="2"/>
    </w:pPr>
    <w:rPr>
      <w:rFonts w:ascii="仿宋" w:hAnsi="仿宋" w:eastAsia="仿宋" w:cs="Times New Roman"/>
      <w:b/>
      <w:sz w:val="28"/>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djustRightInd w:val="0"/>
      <w:snapToGrid w:val="0"/>
      <w:ind w:firstLine="420"/>
    </w:pPr>
    <w:rPr>
      <w:kern w:val="0"/>
      <w:sz w:val="20"/>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Paragraph"/>
    <w:basedOn w:val="1"/>
    <w:qFormat/>
    <w:uiPriority w:val="1"/>
    <w:pPr>
      <w:autoSpaceDE w:val="0"/>
      <w:autoSpaceDN w:val="0"/>
      <w:jc w:val="left"/>
    </w:pPr>
    <w:rPr>
      <w:rFonts w:ascii="Arial" w:hAnsi="Arial" w:eastAsia="Arial" w:cs="Arial"/>
      <w:kern w:val="0"/>
      <w:sz w:val="22"/>
      <w:szCs w:val="22"/>
      <w:lang w:eastAsia="en-US" w:bidi="en-US"/>
    </w:rPr>
  </w:style>
  <w:style w:type="paragraph" w:customStyle="1" w:styleId="13">
    <w:name w:val="列出段落2"/>
    <w:basedOn w:val="1"/>
    <w:qFormat/>
    <w:uiPriority w:val="34"/>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diagramData" Target="diagrams/data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7.png"/><Relationship Id="rId18" Type="http://schemas.openxmlformats.org/officeDocument/2006/relationships/image" Target="media/image6.png"/><Relationship Id="rId17" Type="http://schemas.openxmlformats.org/officeDocument/2006/relationships/image" Target="media/image5.png"/><Relationship Id="rId16" Type="http://schemas.openxmlformats.org/officeDocument/2006/relationships/image" Target="media/image4.jpeg"/><Relationship Id="rId15" Type="http://schemas.openxmlformats.org/officeDocument/2006/relationships/image" Target="media/image3.png"/><Relationship Id="rId14" Type="http://schemas.openxmlformats.org/officeDocument/2006/relationships/image" Target="media/image2.jpeg"/><Relationship Id="rId13" Type="http://schemas.microsoft.com/office/2007/relationships/diagramDrawing" Target="diagrams/drawing1.xml"/><Relationship Id="rId12" Type="http://schemas.openxmlformats.org/officeDocument/2006/relationships/diagramColors" Target="diagrams/colors1.xml"/><Relationship Id="rId11" Type="http://schemas.openxmlformats.org/officeDocument/2006/relationships/diagramQuickStyle" Target="diagrams/quickStyle1.xml"/><Relationship Id="rId10" Type="http://schemas.openxmlformats.org/officeDocument/2006/relationships/diagramLayout" Target="diagrams/layout1.xml"/><Relationship Id="rId1" Type="http://schemas.openxmlformats.org/officeDocument/2006/relationships/styles" Target="styles.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alignAcc1">
    <dgm:fillClrLst meth="repeat">
      <a:srgbClr val="FFFFFF">
        <a:alpha val="90000"/>
      </a:srgbClr>
    </dgm:fillClrLst>
    <dgm:linClrLst>
      <a:srgbClr val="8064A2"/>
      <a:srgbClr val="4BACC6"/>
    </dgm:linClrLst>
    <dgm:effectClrLst/>
    <dgm:txLinClrLst/>
    <dgm:txFillClrLst meth="repeat">
      <a:srgbClr val="000000"/>
    </dgm:txFillClrLst>
    <dgm:txEffectClrLst/>
  </dgm:styleLbl>
  <dgm:styleLbl name="alignAccFollowNode1">
    <dgm:fillClrLst>
      <a:srgbClr val="D8D3E0">
        <a:tint val="40000"/>
        <a:alpha val="90000"/>
      </a:srgbClr>
      <a:srgbClr val="D0E3EA">
        <a:tint val="40000"/>
        <a:alpha val="90000"/>
      </a:srgbClr>
    </dgm:fillClrLst>
    <dgm:linClrLst>
      <a:srgbClr val="D8D3E0">
        <a:tint val="40000"/>
        <a:alpha val="90000"/>
      </a:srgbClr>
      <a:srgbClr val="D0E3EA">
        <a:tint val="40000"/>
        <a:alpha val="90000"/>
      </a:srgbClr>
    </dgm:linClrLst>
    <dgm:effectClrLst/>
    <dgm:txLinClrLst/>
    <dgm:txFillClrLst meth="repeat">
      <a:srgbClr val="000000"/>
    </dgm:txFillClrLst>
    <dgm:txEffectClrLst/>
  </dgm:styleLbl>
  <dgm:styleLbl name="alignImgPlace1">
    <dgm:fillClrLst>
      <a:srgbClr val="CDC6D7">
        <a:tint val="50000"/>
      </a:srgbClr>
      <a:srgbClr val="E9F1F5">
        <a:tint val="20000"/>
      </a:srgbClr>
    </dgm:fillClrLst>
    <dgm:linClrLst meth="repeat">
      <a:srgbClr val="FFFFFF"/>
    </dgm:linClrLst>
    <dgm:effectClrLst/>
    <dgm:txLinClrLst/>
    <dgm:txFillClrLst meth="repeat">
      <a:srgbClr val="FFFFFF"/>
    </dgm:txFillClrLst>
    <dgm:txEffectClrLst/>
  </dgm:styleLbl>
  <dgm:styleLbl name="alignNode1">
    <dgm:fillClrLst>
      <a:srgbClr val="8064A2"/>
      <a:srgbClr val="4BACC6"/>
    </dgm:fillClrLst>
    <dgm:linClrLst>
      <a:srgbClr val="8064A2"/>
      <a:srgbClr val="4BACC6"/>
    </dgm:linClrLst>
    <dgm:effectClrLst/>
    <dgm:txLinClrLst/>
    <dgm:txFillClrLst/>
    <dgm:txEffectClrLst/>
  </dgm:styleLbl>
  <dgm:styleLbl name="asst0">
    <dgm:fillClrLst meth="repeat">
      <a:srgbClr val="8064A2"/>
    </dgm:fillClrLst>
    <dgm:linClrLst meth="repeat">
      <a:srgbClr val="E7E7E7">
        <a:shade val="80000"/>
      </a:srgbClr>
    </dgm:linClrLst>
    <dgm:effectClrLst/>
    <dgm:txLinClrLst/>
    <dgm:txFillClrLst/>
    <dgm:txEffectClrLst/>
  </dgm:styleLbl>
  <dgm:styleLbl name="asst1">
    <dgm:fillClrLst meth="repeat">
      <a:srgbClr val="4BACC6"/>
    </dgm:fillClrLst>
    <dgm:linClrLst meth="repeat">
      <a:srgbClr val="E7E7E7">
        <a:shade val="80000"/>
      </a:srgbClr>
    </dgm:linClrLst>
    <dgm:effectClrLst/>
    <dgm:txLinClrLst/>
    <dgm:txFillClrLst/>
    <dgm:txEffectClrLst/>
  </dgm:styleLbl>
  <dgm:styleLbl name="asst2">
    <dgm:fillClrLst>
      <a:srgbClr val="F79646"/>
    </dgm:fillClrLst>
    <dgm:linClrLst meth="repeat">
      <a:srgbClr val="FFFFFF"/>
    </dgm:linClrLst>
    <dgm:effectClrLst/>
    <dgm:txLinClrLst/>
    <dgm:txFillClrLst/>
    <dgm:txEffectClrLst/>
  </dgm:styleLbl>
  <dgm:styleLbl name="asst3">
    <dgm:fillClrLst>
      <a:srgbClr val="4F81BD"/>
    </dgm:fillClrLst>
    <dgm:linClrLst meth="repeat">
      <a:srgbClr val="FFFFFF"/>
    </dgm:linClrLst>
    <dgm:effectClrLst/>
    <dgm:txLinClrLst/>
    <dgm:txFillClrLst/>
    <dgm:txEffectClrLst/>
  </dgm:styleLbl>
  <dgm:styleLbl name="asst4">
    <dgm:fillClrLst>
      <a:srgbClr val="C0504D"/>
    </dgm:fillClrLst>
    <dgm:linClrLst meth="repeat">
      <a:srgbClr val="FFFFFF"/>
    </dgm:linClrLst>
    <dgm:effectClrLst/>
    <dgm:txLinClrLst/>
    <dgm:txFillClrLst/>
    <dgm:txEffectClrLst/>
  </dgm:styleLbl>
  <dgm:styleLbl name="bgAcc1">
    <dgm:fillClrLst meth="repeat">
      <a:srgbClr val="FFFFFF">
        <a:alpha val="90000"/>
      </a:srgbClr>
    </dgm:fillClrLst>
    <dgm:linClrLst>
      <a:srgbClr val="8064A2"/>
      <a:srgbClr val="4BACC6"/>
    </dgm:linClrLst>
    <dgm:effectClrLst/>
    <dgm:txLinClrLst/>
    <dgm:txFillClrLst meth="repeat">
      <a:srgbClr val="000000"/>
    </dgm:txFillClrLst>
    <dgm:txEffectClrLst/>
  </dgm:styleLbl>
  <dgm:styleLbl name="bgAccFollowNode1">
    <dgm:fillClrLst>
      <a:srgbClr val="D8D3E0">
        <a:tint val="40000"/>
        <a:alpha val="90000"/>
      </a:srgbClr>
      <a:srgbClr val="D0E3EA">
        <a:tint val="40000"/>
        <a:alpha val="90000"/>
      </a:srgbClr>
    </dgm:fillClrLst>
    <dgm:linClrLst>
      <a:srgbClr val="D8D3E0">
        <a:tint val="40000"/>
        <a:alpha val="90000"/>
      </a:srgbClr>
      <a:srgbClr val="D0E3EA">
        <a:tint val="40000"/>
        <a:alpha val="90000"/>
      </a:srgbClr>
    </dgm:linClrLst>
    <dgm:effectClrLst/>
    <dgm:txLinClrLst/>
    <dgm:txFillClrLst meth="repeat">
      <a:srgbClr val="000000"/>
    </dgm:txFillClrLst>
    <dgm:txEffectClrLst/>
  </dgm:styleLbl>
  <dgm:styleLbl name="bgImgPlace1">
    <dgm:fillClrLst>
      <a:srgbClr val="CDC6D7">
        <a:tint val="50000"/>
      </a:srgbClr>
      <a:srgbClr val="E9F1F5">
        <a:tint val="20000"/>
      </a:srgbClr>
    </dgm:fillClrLst>
    <dgm:linClrLst meth="repeat">
      <a:srgbClr val="FFFFFF"/>
    </dgm:linClrLst>
    <dgm:effectClrLst/>
    <dgm:txLinClrLst/>
    <dgm:txFillClrLst meth="repeat">
      <a:srgbClr val="FFFFFF"/>
    </dgm:txFillClrLst>
    <dgm:txEffectClrLst/>
  </dgm:styleLbl>
  <dgm:styleLbl name="bgShp">
    <dgm:fillClrLst meth="repeat">
      <a:srgbClr val="D8D3E0">
        <a:tint val="40000"/>
      </a:srgbClr>
    </dgm:fillClrLst>
    <dgm:linClrLst meth="repeat">
      <a:srgbClr val="000000"/>
    </dgm:linClrLst>
    <dgm:effectClrLst/>
    <dgm:txLinClrLst/>
    <dgm:txFillClrLst meth="repeat">
      <a:srgbClr val="000000"/>
    </dgm:txFillClrLst>
    <dgm:txEffectClrLst/>
  </dgm:styleLbl>
  <dgm:styleLbl name="bgSibTrans2D1">
    <dgm:fillClrLst>
      <a:srgbClr val="8064A2"/>
      <a:srgbClr val="4BACC6"/>
    </dgm:fillClrLst>
    <dgm:linClrLst meth="repeat">
      <a:srgbClr val="FFFFFF"/>
    </dgm:linClrLst>
    <dgm:effectClrLst/>
    <dgm:txLinClrLst/>
    <dgm:txFillClrLst meth="repeat">
      <a:srgbClr val="FFFFFF"/>
    </dgm:txFillClrLst>
    <dgm:txEffectClrLst/>
  </dgm:styleLbl>
  <dgm:styleLbl name="callout">
    <dgm:fillClrLst meth="repeat">
      <a:srgbClr val="8064A2"/>
    </dgm:fillClrLst>
    <dgm:linClrLst meth="repeat">
      <a:srgbClr val="CDC6D7">
        <a:tint val="50000"/>
      </a:srgbClr>
    </dgm:linClrLst>
    <dgm:effectClrLst/>
    <dgm:txLinClrLst/>
    <dgm:txFillClrLst meth="repeat">
      <a:srgbClr val="000000"/>
    </dgm:txFillClrLst>
    <dgm:txEffectClrLst/>
  </dgm:styleLbl>
  <dgm:styleLbl name="conFgAcc1">
    <dgm:fillClrLst meth="repeat">
      <a:srgbClr val="FFFFFF">
        <a:alpha val="90000"/>
      </a:srgbClr>
    </dgm:fillClrLst>
    <dgm:linClrLst>
      <a:srgbClr val="8064A2"/>
      <a:srgbClr val="4BACC6"/>
    </dgm:linClrLst>
    <dgm:effectClrLst/>
    <dgm:txLinClrLst/>
    <dgm:txFillClrLst meth="repeat">
      <a:srgbClr val="000000"/>
    </dgm:txFillClrLst>
    <dgm:txEffectClrLst/>
  </dgm:styleLbl>
  <dgm:styleLbl name="dkBgShp">
    <dgm:fillClrLst meth="repeat">
      <a:srgbClr val="7A5F9A">
        <a:shade val="90000"/>
      </a:srgbClr>
    </dgm:fillClrLst>
    <dgm:linClrLst meth="repeat">
      <a:srgbClr val="000000"/>
    </dgm:linClrLst>
    <dgm:effectClrLst/>
    <dgm:txLinClrLst/>
    <dgm:txFillClrLst meth="repeat">
      <a:srgbClr val="FFFFFF"/>
    </dgm:txFillClrLst>
    <dgm:txEffectClrLst/>
  </dgm:styleLbl>
  <dgm:styleLbl name="fgAcc0">
    <dgm:fillClrLst meth="repeat">
      <a:srgbClr val="FFFFFF">
        <a:alpha val="90000"/>
      </a:srgbClr>
    </dgm:fillClrLst>
    <dgm:linClrLst>
      <a:srgbClr val="9BBB59"/>
    </dgm:linClrLst>
    <dgm:effectClrLst/>
    <dgm:txLinClrLst/>
    <dgm:txFillClrLst meth="repeat">
      <a:srgbClr val="000000"/>
    </dgm:txFillClrLst>
    <dgm:txEffectClrLst/>
  </dgm:styleLbl>
  <dgm:styleLbl name="fgAcc1">
    <dgm:fillClrLst meth="repeat">
      <a:srgbClr val="FFFFFF">
        <a:alpha val="90000"/>
      </a:srgbClr>
    </dgm:fillClrLst>
    <dgm:linClrLst>
      <a:srgbClr val="8064A2"/>
      <a:srgbClr val="4BACC6"/>
    </dgm:linClrLst>
    <dgm:effectClrLst/>
    <dgm:txLinClrLst/>
    <dgm:txFillClrLst meth="repeat">
      <a:srgbClr val="000000"/>
    </dgm:txFillClrLst>
    <dgm:txEffectClrLst/>
  </dgm:styleLbl>
  <dgm:styleLbl name="fgAcc2">
    <dgm:fillClrLst meth="repeat">
      <a:srgbClr val="FFFFFF">
        <a:alpha val="90000"/>
      </a:srgbClr>
    </dgm:fillClrLst>
    <dgm:linClrLst>
      <a:srgbClr val="4BACC6"/>
    </dgm:linClrLst>
    <dgm:effectClrLst/>
    <dgm:txLinClrLst/>
    <dgm:txFillClrLst meth="repeat">
      <a:srgbClr val="000000"/>
    </dgm:txFillClrLst>
    <dgm:txEffectClrLst/>
  </dgm:styleLbl>
  <dgm:styleLbl name="fgAcc3">
    <dgm:fillClrLst meth="repeat">
      <a:srgbClr val="FFFFFF">
        <a:alpha val="90000"/>
      </a:srgbClr>
    </dgm:fillClrLst>
    <dgm:linClrLst>
      <a:srgbClr val="F79646"/>
    </dgm:linClrLst>
    <dgm:effectClrLst/>
    <dgm:txLinClrLst/>
    <dgm:txFillClrLst meth="repeat">
      <a:srgbClr val="000000"/>
    </dgm:txFillClrLst>
    <dgm:txEffectClrLst/>
  </dgm:styleLbl>
  <dgm:styleLbl name="fgAcc4">
    <dgm:fillClrLst meth="repeat">
      <a:srgbClr val="FFFFFF">
        <a:alpha val="90000"/>
      </a:srgbClr>
    </dgm:fillClrLst>
    <dgm:linClrLst>
      <a:srgbClr val="4F81BD"/>
    </dgm:linClrLst>
    <dgm:effectClrLst/>
    <dgm:txLinClrLst/>
    <dgm:txFillClrLst meth="repeat">
      <a:srgbClr val="000000"/>
    </dgm:txFillClrLst>
    <dgm:txEffectClrLst/>
  </dgm:styleLbl>
  <dgm:styleLbl name="fgAccFollowNode1">
    <dgm:fillClrLst>
      <a:srgbClr val="D8D3E0">
        <a:tint val="40000"/>
        <a:alpha val="90000"/>
      </a:srgbClr>
      <a:srgbClr val="D0E3EA">
        <a:tint val="40000"/>
        <a:alpha val="90000"/>
      </a:srgbClr>
    </dgm:fillClrLst>
    <dgm:linClrLst>
      <a:srgbClr val="D8D3E0">
        <a:tint val="40000"/>
        <a:alpha val="90000"/>
      </a:srgbClr>
      <a:srgbClr val="D0E3EA">
        <a:tint val="40000"/>
        <a:alpha val="90000"/>
      </a:srgbClr>
    </dgm:linClrLst>
    <dgm:effectClrLst/>
    <dgm:txLinClrLst/>
    <dgm:txFillClrLst meth="repeat">
      <a:srgbClr val="000000"/>
    </dgm:txFillClrLst>
    <dgm:txEffectClrLst/>
  </dgm:styleLbl>
  <dgm:styleLbl name="fgImgPlace1">
    <dgm:fillClrLst>
      <a:srgbClr val="CDC6D7">
        <a:tint val="50000"/>
      </a:srgbClr>
      <a:srgbClr val="C1DBE5">
        <a:tint val="50000"/>
      </a:srgbClr>
    </dgm:fillClrLst>
    <dgm:linClrLst meth="repeat">
      <a:srgbClr val="FFFFFF"/>
    </dgm:linClrLst>
    <dgm:effectClrLst/>
    <dgm:txLinClrLst/>
    <dgm:txFillClrLst meth="repeat">
      <a:srgbClr val="FFFFFF"/>
    </dgm:txFillClrLst>
    <dgm:txEffectClrLst/>
  </dgm:styleLbl>
  <dgm:styleLbl name="fgShp">
    <dgm:fillClrLst meth="repeat">
      <a:srgbClr val="D8D3E0">
        <a:tint val="40000"/>
      </a:srgbClr>
    </dgm:fillClrLst>
    <dgm:linClrLst meth="repeat">
      <a:srgbClr val="FFFFFF"/>
    </dgm:linClrLst>
    <dgm:effectClrLst/>
    <dgm:txLinClrLst/>
    <dgm:txFillClrLst meth="repeat">
      <a:srgbClr val="000000"/>
    </dgm:txFillClrLst>
    <dgm:txEffectClrLst/>
  </dgm:styleLbl>
  <dgm:styleLbl name="fgSibTrans2D1">
    <dgm:fillClrLst>
      <a:srgbClr val="8064A2"/>
      <a:srgbClr val="4BACC6"/>
    </dgm:fillClrLst>
    <dgm:linClrLst meth="repeat">
      <a:srgbClr val="FFFFFF"/>
    </dgm:linClrLst>
    <dgm:effectClrLst/>
    <dgm:txLinClrLst/>
    <dgm:txFillClrLst meth="repeat">
      <a:srgbClr val="FFFFFF"/>
    </dgm:txFillClrLst>
    <dgm:txEffectClrLst/>
  </dgm:styleLbl>
  <dgm:styleLbl name="lnNode1">
    <dgm:fillClrLst>
      <a:srgbClr val="8064A2"/>
      <a:srgbClr val="4BACC6"/>
    </dgm:fillClrLst>
    <dgm:linClrLst meth="repeat">
      <a:srgbClr val="FFFFFF"/>
    </dgm:linClrLst>
    <dgm:effectClrLst/>
    <dgm:txLinClrLst/>
    <dgm:txFillClrLst/>
    <dgm:txEffectClrLst/>
  </dgm:styleLbl>
  <dgm:styleLbl name="node0">
    <dgm:fillClrLst meth="repeat">
      <a:srgbClr val="9BBB59"/>
    </dgm:fillClrLst>
    <dgm:linClrLst meth="repeat">
      <a:srgbClr val="FFFFFF"/>
    </dgm:linClrLst>
    <dgm:effectClrLst/>
    <dgm:txLinClrLst/>
    <dgm:txFillClrLst/>
    <dgm:txEffectClrLst/>
  </dgm:styleLbl>
  <dgm:styleLbl name="node1">
    <dgm:fillClrLst>
      <a:srgbClr val="8064A2"/>
      <a:srgbClr val="4BACC6"/>
    </dgm:fillClrLst>
    <dgm:linClrLst meth="repeat">
      <a:srgbClr val="FFFFFF"/>
    </dgm:linClrLst>
    <dgm:effectClrLst/>
    <dgm:txLinClrLst/>
    <dgm:txFillClrLst/>
    <dgm:txEffectClrLst/>
  </dgm:styleLbl>
  <dgm:styleLbl name="node2">
    <dgm:fillClrLst>
      <a:srgbClr val="4BACC6"/>
    </dgm:fillClrLst>
    <dgm:linClrLst meth="repeat">
      <a:srgbClr val="FFFFFF"/>
    </dgm:linClrLst>
    <dgm:effectClrLst/>
    <dgm:txLinClrLst/>
    <dgm:txFillClrLst/>
    <dgm:txEffectClrLst/>
  </dgm:styleLbl>
  <dgm:styleLbl name="node3">
    <dgm:fillClrLst>
      <a:srgbClr val="F79646"/>
    </dgm:fillClrLst>
    <dgm:linClrLst meth="repeat">
      <a:srgbClr val="FFFFFF"/>
    </dgm:linClrLst>
    <dgm:effectClrLst/>
    <dgm:txLinClrLst/>
    <dgm:txFillClrLst/>
    <dgm:txEffectClrLst/>
  </dgm:styleLbl>
  <dgm:styleLbl name="node4">
    <dgm:fillClrLst>
      <a:srgbClr val="4F81BD"/>
    </dgm:fillClrLst>
    <dgm:linClrLst meth="repeat">
      <a:srgbClr val="FFFFFF"/>
    </dgm:linClrLst>
    <dgm:effectClrLst/>
    <dgm:txLinClrLst/>
    <dgm:txFillClrLst/>
    <dgm:txEffectClrLst/>
  </dgm:styleLbl>
  <dgm:styleLbl name="parChTrans1D1">
    <dgm:fillClrLst meth="repeat">
      <a:srgbClr val="8064A2"/>
    </dgm:fillClrLst>
    <dgm:linClrLst meth="repeat">
      <a:srgbClr val="8064A2"/>
    </dgm:linClrLst>
    <dgm:effectClrLst/>
    <dgm:txLinClrLst/>
    <dgm:txFillClrLst meth="repeat">
      <a:srgbClr val="000000"/>
    </dgm:txFillClrLst>
    <dgm:txEffectClrLst/>
  </dgm:styleLbl>
  <dgm:styleLbl name="parChTrans1D2">
    <dgm:fillClrLst meth="repeat">
      <a:srgbClr val="9480AE">
        <a:tint val="90000"/>
      </a:srgbClr>
    </dgm:fillClrLst>
    <dgm:linClrLst meth="repeat">
      <a:srgbClr val="4BACC6"/>
    </dgm:linClrLst>
    <dgm:effectClrLst/>
    <dgm:txLinClrLst/>
    <dgm:txFillClrLst meth="repeat">
      <a:srgbClr val="000000"/>
    </dgm:txFillClrLst>
    <dgm:txEffectClrLst/>
  </dgm:styleLbl>
  <dgm:styleLbl name="parChTrans1D3">
    <dgm:fillClrLst meth="repeat">
      <a:srgbClr val="B3A8C4">
        <a:tint val="70000"/>
      </a:srgbClr>
    </dgm:fillClrLst>
    <dgm:linClrLst meth="repeat">
      <a:srgbClr val="F79646"/>
    </dgm:linClrLst>
    <dgm:effectClrLst/>
    <dgm:txLinClrLst/>
    <dgm:txFillClrLst meth="repeat">
      <a:srgbClr val="000000"/>
    </dgm:txFillClrLst>
    <dgm:txEffectClrLst/>
  </dgm:styleLbl>
  <dgm:styleLbl name="parChTrans1D4">
    <dgm:fillClrLst meth="repeat">
      <a:srgbClr val="CDC6D7">
        <a:tint val="50000"/>
      </a:srgbClr>
    </dgm:fillClrLst>
    <dgm:linClrLst meth="repeat">
      <a:srgbClr val="4F81BD"/>
    </dgm:linClrLst>
    <dgm:effectClrLst/>
    <dgm:txLinClrLst/>
    <dgm:txFillClrLst meth="repeat">
      <a:srgbClr val="000000"/>
    </dgm:txFillClrLst>
    <dgm:txEffectClrLst/>
  </dgm:styleLbl>
  <dgm:styleLbl name="parChTrans2D1">
    <dgm:fillClrLst meth="repeat">
      <a:srgbClr val="8064A2"/>
    </dgm:fillClrLst>
    <dgm:linClrLst meth="repeat">
      <a:srgbClr val="FFFFFF"/>
    </dgm:linClrLst>
    <dgm:effectClrLst/>
    <dgm:txLinClrLst/>
    <dgm:txFillClrLst meth="repeat">
      <a:srgbClr val="FFFFFF"/>
    </dgm:txFillClrLst>
    <dgm:txEffectClrLst/>
  </dgm:styleLbl>
  <dgm:styleLbl name="parChTrans2D2">
    <dgm:fillClrLst meth="repeat">
      <a:srgbClr val="4BACC6"/>
    </dgm:fillClrLst>
    <dgm:linClrLst meth="repeat">
      <a:srgbClr val="FFFFFF"/>
    </dgm:linClrLst>
    <dgm:effectClrLst/>
    <dgm:txLinClrLst/>
    <dgm:txFillClrLst/>
    <dgm:txEffectClrLst/>
  </dgm:styleLbl>
  <dgm:styleLbl name="parChTrans2D3">
    <dgm:fillClrLst meth="repeat">
      <a:srgbClr val="4BACC6"/>
    </dgm:fillClrLst>
    <dgm:linClrLst meth="repeat">
      <a:srgbClr val="FFFFFF"/>
    </dgm:linClrLst>
    <dgm:effectClrLst/>
    <dgm:txLinClrLst/>
    <dgm:txFillClrLst/>
    <dgm:txEffectClrLst/>
  </dgm:styleLbl>
  <dgm:styleLbl name="parChTrans2D4">
    <dgm:fillClrLst meth="repeat">
      <a:srgbClr val="F79646"/>
    </dgm:fillClrLst>
    <dgm:linClrLst meth="repeat">
      <a:srgbClr val="FFFFFF"/>
    </dgm:linClrLst>
    <dgm:effectClrLst/>
    <dgm:txLinClrLst/>
    <dgm:txFillClrLst meth="repeat">
      <a:srgbClr val="FFFFFF"/>
    </dgm:txFillClrLst>
    <dgm:txEffectClrLst/>
  </dgm:styleLbl>
  <dgm:styleLbl name="revTx">
    <dgm:fillClrLst meth="repeat">
      <a:srgbClr val="FFFFFF">
        <a:alpha val="0"/>
      </a:srgbClr>
    </dgm:fillClrLst>
    <dgm:linClrLst meth="repeat">
      <a:srgbClr val="000000">
        <a:alpha val="0"/>
      </a:srgbClr>
    </dgm:linClrLst>
    <dgm:effectClrLst/>
    <dgm:txLinClrLst/>
    <dgm:txFillClrLst meth="repeat">
      <a:srgbClr val="000000"/>
    </dgm:txFillClrLst>
    <dgm:txEffectClrLst/>
  </dgm:styleLbl>
  <dgm:styleLbl name="sibTrans1D1">
    <dgm:fillClrLst/>
    <dgm:linClrLst>
      <a:srgbClr val="8064A2"/>
      <a:srgbClr val="4BACC6"/>
    </dgm:linClrLst>
    <dgm:effectClrLst/>
    <dgm:txLinClrLst/>
    <dgm:txFillClrLst meth="repeat">
      <a:srgbClr val="000000"/>
    </dgm:txFillClrLst>
    <dgm:txEffectClrLst/>
  </dgm:styleLbl>
  <dgm:styleLbl name="sibTrans2D1">
    <dgm:fillClrLst>
      <a:srgbClr val="8064A2"/>
      <a:srgbClr val="4BACC6"/>
    </dgm:fillClrLst>
    <dgm:linClrLst meth="repeat">
      <a:srgbClr val="FFFFFF"/>
    </dgm:linClrLst>
    <dgm:effectClrLst/>
    <dgm:txLinClrLst/>
    <dgm:txFillClrLst/>
    <dgm:txEffectClrLst/>
  </dgm:styleLbl>
  <dgm:styleLbl name="solidAlignAcc1">
    <dgm:fillClrLst meth="repeat">
      <a:srgbClr val="FFFFFF"/>
    </dgm:fillClrLst>
    <dgm:linClrLst>
      <a:srgbClr val="8064A2"/>
      <a:srgbClr val="4BACC6"/>
    </dgm:linClrLst>
    <dgm:effectClrLst/>
    <dgm:txLinClrLst/>
    <dgm:txFillClrLst meth="repeat">
      <a:srgbClr val="000000"/>
    </dgm:txFillClrLst>
    <dgm:txEffectClrLst/>
  </dgm:styleLbl>
  <dgm:styleLbl name="solidBgAcc1">
    <dgm:fillClrLst meth="repeat">
      <a:srgbClr val="FFFFFF"/>
    </dgm:fillClrLst>
    <dgm:linClrLst>
      <a:srgbClr val="8064A2"/>
      <a:srgbClr val="4BACC6"/>
    </dgm:linClrLst>
    <dgm:effectClrLst/>
    <dgm:txLinClrLst/>
    <dgm:txFillClrLst meth="repeat">
      <a:srgbClr val="000000"/>
    </dgm:txFillClrLst>
    <dgm:txEffectClrLst/>
  </dgm:styleLbl>
  <dgm:styleLbl name="solidFgAcc1">
    <dgm:fillClrLst meth="repeat">
      <a:srgbClr val="FFFFFF"/>
    </dgm:fillClrLst>
    <dgm:linClrLst>
      <a:srgbClr val="8064A2"/>
      <a:srgbClr val="4BACC6"/>
    </dgm:linClrLst>
    <dgm:effectClrLst/>
    <dgm:txLinClrLst/>
    <dgm:txFillClrLst meth="repeat">
      <a:srgbClr val="000000"/>
    </dgm:txFillClrLst>
    <dgm:txEffectClrLst/>
  </dgm:styleLbl>
  <dgm:styleLbl name="trAlignAcc1">
    <dgm:fillClrLst meth="repeat">
      <a:srgbClr val="FFFFFF">
        <a:alpha val="40000"/>
      </a:srgbClr>
    </dgm:fillClrLst>
    <dgm:linClrLst meth="repeat">
      <a:srgbClr val="8064A2"/>
    </dgm:linClrLst>
    <dgm:effectClrLst/>
    <dgm:txLinClrLst/>
    <dgm:txFillClrLst meth="repeat">
      <a:srgbClr val="000000"/>
    </dgm:txFillClrLst>
    <dgm:txEffectClrLst/>
  </dgm:styleLbl>
  <dgm:styleLbl name="trBgShp">
    <dgm:fillClrLst meth="repeat">
      <a:srgbClr val="CDC6D7">
        <a:tint val="50000"/>
        <a:alpha val="40000"/>
      </a:srgbClr>
    </dgm:fillClrLst>
    <dgm:linClrLst meth="repeat">
      <a:srgbClr val="8064A2"/>
    </dgm:linClrLst>
    <dgm:effectClrLst/>
    <dgm:txLinClrLst/>
    <dgm:txFillClrLst meth="repeat">
      <a:srgbClr val="FFFFFF"/>
    </dgm:txFillClrLst>
    <dgm:txEffectClrLst/>
  </dgm:styleLbl>
  <dgm:styleLbl name="vennNode1">
    <dgm:fillClrLst>
      <a:srgbClr val="8064A2">
        <a:alpha val="50000"/>
      </a:srgbClr>
      <a:srgbClr val="4BACC6">
        <a:alpha val="50000"/>
      </a:srgbClr>
    </dgm:fillClrLst>
    <dgm:linClrLst meth="repeat">
      <a:srgbClr val="FFFFFF"/>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3CBFC35C-18FC-4228-9811-BEAA1C490C2B}" type="doc">
      <dgm:prSet loTypeId="urn:microsoft.com/office/officeart/2005/8/layout/vList6" loCatId="list" qsTypeId="urn:microsoft.com/office/officeart/2005/8/quickstyle/3d1" qsCatId="3D" csTypeId="urn:microsoft.com/office/officeart/2005/8/colors/colorful4" csCatId="colorful" phldr="1"/>
      <dgm:spPr/>
      <dgm:t>
        <a:bodyPr/>
        <a:p>
          <a:endParaRPr lang="zh-CN" altLang="en-US"/>
        </a:p>
      </dgm:t>
    </dgm:pt>
    <dgm:pt modelId="{CF3F37E2-7C02-4643-BD2A-B549D08FDA6D}">
      <dgm:prSet phldrT="[文本]"/>
      <dgm:spPr/>
      <dgm:t>
        <a:bodyPr/>
        <a:p>
          <a:r>
            <a:rPr lang="zh-CN" altLang="en-US" dirty="0" smtClean="0"/>
            <a:t>机械</a:t>
          </a:r>
          <a:endParaRPr lang="zh-CN" altLang="en-US" dirty="0"/>
        </a:p>
      </dgm:t>
    </dgm:pt>
    <dgm:pt modelId="{42418BB4-C148-4CD6-8CD5-48FFBC96D67B}" cxnId="{EA34E3C7-B2EC-4BC8-BE6D-D6DD35CC324E}" type="parTrans">
      <dgm:prSet/>
      <dgm:spPr/>
      <dgm:t>
        <a:bodyPr/>
        <a:p>
          <a:endParaRPr lang="zh-CN" altLang="en-US"/>
        </a:p>
      </dgm:t>
    </dgm:pt>
    <dgm:pt modelId="{58DE5602-2F2F-4501-9EDB-7A5C761D71EE}" cxnId="{EA34E3C7-B2EC-4BC8-BE6D-D6DD35CC324E}" type="sibTrans">
      <dgm:prSet/>
      <dgm:spPr/>
      <dgm:t>
        <a:bodyPr/>
        <a:p>
          <a:endParaRPr lang="zh-CN" altLang="en-US"/>
        </a:p>
      </dgm:t>
    </dgm:pt>
    <dgm:pt modelId="{549D8E97-1406-4D1A-B0DC-0F3AB07EC0B5}">
      <dgm:prSet phldrT="[文本]"/>
      <dgm:spPr/>
      <dgm:t>
        <a:bodyPr/>
        <a:p>
          <a:r>
            <a:rPr lang="zh-CN" altLang="en-US" dirty="0" smtClean="0"/>
            <a:t>机械设计</a:t>
          </a:r>
          <a:endParaRPr lang="zh-CN" altLang="en-US" dirty="0"/>
        </a:p>
      </dgm:t>
    </dgm:pt>
    <dgm:pt modelId="{3333F748-E422-4B64-9901-7D497F163231}" cxnId="{7AEC0DAE-E9AB-48A9-B892-9ECF5DD1633A}" type="parTrans">
      <dgm:prSet/>
      <dgm:spPr/>
      <dgm:t>
        <a:bodyPr/>
        <a:p>
          <a:endParaRPr lang="zh-CN" altLang="en-US"/>
        </a:p>
      </dgm:t>
    </dgm:pt>
    <dgm:pt modelId="{CF9C7893-7F76-4825-A325-3FD0F6E4D12A}" cxnId="{7AEC0DAE-E9AB-48A9-B892-9ECF5DD1633A}" type="sibTrans">
      <dgm:prSet/>
      <dgm:spPr/>
      <dgm:t>
        <a:bodyPr/>
        <a:p>
          <a:endParaRPr lang="zh-CN" altLang="en-US"/>
        </a:p>
      </dgm:t>
    </dgm:pt>
    <dgm:pt modelId="{FDEBCACE-92D6-48A4-80FA-B250CB01F9FC}">
      <dgm:prSet phldrT="[文本]"/>
      <dgm:spPr/>
      <dgm:t>
        <a:bodyPr/>
        <a:p>
          <a:r>
            <a:rPr lang="zh-CN" altLang="en-US" dirty="0" smtClean="0"/>
            <a:t>机械运动</a:t>
          </a:r>
          <a:endParaRPr lang="zh-CN" altLang="en-US" dirty="0"/>
        </a:p>
      </dgm:t>
    </dgm:pt>
    <dgm:pt modelId="{04764D50-8A78-4EAB-B9EC-CD1092622FCA}" cxnId="{79E4E1DD-D5D4-4EA7-9682-3695A9222A82}" type="parTrans">
      <dgm:prSet/>
      <dgm:spPr/>
      <dgm:t>
        <a:bodyPr/>
        <a:p>
          <a:endParaRPr lang="zh-CN" altLang="en-US"/>
        </a:p>
      </dgm:t>
    </dgm:pt>
    <dgm:pt modelId="{2F742698-43C0-45A0-A541-D41975F3FDDE}" cxnId="{79E4E1DD-D5D4-4EA7-9682-3695A9222A82}" type="sibTrans">
      <dgm:prSet/>
      <dgm:spPr/>
      <dgm:t>
        <a:bodyPr/>
        <a:p>
          <a:endParaRPr lang="zh-CN" altLang="en-US"/>
        </a:p>
      </dgm:t>
    </dgm:pt>
    <dgm:pt modelId="{59FEFB6E-E49F-4C58-8D52-0D7E1216AF62}">
      <dgm:prSet phldrT="[文本]"/>
      <dgm:spPr/>
      <dgm:t>
        <a:bodyPr/>
        <a:p>
          <a:r>
            <a:rPr lang="zh-CN" altLang="en-US" dirty="0" smtClean="0"/>
            <a:t>电气</a:t>
          </a:r>
          <a:endParaRPr lang="zh-CN" altLang="en-US" dirty="0"/>
        </a:p>
      </dgm:t>
    </dgm:pt>
    <dgm:pt modelId="{EC26C22E-B8E2-477B-97BC-46784606BD4F}" cxnId="{2164CCFA-E465-4626-A3CC-E4D4ED0DAB30}" type="parTrans">
      <dgm:prSet/>
      <dgm:spPr/>
      <dgm:t>
        <a:bodyPr/>
        <a:p>
          <a:endParaRPr lang="zh-CN" altLang="en-US"/>
        </a:p>
      </dgm:t>
    </dgm:pt>
    <dgm:pt modelId="{CA7B3FFD-5072-4504-A562-D2F738A89369}" cxnId="{2164CCFA-E465-4626-A3CC-E4D4ED0DAB30}" type="sibTrans">
      <dgm:prSet/>
      <dgm:spPr/>
      <dgm:t>
        <a:bodyPr/>
        <a:p>
          <a:endParaRPr lang="zh-CN" altLang="en-US"/>
        </a:p>
      </dgm:t>
    </dgm:pt>
    <dgm:pt modelId="{1B0C364E-FC06-4A43-8577-B2E8BBEF343E}">
      <dgm:prSet phldrT="[文本]"/>
      <dgm:spPr/>
      <dgm:t>
        <a:bodyPr/>
        <a:p>
          <a:r>
            <a:rPr lang="zh-CN" altLang="en-US" dirty="0" smtClean="0"/>
            <a:t>信号匹配</a:t>
          </a:r>
          <a:endParaRPr lang="zh-CN" altLang="en-US" dirty="0"/>
        </a:p>
      </dgm:t>
    </dgm:pt>
    <dgm:pt modelId="{74F7F580-8BD1-4962-BC41-A51E1B0F4402}" cxnId="{5E86E3FA-A651-4D2C-AFCB-D925A7D6CB4D}" type="parTrans">
      <dgm:prSet/>
      <dgm:spPr/>
      <dgm:t>
        <a:bodyPr/>
        <a:p>
          <a:endParaRPr lang="zh-CN" altLang="en-US"/>
        </a:p>
      </dgm:t>
    </dgm:pt>
    <dgm:pt modelId="{DC73BAE1-9D81-46CF-A164-58301228CEBE}" cxnId="{5E86E3FA-A651-4D2C-AFCB-D925A7D6CB4D}" type="sibTrans">
      <dgm:prSet/>
      <dgm:spPr/>
      <dgm:t>
        <a:bodyPr/>
        <a:p>
          <a:endParaRPr lang="zh-CN" altLang="en-US"/>
        </a:p>
      </dgm:t>
    </dgm:pt>
    <dgm:pt modelId="{484D4CCE-E759-4473-8D12-BC1DF7F30C78}">
      <dgm:prSet phldrT="[文本]"/>
      <dgm:spPr/>
      <dgm:t>
        <a:bodyPr/>
        <a:p>
          <a:r>
            <a:rPr lang="zh-CN" altLang="en-US" dirty="0" smtClean="0"/>
            <a:t>运动控制</a:t>
          </a:r>
          <a:endParaRPr lang="zh-CN" altLang="en-US" dirty="0"/>
        </a:p>
      </dgm:t>
    </dgm:pt>
    <dgm:pt modelId="{9C0F34E9-63F4-4638-B609-030270AAC6FE}" cxnId="{A6A146DD-53B6-4A51-8F4C-E4CE4912FB42}" type="parTrans">
      <dgm:prSet/>
      <dgm:spPr/>
      <dgm:t>
        <a:bodyPr/>
        <a:p>
          <a:endParaRPr lang="zh-CN" altLang="en-US"/>
        </a:p>
      </dgm:t>
    </dgm:pt>
    <dgm:pt modelId="{5CEC1FD8-7F59-493D-AA84-688392A44222}" cxnId="{A6A146DD-53B6-4A51-8F4C-E4CE4912FB42}" type="sibTrans">
      <dgm:prSet/>
      <dgm:spPr/>
      <dgm:t>
        <a:bodyPr/>
        <a:p>
          <a:endParaRPr lang="zh-CN" altLang="en-US"/>
        </a:p>
      </dgm:t>
    </dgm:pt>
    <dgm:pt modelId="{A5F2723E-EA3E-4F4D-B2C6-60A5CED20CAF}" type="pres">
      <dgm:prSet presAssocID="{3CBFC35C-18FC-4228-9811-BEAA1C490C2B}" presName="Name0" presStyleCnt="0">
        <dgm:presLayoutVars>
          <dgm:dir/>
          <dgm:animLvl val="lvl"/>
          <dgm:resizeHandles/>
        </dgm:presLayoutVars>
      </dgm:prSet>
      <dgm:spPr/>
      <dgm:t>
        <a:bodyPr/>
        <a:p>
          <a:endParaRPr lang="zh-CN" altLang="en-US"/>
        </a:p>
      </dgm:t>
    </dgm:pt>
    <dgm:pt modelId="{4487D831-A53D-48C0-A7F2-B1EDB2050019}" type="pres">
      <dgm:prSet presAssocID="{CF3F37E2-7C02-4643-BD2A-B549D08FDA6D}" presName="linNode" presStyleCnt="0"/>
      <dgm:spPr/>
      <dgm:t>
        <a:bodyPr/>
        <a:p>
          <a:endParaRPr lang="zh-CN" altLang="en-US"/>
        </a:p>
      </dgm:t>
    </dgm:pt>
    <dgm:pt modelId="{F8299F89-854A-43FB-882A-1581DBFFD447}" type="pres">
      <dgm:prSet presAssocID="{CF3F37E2-7C02-4643-BD2A-B549D08FDA6D}" presName="parentShp" presStyleLbl="node1" presStyleIdx="0" presStyleCnt="2">
        <dgm:presLayoutVars>
          <dgm:bulletEnabled val="1"/>
        </dgm:presLayoutVars>
      </dgm:prSet>
      <dgm:spPr/>
      <dgm:t>
        <a:bodyPr/>
        <a:p>
          <a:endParaRPr lang="zh-CN" altLang="en-US"/>
        </a:p>
      </dgm:t>
    </dgm:pt>
    <dgm:pt modelId="{73461556-CED2-4665-923E-E21DC1902967}" type="pres">
      <dgm:prSet presAssocID="{CF3F37E2-7C02-4643-BD2A-B549D08FDA6D}" presName="childShp" presStyleLbl="bgAccFollowNode1" presStyleIdx="0" presStyleCnt="2">
        <dgm:presLayoutVars>
          <dgm:bulletEnabled val="1"/>
        </dgm:presLayoutVars>
      </dgm:prSet>
      <dgm:spPr/>
      <dgm:t>
        <a:bodyPr/>
        <a:p>
          <a:endParaRPr lang="zh-CN" altLang="en-US"/>
        </a:p>
      </dgm:t>
    </dgm:pt>
    <dgm:pt modelId="{FB6D5454-C7D4-4990-AB6B-D50C06ED0963}" type="pres">
      <dgm:prSet presAssocID="{58DE5602-2F2F-4501-9EDB-7A5C761D71EE}" presName="spacing" presStyleCnt="0"/>
      <dgm:spPr/>
      <dgm:t>
        <a:bodyPr/>
        <a:p>
          <a:endParaRPr lang="zh-CN" altLang="en-US"/>
        </a:p>
      </dgm:t>
    </dgm:pt>
    <dgm:pt modelId="{3873E572-8F2B-4C73-B200-D0591E189F93}" type="pres">
      <dgm:prSet presAssocID="{59FEFB6E-E49F-4C58-8D52-0D7E1216AF62}" presName="linNode" presStyleCnt="0"/>
      <dgm:spPr/>
      <dgm:t>
        <a:bodyPr/>
        <a:p>
          <a:endParaRPr lang="zh-CN" altLang="en-US"/>
        </a:p>
      </dgm:t>
    </dgm:pt>
    <dgm:pt modelId="{EAF7FFE6-B896-4881-9237-8F376172F4F5}" type="pres">
      <dgm:prSet presAssocID="{59FEFB6E-E49F-4C58-8D52-0D7E1216AF62}" presName="parentShp" presStyleLbl="node1" presStyleIdx="1" presStyleCnt="2">
        <dgm:presLayoutVars>
          <dgm:bulletEnabled val="1"/>
        </dgm:presLayoutVars>
      </dgm:prSet>
      <dgm:spPr/>
      <dgm:t>
        <a:bodyPr/>
        <a:p>
          <a:endParaRPr lang="zh-CN" altLang="en-US"/>
        </a:p>
      </dgm:t>
    </dgm:pt>
    <dgm:pt modelId="{E5B9A021-1653-4261-B537-E3932B4BF433}" type="pres">
      <dgm:prSet presAssocID="{59FEFB6E-E49F-4C58-8D52-0D7E1216AF62}" presName="childShp" presStyleLbl="bgAccFollowNode1" presStyleIdx="1" presStyleCnt="2">
        <dgm:presLayoutVars>
          <dgm:bulletEnabled val="1"/>
        </dgm:presLayoutVars>
      </dgm:prSet>
      <dgm:spPr/>
      <dgm:t>
        <a:bodyPr/>
        <a:p>
          <a:endParaRPr lang="zh-CN" altLang="en-US"/>
        </a:p>
      </dgm:t>
    </dgm:pt>
  </dgm:ptLst>
  <dgm:cxnLst>
    <dgm:cxn modelId="{79E4E1DD-D5D4-4EA7-9682-3695A9222A82}" srcId="{CF3F37E2-7C02-4643-BD2A-B549D08FDA6D}" destId="{FDEBCACE-92D6-48A4-80FA-B250CB01F9FC}" srcOrd="1" destOrd="0" parTransId="{04764D50-8A78-4EAB-B9EC-CD1092622FCA}" sibTransId="{2F742698-43C0-45A0-A541-D41975F3FDDE}"/>
    <dgm:cxn modelId="{5E86E3FA-A651-4D2C-AFCB-D925A7D6CB4D}" srcId="{59FEFB6E-E49F-4C58-8D52-0D7E1216AF62}" destId="{1B0C364E-FC06-4A43-8577-B2E8BBEF343E}" srcOrd="0" destOrd="0" parTransId="{74F7F580-8BD1-4962-BC41-A51E1B0F4402}" sibTransId="{DC73BAE1-9D81-46CF-A164-58301228CEBE}"/>
    <dgm:cxn modelId="{09D4EDE2-74B0-471B-A16B-A1DBC75FDEA2}" type="presOf" srcId="{CF3F37E2-7C02-4643-BD2A-B549D08FDA6D}" destId="{F8299F89-854A-43FB-882A-1581DBFFD447}" srcOrd="0" destOrd="0" presId="urn:microsoft.com/office/officeart/2005/8/layout/vList6"/>
    <dgm:cxn modelId="{1A126CDD-5F6F-4706-BBD1-4A8D7C21B5B3}" type="presOf" srcId="{3CBFC35C-18FC-4228-9811-BEAA1C490C2B}" destId="{A5F2723E-EA3E-4F4D-B2C6-60A5CED20CAF}" srcOrd="0" destOrd="0" presId="urn:microsoft.com/office/officeart/2005/8/layout/vList6"/>
    <dgm:cxn modelId="{EA34E3C7-B2EC-4BC8-BE6D-D6DD35CC324E}" srcId="{3CBFC35C-18FC-4228-9811-BEAA1C490C2B}" destId="{CF3F37E2-7C02-4643-BD2A-B549D08FDA6D}" srcOrd="0" destOrd="0" parTransId="{42418BB4-C148-4CD6-8CD5-48FFBC96D67B}" sibTransId="{58DE5602-2F2F-4501-9EDB-7A5C761D71EE}"/>
    <dgm:cxn modelId="{2164CCFA-E465-4626-A3CC-E4D4ED0DAB30}" srcId="{3CBFC35C-18FC-4228-9811-BEAA1C490C2B}" destId="{59FEFB6E-E49F-4C58-8D52-0D7E1216AF62}" srcOrd="1" destOrd="0" parTransId="{EC26C22E-B8E2-477B-97BC-46784606BD4F}" sibTransId="{CA7B3FFD-5072-4504-A562-D2F738A89369}"/>
    <dgm:cxn modelId="{D48837A6-20CA-4D90-8480-9B6E1890A8BE}" type="presOf" srcId="{549D8E97-1406-4D1A-B0DC-0F3AB07EC0B5}" destId="{73461556-CED2-4665-923E-E21DC1902967}" srcOrd="0" destOrd="0" presId="urn:microsoft.com/office/officeart/2005/8/layout/vList6"/>
    <dgm:cxn modelId="{A6B48724-6263-42F8-B348-4ECE8960A112}" type="presOf" srcId="{1B0C364E-FC06-4A43-8577-B2E8BBEF343E}" destId="{E5B9A021-1653-4261-B537-E3932B4BF433}" srcOrd="0" destOrd="0" presId="urn:microsoft.com/office/officeart/2005/8/layout/vList6"/>
    <dgm:cxn modelId="{A6A146DD-53B6-4A51-8F4C-E4CE4912FB42}" srcId="{59FEFB6E-E49F-4C58-8D52-0D7E1216AF62}" destId="{484D4CCE-E759-4473-8D12-BC1DF7F30C78}" srcOrd="1" destOrd="0" parTransId="{9C0F34E9-63F4-4638-B609-030270AAC6FE}" sibTransId="{5CEC1FD8-7F59-493D-AA84-688392A44222}"/>
    <dgm:cxn modelId="{7AEC0DAE-E9AB-48A9-B892-9ECF5DD1633A}" srcId="{CF3F37E2-7C02-4643-BD2A-B549D08FDA6D}" destId="{549D8E97-1406-4D1A-B0DC-0F3AB07EC0B5}" srcOrd="0" destOrd="0" parTransId="{3333F748-E422-4B64-9901-7D497F163231}" sibTransId="{CF9C7893-7F76-4825-A325-3FD0F6E4D12A}"/>
    <dgm:cxn modelId="{FC423D4B-F7BC-42E8-9F81-E5E948021C49}" type="presOf" srcId="{FDEBCACE-92D6-48A4-80FA-B250CB01F9FC}" destId="{73461556-CED2-4665-923E-E21DC1902967}" srcOrd="0" destOrd="1" presId="urn:microsoft.com/office/officeart/2005/8/layout/vList6"/>
    <dgm:cxn modelId="{5802F3A3-4562-4725-BCA5-464C115EB2CA}" type="presOf" srcId="{59FEFB6E-E49F-4C58-8D52-0D7E1216AF62}" destId="{EAF7FFE6-B896-4881-9237-8F376172F4F5}" srcOrd="0" destOrd="0" presId="urn:microsoft.com/office/officeart/2005/8/layout/vList6"/>
    <dgm:cxn modelId="{B2750F06-A57C-427A-B9D5-E3F9F0672D32}" type="presOf" srcId="{484D4CCE-E759-4473-8D12-BC1DF7F30C78}" destId="{E5B9A021-1653-4261-B537-E3932B4BF433}" srcOrd="0" destOrd="1" presId="urn:microsoft.com/office/officeart/2005/8/layout/vList6"/>
    <dgm:cxn modelId="{283E1FE7-13CA-427D-9AEA-064E77ECD1C5}" type="presParOf" srcId="{A5F2723E-EA3E-4F4D-B2C6-60A5CED20CAF}" destId="{4487D831-A53D-48C0-A7F2-B1EDB2050019}" srcOrd="0" destOrd="0" presId="urn:microsoft.com/office/officeart/2005/8/layout/vList6"/>
    <dgm:cxn modelId="{2B8EB0D9-2D80-4E19-9BC3-64149D4639A2}" type="presParOf" srcId="{4487D831-A53D-48C0-A7F2-B1EDB2050019}" destId="{F8299F89-854A-43FB-882A-1581DBFFD447}" srcOrd="0" destOrd="0" presId="urn:microsoft.com/office/officeart/2005/8/layout/vList6"/>
    <dgm:cxn modelId="{479C8743-0C85-4510-B18D-90A374AE2E47}" type="presParOf" srcId="{4487D831-A53D-48C0-A7F2-B1EDB2050019}" destId="{73461556-CED2-4665-923E-E21DC1902967}" srcOrd="1" destOrd="0" presId="urn:microsoft.com/office/officeart/2005/8/layout/vList6"/>
    <dgm:cxn modelId="{1E568CB4-90C9-4FAD-AEA9-584F6EE0F973}" type="presParOf" srcId="{A5F2723E-EA3E-4F4D-B2C6-60A5CED20CAF}" destId="{FB6D5454-C7D4-4990-AB6B-D50C06ED0963}" srcOrd="1" destOrd="0" presId="urn:microsoft.com/office/officeart/2005/8/layout/vList6"/>
    <dgm:cxn modelId="{721985EF-E2BD-47C0-8178-3A6C901BD1BE}" type="presParOf" srcId="{A5F2723E-EA3E-4F4D-B2C6-60A5CED20CAF}" destId="{3873E572-8F2B-4C73-B200-D0591E189F93}" srcOrd="2" destOrd="0" presId="urn:microsoft.com/office/officeart/2005/8/layout/vList6"/>
    <dgm:cxn modelId="{52854C5C-EE9C-4FAB-897E-23373E10C934}" type="presParOf" srcId="{3873E572-8F2B-4C73-B200-D0591E189F93}" destId="{EAF7FFE6-B896-4881-9237-8F376172F4F5}" srcOrd="0" destOrd="0" presId="urn:microsoft.com/office/officeart/2005/8/layout/vList6"/>
    <dgm:cxn modelId="{F70B6DEE-FDC4-4BFB-88CB-8D013BFF83F2}" type="presParOf" srcId="{3873E572-8F2B-4C73-B200-D0591E189F93}" destId="{E5B9A021-1653-4261-B537-E3932B4BF433}" srcOrd="1" destOrd="0" presId="urn:microsoft.com/office/officeart/2005/8/layout/vList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xmlns:r="http://schemas.openxmlformats.org/officeDocument/2006/relationships">
  <dsp:spTree>
    <dsp:nvGrpSpPr>
      <dsp:cNvPr id="2" name="组合 1"/>
      <dsp:cNvGrpSpPr/>
    </dsp:nvGrpSpPr>
    <dsp:grpSpPr>
      <a:xfrm>
        <a:off x="0" y="0"/>
        <a:ext cx="2939892" cy="1683822"/>
        <a:chOff x="0" y="0"/>
        <a:chExt cx="2939892" cy="1683822"/>
      </a:xfrm>
    </dsp:grpSpPr>
    <dsp:sp modelId="{73461556-CED2-4665-923E-E21DC1902967}">
      <dsp:nvSpPr>
        <dsp:cNvPr id="4" name="右箭头 3"/>
        <dsp:cNvSpPr/>
      </dsp:nvSpPr>
      <dsp:spPr bwMode="white">
        <a:xfrm>
          <a:off x="1175957" y="0"/>
          <a:ext cx="1763935" cy="801820"/>
        </a:xfrm>
        <a:prstGeom prst="rightArrow">
          <a:avLst>
            <a:gd name="adj1" fmla="val 75000"/>
            <a:gd name="adj2" fmla="val 50000"/>
          </a:avLst>
        </a:prstGeom>
        <a:sp3d z="-190500" extrusionH="12700" prstMaterial="plastic">
          <a:bevelT w="50800" h="50800"/>
        </a:sp3d>
      </dsp:spPr>
      <dsp:style>
        <a:lnRef idx="1">
          <a:schemeClr val="accent4">
            <a:tint val="40000"/>
            <a:alpha val="90000"/>
            <a:hueOff val="0"/>
            <a:satOff val="0"/>
            <a:lumOff val="0"/>
            <a:alpha val="90196"/>
          </a:schemeClr>
        </a:lnRef>
        <a:fillRef idx="1">
          <a:schemeClr val="accent4">
            <a:tint val="40000"/>
            <a:alpha val="90000"/>
            <a:hueOff val="0"/>
            <a:satOff val="0"/>
            <a:lumOff val="0"/>
            <a:alpha val="90196"/>
          </a:schemeClr>
        </a:fillRef>
        <a:effectRef idx="2">
          <a:scrgbClr r="0" g="0" b="0"/>
        </a:effectRef>
        <a:fontRef idx="minor"/>
      </dsp:style>
      <dsp:txBody>
        <a:bodyPr lIns="10795" tIns="10795" rIns="10795" bIns="10795" anchor="t"/>
        <a:lstStyle>
          <a:lvl1pPr algn="l">
            <a:defRPr sz="1700"/>
          </a:lvl1pPr>
          <a:lvl2pPr marL="171450" indent="-171450" algn="l">
            <a:defRPr sz="1700"/>
          </a:lvl2pPr>
          <a:lvl3pPr marL="342900" indent="-171450" algn="l">
            <a:defRPr sz="1700"/>
          </a:lvl3pPr>
          <a:lvl4pPr marL="514350" indent="-171450" algn="l">
            <a:defRPr sz="1700"/>
          </a:lvl4pPr>
          <a:lvl5pPr marL="685800" indent="-171450" algn="l">
            <a:defRPr sz="1700"/>
          </a:lvl5pPr>
          <a:lvl6pPr marL="857250" indent="-171450" algn="l">
            <a:defRPr sz="1700"/>
          </a:lvl6pPr>
          <a:lvl7pPr marL="1028700" indent="-171450" algn="l">
            <a:defRPr sz="1700"/>
          </a:lvl7pPr>
          <a:lvl8pPr marL="1200150" indent="-171450" algn="l">
            <a:defRPr sz="1700"/>
          </a:lvl8pPr>
          <a:lvl9pPr marL="1371600" indent="-171450" algn="l">
            <a:defRPr sz="1700"/>
          </a:lvl9pPr>
        </a:lstStyle>
        <a:p>
          <a:pPr lvl="1">
            <a:lnSpc>
              <a:spcPct val="100000"/>
            </a:lnSpc>
            <a:spcBef>
              <a:spcPct val="0"/>
            </a:spcBef>
            <a:spcAft>
              <a:spcPct val="15000"/>
            </a:spcAft>
            <a:buChar char="•"/>
          </a:pPr>
          <a:r>
            <a:rPr lang="zh-CN" altLang="en-US" dirty="0" smtClean="0">
              <a:solidFill>
                <a:schemeClr val="dk1"/>
              </a:solidFill>
            </a:rPr>
            <a:t>机械设计</a:t>
          </a:r>
          <a:endParaRPr lang="zh-CN" altLang="en-US" dirty="0">
            <a:solidFill>
              <a:schemeClr val="dk1"/>
            </a:solidFill>
          </a:endParaRPr>
        </a:p>
        <a:p>
          <a:pPr lvl="1">
            <a:lnSpc>
              <a:spcPct val="100000"/>
            </a:lnSpc>
            <a:spcBef>
              <a:spcPct val="0"/>
            </a:spcBef>
            <a:spcAft>
              <a:spcPct val="15000"/>
            </a:spcAft>
            <a:buChar char="•"/>
          </a:pPr>
          <a:r>
            <a:rPr lang="zh-CN" altLang="en-US" dirty="0" smtClean="0">
              <a:solidFill>
                <a:schemeClr val="dk1"/>
              </a:solidFill>
            </a:rPr>
            <a:t>机械运动</a:t>
          </a:r>
          <a:endParaRPr lang="zh-CN" altLang="en-US" dirty="0">
            <a:solidFill>
              <a:schemeClr val="dk1"/>
            </a:solidFill>
          </a:endParaRPr>
        </a:p>
      </dsp:txBody>
      <dsp:txXfrm>
        <a:off x="1175957" y="0"/>
        <a:ext cx="1763935" cy="801820"/>
      </dsp:txXfrm>
    </dsp:sp>
    <dsp:sp modelId="{F8299F89-854A-43FB-882A-1581DBFFD447}">
      <dsp:nvSpPr>
        <dsp:cNvPr id="3" name="圆角矩形 2"/>
        <dsp:cNvSpPr/>
      </dsp:nvSpPr>
      <dsp:spPr bwMode="white">
        <a:xfrm>
          <a:off x="0" y="0"/>
          <a:ext cx="1175957" cy="801820"/>
        </a:xfrm>
        <a:prstGeom prst="roundRect">
          <a:avLst/>
        </a:prstGeom>
        <a:sp3d prstMaterial="plastic">
          <a:bevelT w="120900" h="88900"/>
          <a:bevelB w="88900" h="31750" prst="angle"/>
        </a:sp3d>
      </dsp:spPr>
      <dsp:style>
        <a:lnRef idx="0">
          <a:schemeClr val="lt1"/>
        </a:lnRef>
        <a:fillRef idx="3">
          <a:schemeClr val="accent4">
            <a:hueOff val="0"/>
            <a:satOff val="0"/>
            <a:lumOff val="0"/>
            <a:alpha val="100000"/>
          </a:schemeClr>
        </a:fillRef>
        <a:effectRef idx="2">
          <a:scrgbClr r="0" g="0" b="0"/>
        </a:effectRef>
        <a:fontRef idx="minor">
          <a:schemeClr val="lt1"/>
        </a:fontRef>
      </dsp:style>
      <dsp:txBody>
        <a:bodyPr lIns="125730" tIns="62865" rIns="125730" bIns="62865" anchor="ctr"/>
        <a:lstStyle>
          <a:lvl1pPr algn="ctr">
            <a:defRPr sz="3300"/>
          </a:lvl1pPr>
          <a:lvl2pPr marL="228600" indent="-228600" algn="ctr">
            <a:defRPr sz="2500"/>
          </a:lvl2pPr>
          <a:lvl3pPr marL="457200" indent="-228600" algn="ctr">
            <a:defRPr sz="2500"/>
          </a:lvl3pPr>
          <a:lvl4pPr marL="685800" indent="-228600" algn="ctr">
            <a:defRPr sz="2500"/>
          </a:lvl4pPr>
          <a:lvl5pPr marL="914400" indent="-228600" algn="ctr">
            <a:defRPr sz="2500"/>
          </a:lvl5pPr>
          <a:lvl6pPr marL="1143000" indent="-228600" algn="ctr">
            <a:defRPr sz="2500"/>
          </a:lvl6pPr>
          <a:lvl7pPr marL="1371600" indent="-228600" algn="ctr">
            <a:defRPr sz="2500"/>
          </a:lvl7pPr>
          <a:lvl8pPr marL="1600200" indent="-228600" algn="ctr">
            <a:defRPr sz="2500"/>
          </a:lvl8pPr>
          <a:lvl9pPr marL="1828800" indent="-228600" algn="ctr">
            <a:defRPr sz="2500"/>
          </a:lvl9pPr>
        </a:lstStyle>
        <a:p>
          <a:pPr lvl="0">
            <a:lnSpc>
              <a:spcPct val="100000"/>
            </a:lnSpc>
            <a:spcBef>
              <a:spcPct val="0"/>
            </a:spcBef>
            <a:spcAft>
              <a:spcPct val="35000"/>
            </a:spcAft>
          </a:pPr>
          <a:r>
            <a:rPr lang="zh-CN" altLang="en-US" dirty="0" smtClean="0"/>
            <a:t>机械</a:t>
          </a:r>
          <a:endParaRPr lang="zh-CN" altLang="en-US" dirty="0"/>
        </a:p>
      </dsp:txBody>
      <dsp:txXfrm>
        <a:off x="0" y="0"/>
        <a:ext cx="1175957" cy="801820"/>
      </dsp:txXfrm>
    </dsp:sp>
    <dsp:sp modelId="{E5B9A021-1653-4261-B537-E3932B4BF433}">
      <dsp:nvSpPr>
        <dsp:cNvPr id="6" name="右箭头 5"/>
        <dsp:cNvSpPr/>
      </dsp:nvSpPr>
      <dsp:spPr bwMode="white">
        <a:xfrm>
          <a:off x="1175957" y="882002"/>
          <a:ext cx="1763935" cy="801820"/>
        </a:xfrm>
        <a:prstGeom prst="rightArrow">
          <a:avLst>
            <a:gd name="adj1" fmla="val 75000"/>
            <a:gd name="adj2" fmla="val 50000"/>
          </a:avLst>
        </a:prstGeom>
        <a:sp3d z="-190500" extrusionH="12700" prstMaterial="plastic">
          <a:bevelT w="50800" h="50800"/>
        </a:sp3d>
      </dsp:spPr>
      <dsp:style>
        <a:lnRef idx="1">
          <a:schemeClr val="accent4">
            <a:tint val="40000"/>
            <a:alpha val="90000"/>
            <a:hueOff val="11580000"/>
            <a:satOff val="-60783"/>
            <a:lumOff val="-3136"/>
            <a:alpha val="90196"/>
          </a:schemeClr>
        </a:lnRef>
        <a:fillRef idx="1">
          <a:schemeClr val="accent4">
            <a:tint val="40000"/>
            <a:alpha val="90000"/>
            <a:hueOff val="11580000"/>
            <a:satOff val="-60783"/>
            <a:lumOff val="-3136"/>
            <a:alpha val="90196"/>
          </a:schemeClr>
        </a:fillRef>
        <a:effectRef idx="2">
          <a:scrgbClr r="0" g="0" b="0"/>
        </a:effectRef>
        <a:fontRef idx="minor"/>
      </dsp:style>
      <dsp:txBody>
        <a:bodyPr lIns="10795" tIns="10795" rIns="10795" bIns="10795" anchor="t"/>
        <a:lstStyle>
          <a:lvl1pPr algn="l">
            <a:defRPr sz="1700"/>
          </a:lvl1pPr>
          <a:lvl2pPr marL="171450" indent="-171450" algn="l">
            <a:defRPr sz="1700"/>
          </a:lvl2pPr>
          <a:lvl3pPr marL="342900" indent="-171450" algn="l">
            <a:defRPr sz="1700"/>
          </a:lvl3pPr>
          <a:lvl4pPr marL="514350" indent="-171450" algn="l">
            <a:defRPr sz="1700"/>
          </a:lvl4pPr>
          <a:lvl5pPr marL="685800" indent="-171450" algn="l">
            <a:defRPr sz="1700"/>
          </a:lvl5pPr>
          <a:lvl6pPr marL="857250" indent="-171450" algn="l">
            <a:defRPr sz="1700"/>
          </a:lvl6pPr>
          <a:lvl7pPr marL="1028700" indent="-171450" algn="l">
            <a:defRPr sz="1700"/>
          </a:lvl7pPr>
          <a:lvl8pPr marL="1200150" indent="-171450" algn="l">
            <a:defRPr sz="1700"/>
          </a:lvl8pPr>
          <a:lvl9pPr marL="1371600" indent="-171450" algn="l">
            <a:defRPr sz="1700"/>
          </a:lvl9pPr>
        </a:lstStyle>
        <a:p>
          <a:pPr lvl="1">
            <a:lnSpc>
              <a:spcPct val="100000"/>
            </a:lnSpc>
            <a:spcBef>
              <a:spcPct val="0"/>
            </a:spcBef>
            <a:spcAft>
              <a:spcPct val="15000"/>
            </a:spcAft>
            <a:buChar char="•"/>
          </a:pPr>
          <a:r>
            <a:rPr lang="zh-CN" altLang="en-US" dirty="0" smtClean="0">
              <a:solidFill>
                <a:schemeClr val="dk1"/>
              </a:solidFill>
            </a:rPr>
            <a:t>信号匹配</a:t>
          </a:r>
          <a:endParaRPr lang="zh-CN" altLang="en-US" dirty="0">
            <a:solidFill>
              <a:schemeClr val="dk1"/>
            </a:solidFill>
          </a:endParaRPr>
        </a:p>
        <a:p>
          <a:pPr lvl="1">
            <a:lnSpc>
              <a:spcPct val="100000"/>
            </a:lnSpc>
            <a:spcBef>
              <a:spcPct val="0"/>
            </a:spcBef>
            <a:spcAft>
              <a:spcPct val="15000"/>
            </a:spcAft>
            <a:buChar char="•"/>
          </a:pPr>
          <a:r>
            <a:rPr lang="zh-CN" altLang="en-US" dirty="0" smtClean="0">
              <a:solidFill>
                <a:schemeClr val="dk1"/>
              </a:solidFill>
            </a:rPr>
            <a:t>运动控制</a:t>
          </a:r>
          <a:endParaRPr lang="zh-CN" altLang="en-US" dirty="0">
            <a:solidFill>
              <a:schemeClr val="dk1"/>
            </a:solidFill>
          </a:endParaRPr>
        </a:p>
      </dsp:txBody>
      <dsp:txXfrm>
        <a:off x="1175957" y="882002"/>
        <a:ext cx="1763935" cy="801820"/>
      </dsp:txXfrm>
    </dsp:sp>
    <dsp:sp modelId="{EAF7FFE6-B896-4881-9237-8F376172F4F5}">
      <dsp:nvSpPr>
        <dsp:cNvPr id="5" name="圆角矩形 4"/>
        <dsp:cNvSpPr/>
      </dsp:nvSpPr>
      <dsp:spPr bwMode="white">
        <a:xfrm>
          <a:off x="0" y="882002"/>
          <a:ext cx="1175957" cy="801820"/>
        </a:xfrm>
        <a:prstGeom prst="roundRect">
          <a:avLst/>
        </a:prstGeom>
        <a:sp3d prstMaterial="plastic">
          <a:bevelT w="120900" h="88900"/>
          <a:bevelB w="88900" h="31750" prst="angle"/>
        </a:sp3d>
      </dsp:spPr>
      <dsp:style>
        <a:lnRef idx="0">
          <a:schemeClr val="lt1"/>
        </a:lnRef>
        <a:fillRef idx="3">
          <a:schemeClr val="accent4">
            <a:hueOff val="10380000"/>
            <a:satOff val="-47842"/>
            <a:lumOff val="1569"/>
            <a:alpha val="100000"/>
          </a:schemeClr>
        </a:fillRef>
        <a:effectRef idx="2">
          <a:scrgbClr r="0" g="0" b="0"/>
        </a:effectRef>
        <a:fontRef idx="minor">
          <a:schemeClr val="lt1"/>
        </a:fontRef>
      </dsp:style>
      <dsp:txBody>
        <a:bodyPr lIns="125730" tIns="62865" rIns="125730" bIns="62865" anchor="ctr"/>
        <a:lstStyle>
          <a:lvl1pPr algn="ctr">
            <a:defRPr sz="3300"/>
          </a:lvl1pPr>
          <a:lvl2pPr marL="228600" indent="-228600" algn="ctr">
            <a:defRPr sz="2500"/>
          </a:lvl2pPr>
          <a:lvl3pPr marL="457200" indent="-228600" algn="ctr">
            <a:defRPr sz="2500"/>
          </a:lvl3pPr>
          <a:lvl4pPr marL="685800" indent="-228600" algn="ctr">
            <a:defRPr sz="2500"/>
          </a:lvl4pPr>
          <a:lvl5pPr marL="914400" indent="-228600" algn="ctr">
            <a:defRPr sz="2500"/>
          </a:lvl5pPr>
          <a:lvl6pPr marL="1143000" indent="-228600" algn="ctr">
            <a:defRPr sz="2500"/>
          </a:lvl6pPr>
          <a:lvl7pPr marL="1371600" indent="-228600" algn="ctr">
            <a:defRPr sz="2500"/>
          </a:lvl7pPr>
          <a:lvl8pPr marL="1600200" indent="-228600" algn="ctr">
            <a:defRPr sz="2500"/>
          </a:lvl8pPr>
          <a:lvl9pPr marL="1828800" indent="-228600" algn="ctr">
            <a:defRPr sz="2500"/>
          </a:lvl9pPr>
        </a:lstStyle>
        <a:p>
          <a:pPr lvl="0">
            <a:lnSpc>
              <a:spcPct val="100000"/>
            </a:lnSpc>
            <a:spcBef>
              <a:spcPct val="0"/>
            </a:spcBef>
            <a:spcAft>
              <a:spcPct val="35000"/>
            </a:spcAft>
          </a:pPr>
          <a:r>
            <a:rPr lang="zh-CN" altLang="en-US" dirty="0" smtClean="0"/>
            <a:t>电气</a:t>
          </a:r>
          <a:endParaRPr lang="zh-CN" altLang="en-US" dirty="0"/>
        </a:p>
      </dsp:txBody>
      <dsp:txXfrm>
        <a:off x="0" y="882002"/>
        <a:ext cx="1175957" cy="801820"/>
      </dsp:txXfrm>
    </dsp:sp>
  </dsp:spTree>
</dsp:drawing>
</file>

<file path=word/diagrams/layout1.xml><?xml version="1.0" encoding="utf-8"?>
<dgm:layoutDef xmlns:dgm="http://schemas.openxmlformats.org/drawingml/2006/diagram" xmlns:a="http://schemas.openxmlformats.org/drawingml/2006/main" uniqueId="urn:microsoft.com/office/officeart/2005/8/layout/vList6">
  <dgm:title val=""/>
  <dgm:desc val=""/>
  <dgm:catLst>
    <dgm:cat type="process" pri="22000"/>
    <dgm:cat type="list" pri="1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dgm:varLst>
    <dgm:alg type="lin">
      <dgm:param type="linDir" val="fromT"/>
    </dgm:alg>
    <dgm:shape xmlns:r="http://schemas.openxmlformats.org/officeDocument/2006/relationships" r:blip="">
      <dgm:adjLst/>
    </dgm:shape>
    <dgm:presOf/>
    <dgm:constrLst>
      <dgm:constr type="w" for="ch" forName="linNode" refType="w"/>
      <dgm:constr type="h" for="ch" forName="linNode" refType="h"/>
      <dgm:constr type="h" for="ch" forName="spacing" refType="h" refFor="ch" refForName="linNode" fact="0.1"/>
      <dgm:constr type="primFontSz" for="des" forName="parentShp" op="equ" val="65"/>
      <dgm:constr type="primFontSz" for="des" forName="childShp" op="equ" val="65"/>
    </dgm:constrLst>
    <dgm:ruleLst/>
    <dgm:forEach name="Name1" axis="ch" ptType="node">
      <dgm:layoutNode name="linNode">
        <dgm:choose name="Name2">
          <dgm:if name="Name3" func="var" arg="dir" op="equ" val="norm">
            <dgm:alg type="lin">
              <dgm:param type="linDir" val="fromL"/>
            </dgm:alg>
          </dgm:if>
          <dgm:else name="Name4">
            <dgm:alg type="lin">
              <dgm:param type="linDir" val="fromR"/>
            </dgm:alg>
          </dgm:else>
        </dgm:choose>
        <dgm:shape xmlns:r="http://schemas.openxmlformats.org/officeDocument/2006/relationships" r:blip="">
          <dgm:adjLst/>
        </dgm:shape>
        <dgm:presOf/>
        <dgm:choose name="Name5">
          <dgm:if name="Name6" func="var" arg="dir" op="equ" val="norm">
            <dgm:constrLst>
              <dgm:constr type="w" for="ch" forName="parentShp" refType="w" fact="0.4"/>
              <dgm:constr type="h" for="ch" forName="parentShp" refType="h"/>
              <dgm:constr type="w" for="ch" forName="childShp" refType="w" fact="0.6"/>
              <dgm:constr type="h" for="ch" forName="childShp" refType="h" refFor="ch" refForName="parentShp"/>
            </dgm:constrLst>
          </dgm:if>
          <dgm:else name="Name7">
            <dgm:constrLst>
              <dgm:constr type="w" for="ch" forName="parentShp" refType="w" fact="0.4"/>
              <dgm:constr type="h" for="ch" forName="parentShp" refType="h"/>
              <dgm:constr type="w" for="ch" forName="childShp" refType="w" fact="0.6"/>
              <dgm:constr type="h" for="ch" forName="childShp" refType="h" refFor="ch" refForName="parentShp"/>
            </dgm:constrLst>
          </dgm:else>
        </dgm:choose>
        <dgm:ruleLst/>
        <dgm:layoutNode name="parentShp" styleLbl="node1">
          <dgm:varLst>
            <dgm:bulletEnabled val="1"/>
          </dgm:varLst>
          <dgm:alg type="tx"/>
          <dgm:shape xmlns:r="http://schemas.openxmlformats.org/officeDocument/2006/relationships" type="roundRect" r:blip="">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layoutNode name="childShp" styleLbl="bgAccFollowNode1">
          <dgm:varLst>
            <dgm:bulletEnabled val="1"/>
          </dgm:varLst>
          <dgm:alg type="tx">
            <dgm:param type="stBulletLvl" val="1"/>
          </dgm:alg>
          <dgm:choose name="Name8">
            <dgm:if name="Name9" func="var" arg="dir" op="equ" val="norm">
              <dgm:shape xmlns:r="http://schemas.openxmlformats.org/officeDocument/2006/relationships" type="rightArrow" r:blip="" zOrderOff="-2">
                <dgm:adjLst>
                  <dgm:adj idx="1" val="0.75"/>
                </dgm:adjLst>
              </dgm:shape>
            </dgm:if>
            <dgm:else name="Name10">
              <dgm:shape xmlns:r="http://schemas.openxmlformats.org/officeDocument/2006/relationships" type="rightArrow" r:blip="" rot="180" zOrderOff="-2">
                <dgm:adjLst>
                  <dgm:adj idx="1" val="0.75"/>
                </dgm:adjLst>
              </dgm:shape>
            </dgm:else>
          </dgm:choose>
          <dgm:presOf axis="des" ptType="node"/>
          <dgm:constrLst>
            <dgm:constr type="secFontSz" refType="primFontSz"/>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forEach name="Name11" axis="followSib" ptType="sibTrans" cnt="1">
        <dgm:layoutNode name="spacing">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rgbClr val="FFFFFF"/>
      </a:fontRef>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rgbClr val="FFFFFF"/>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rgbClr val="FFFFFF"/>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rgbClr val="FFFFFF"/>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rgbClr val="FFFFFF"/>
      </a:fontRef>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rgbClr val="FFFFFF"/>
      </a:fontRef>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rgbClr val="FFFFFF"/>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rgbClr val="FFFFFF"/>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rgbClr val="FFFFFF"/>
      </a:fontRef>
    </dgm:style>
  </dgm:styleLbl>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rgbClr val="FFFFFF"/>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rgbClr val="FFFFFF"/>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rgbClr val="FFFFFF"/>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rgbClr val="FFFFFF"/>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rgbClr val="FFFFFF"/>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rgbClr val="FFFFFF"/>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rgbClr val="FFFFFF"/>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rgbClr val="FFFFFF"/>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rgbClr val="FFFFFF"/>
      </a:fontRef>
    </dgm:style>
  </dgm:styleLbl>
  <dgm:styleLbl name="revTx">
    <dgm:scene3d>
      <a:camera prst="orthographicFront"/>
      <a:lightRig rig="threePt" dir="t"/>
    </dgm:scene3d>
    <dgm:txPr/>
    <dgm:style>
      <a:lnRef idx="0">
        <a:scrgbClr r="0" g="0" b="0"/>
      </a:lnRef>
      <a:fillRef idx="0">
        <a:scrgbClr r="0" g="0" b="0"/>
      </a:fillRef>
      <a:effectRef idx="0">
        <a:scrgbClr r="0" g="0" b="0"/>
      </a:effectRef>
      <a:fontRef idx="minor"/>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rgbClr val="FFFFFF"/>
      </a:fontRef>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rgbClr val="000000"/>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22</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2021-06-01T10:12:00Z</dcterms:created>
  <dc:creator>linqq</dc:creator>
  <cp:lastModifiedBy>linqq</cp:lastModifiedBy>
  <dcterms:modified xsi:type="dcterms:W3CDTF">2021-08-11T06:45:31Z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E899396DB97C49209A1F9ADC2E32527B</vt:lpwstr>
  </property>
</Properties>
</file>