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77FF4">
      <w:pPr>
        <w:pStyle w:val="7"/>
        <w:keepNext w:val="0"/>
        <w:keepLines w:val="0"/>
        <w:widowControl/>
        <w:suppressLineNumbers w:val="0"/>
        <w:spacing w:before="75" w:beforeAutospacing="0" w:after="75" w:afterAutospacing="0"/>
        <w:ind w:left="0" w:right="0" w:firstLine="0"/>
        <w:jc w:val="center"/>
        <w:rPr>
          <w:color w:val="000000" w:themeColor="text1"/>
          <w:highlight w:val="none"/>
          <w14:textFill>
            <w14:solidFill>
              <w14:schemeClr w14:val="tx1"/>
            </w14:solidFill>
          </w14:textFill>
        </w:rPr>
      </w:pPr>
      <w:r>
        <w:rPr>
          <w:rStyle w:val="12"/>
          <w:rFonts w:ascii="宋体" w:hAnsi="宋体" w:eastAsia="宋体" w:cs="宋体"/>
          <w:b/>
          <w:bCs/>
          <w:color w:val="000000" w:themeColor="text1"/>
          <w:spacing w:val="0"/>
          <w:sz w:val="72"/>
          <w:szCs w:val="72"/>
          <w:highlight w:val="none"/>
          <w14:textFill>
            <w14:solidFill>
              <w14:schemeClr w14:val="tx1"/>
            </w14:solidFill>
          </w14:textFill>
        </w:rPr>
        <w:t>福建省政府采购项目</w:t>
      </w:r>
    </w:p>
    <w:p w14:paraId="08A3DAF8">
      <w:pPr>
        <w:pStyle w:val="7"/>
        <w:keepNext w:val="0"/>
        <w:keepLines w:val="0"/>
        <w:widowControl/>
        <w:suppressLineNumbers w:val="0"/>
        <w:spacing w:before="75" w:beforeAutospacing="0" w:after="75" w:afterAutospacing="0"/>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72"/>
          <w:szCs w:val="72"/>
          <w:highlight w:val="none"/>
          <w14:textFill>
            <w14:solidFill>
              <w14:schemeClr w14:val="tx1"/>
            </w14:solidFill>
          </w14:textFill>
        </w:rPr>
        <w:t>竞争性磋商文件</w:t>
      </w:r>
    </w:p>
    <w:p w14:paraId="4A560D93">
      <w:pPr>
        <w:pStyle w:val="7"/>
        <w:keepNext w:val="0"/>
        <w:keepLines w:val="0"/>
        <w:widowControl/>
        <w:suppressLineNumbers w:val="0"/>
        <w:spacing w:before="75" w:beforeAutospacing="0" w:after="75" w:afterAutospacing="0"/>
        <w:ind w:left="0" w:right="0" w:firstLine="0"/>
        <w:jc w:val="center"/>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1332BE7D">
      <w:pPr>
        <w:pStyle w:val="7"/>
        <w:keepNext w:val="0"/>
        <w:keepLines w:val="0"/>
        <w:widowControl/>
        <w:suppressLineNumbers w:val="0"/>
        <w:spacing w:before="75" w:beforeAutospacing="0" w:after="75" w:afterAutospacing="0"/>
        <w:ind w:left="0" w:right="0" w:firstLine="0"/>
        <w:rPr>
          <w:rStyle w:val="12"/>
          <w:rFonts w:hint="eastAsia" w:ascii="宋体" w:hAnsi="宋体" w:eastAsia="宋体" w:cs="宋体"/>
          <w:b/>
          <w:bCs/>
          <w:color w:val="000000" w:themeColor="text1"/>
          <w:spacing w:val="0"/>
          <w:sz w:val="72"/>
          <w:szCs w:val="72"/>
          <w:highlight w:val="none"/>
          <w14:textFill>
            <w14:solidFill>
              <w14:schemeClr w14:val="tx1"/>
            </w14:solidFill>
          </w14:textFill>
        </w:rPr>
      </w:pPr>
      <w:r>
        <w:rPr>
          <w:rStyle w:val="12"/>
          <w:rFonts w:hint="eastAsia" w:ascii="宋体" w:hAnsi="宋体" w:eastAsia="宋体" w:cs="宋体"/>
          <w:b/>
          <w:bCs/>
          <w:color w:val="000000" w:themeColor="text1"/>
          <w:spacing w:val="0"/>
          <w:sz w:val="72"/>
          <w:szCs w:val="72"/>
          <w:highlight w:val="none"/>
          <w14:textFill>
            <w14:solidFill>
              <w14:schemeClr w14:val="tx1"/>
            </w14:solidFill>
          </w14:textFill>
        </w:rPr>
        <w:t> </w:t>
      </w:r>
    </w:p>
    <w:p w14:paraId="14BF400C">
      <w:pPr>
        <w:pStyle w:val="7"/>
        <w:keepNext w:val="0"/>
        <w:keepLines w:val="0"/>
        <w:widowControl/>
        <w:suppressLineNumbers w:val="0"/>
        <w:spacing w:before="75" w:beforeAutospacing="0" w:after="75" w:afterAutospacing="0"/>
        <w:ind w:left="0" w:right="0" w:firstLine="0"/>
        <w:rPr>
          <w:rStyle w:val="12"/>
          <w:rFonts w:hint="eastAsia" w:ascii="宋体" w:hAnsi="宋体" w:eastAsia="宋体" w:cs="宋体"/>
          <w:b/>
          <w:bCs/>
          <w:color w:val="000000" w:themeColor="text1"/>
          <w:spacing w:val="0"/>
          <w:sz w:val="72"/>
          <w:szCs w:val="72"/>
          <w:highlight w:val="none"/>
          <w14:textFill>
            <w14:solidFill>
              <w14:schemeClr w14:val="tx1"/>
            </w14:solidFill>
          </w14:textFill>
        </w:rPr>
      </w:pPr>
    </w:p>
    <w:p w14:paraId="3B548CC5">
      <w:pPr>
        <w:pStyle w:val="7"/>
        <w:keepNext w:val="0"/>
        <w:keepLines w:val="0"/>
        <w:widowControl/>
        <w:suppressLineNumbers w:val="0"/>
        <w:spacing w:before="75" w:beforeAutospacing="0" w:after="75" w:afterAutospacing="0"/>
        <w:ind w:left="0" w:right="0" w:firstLine="0"/>
        <w:rPr>
          <w:rStyle w:val="12"/>
          <w:rFonts w:hint="eastAsia" w:ascii="宋体" w:hAnsi="宋体" w:eastAsia="宋体" w:cs="宋体"/>
          <w:b/>
          <w:bCs/>
          <w:color w:val="000000" w:themeColor="text1"/>
          <w:spacing w:val="0"/>
          <w:sz w:val="72"/>
          <w:szCs w:val="72"/>
          <w:highlight w:val="none"/>
          <w14:textFill>
            <w14:solidFill>
              <w14:schemeClr w14:val="tx1"/>
            </w14:solidFill>
          </w14:textFill>
        </w:rPr>
      </w:pPr>
    </w:p>
    <w:p w14:paraId="4F9E3563">
      <w:pPr>
        <w:pStyle w:val="13"/>
        <w:jc w:val="center"/>
        <w:outlineLvl w:val="2"/>
        <w:rPr>
          <w:rFonts w:hint="default" w:ascii="Calibri" w:hAnsi="Calibri" w:eastAsia="宋体" w:cs="Times New Roman"/>
          <w:b/>
          <w:color w:val="000000" w:themeColor="text1"/>
          <w:kern w:val="2"/>
          <w:sz w:val="28"/>
          <w:szCs w:val="24"/>
          <w:highlight w:val="none"/>
          <w:lang w:val="en-US" w:eastAsia="zh-CN" w:bidi="ar-SA"/>
          <w14:textFill>
            <w14:solidFill>
              <w14:schemeClr w14:val="tx1"/>
            </w14:solidFill>
          </w14:textFill>
        </w:rPr>
      </w:pPr>
      <w:r>
        <w:rPr>
          <w:rFonts w:hint="eastAsia" w:ascii="Calibri" w:hAnsi="Calibri" w:eastAsia="宋体" w:cs="Times New Roman"/>
          <w:b/>
          <w:color w:val="000000" w:themeColor="text1"/>
          <w:kern w:val="2"/>
          <w:sz w:val="28"/>
          <w:szCs w:val="24"/>
          <w:highlight w:val="none"/>
          <w:lang w:val="en-US" w:eastAsia="zh-CN" w:bidi="ar-SA"/>
          <w14:textFill>
            <w14:solidFill>
              <w14:schemeClr w14:val="tx1"/>
            </w14:solidFill>
          </w14:textFill>
        </w:rPr>
        <w:t>项目名称：后勤管理系统采购项目</w:t>
      </w:r>
      <w:r>
        <w:rPr>
          <w:rFonts w:hint="eastAsia" w:cs="Times New Roman"/>
          <w:b/>
          <w:color w:val="000000" w:themeColor="text1"/>
          <w:kern w:val="2"/>
          <w:sz w:val="28"/>
          <w:szCs w:val="24"/>
          <w:highlight w:val="none"/>
          <w:lang w:val="en-US" w:eastAsia="zh-CN" w:bidi="ar-SA"/>
          <w14:textFill>
            <w14:solidFill>
              <w14:schemeClr w14:val="tx1"/>
            </w14:solidFill>
          </w14:textFill>
        </w:rPr>
        <w:t>（重新招标）</w:t>
      </w:r>
    </w:p>
    <w:p w14:paraId="2B85C121">
      <w:pPr>
        <w:pStyle w:val="13"/>
        <w:jc w:val="center"/>
        <w:outlineLvl w:val="2"/>
        <w:rPr>
          <w:rFonts w:hint="default"/>
          <w:color w:val="000000" w:themeColor="text1"/>
          <w:highlight w:val="none"/>
          <w:lang w:val="en-US" w:eastAsia="zh-CN"/>
          <w14:textFill>
            <w14:solidFill>
              <w14:schemeClr w14:val="tx1"/>
            </w14:solidFill>
          </w14:textFill>
        </w:rPr>
      </w:pPr>
      <w:r>
        <w:rPr>
          <w:rFonts w:hint="eastAsia" w:ascii="Calibri" w:hAnsi="Calibri" w:eastAsia="宋体" w:cs="Times New Roman"/>
          <w:b/>
          <w:color w:val="000000" w:themeColor="text1"/>
          <w:kern w:val="2"/>
          <w:sz w:val="28"/>
          <w:szCs w:val="24"/>
          <w:highlight w:val="none"/>
          <w:lang w:val="en-US" w:eastAsia="zh-CN" w:bidi="ar-SA"/>
          <w14:textFill>
            <w14:solidFill>
              <w14:schemeClr w14:val="tx1"/>
            </w14:solidFill>
          </w14:textFill>
        </w:rPr>
        <w:t>项目编号：</w:t>
      </w:r>
      <w:r>
        <w:rPr>
          <w:rFonts w:hint="eastAsia" w:cs="Times New Roman"/>
          <w:b/>
          <w:color w:val="000000" w:themeColor="text1"/>
          <w:kern w:val="2"/>
          <w:sz w:val="28"/>
          <w:szCs w:val="24"/>
          <w:highlight w:val="none"/>
          <w:lang w:val="en-US" w:eastAsia="zh-CN" w:bidi="ar-SA"/>
          <w14:textFill>
            <w14:solidFill>
              <w14:schemeClr w14:val="tx1"/>
            </w14:solidFill>
          </w14:textFill>
        </w:rPr>
        <w:t>GCXM20240803-1</w:t>
      </w:r>
    </w:p>
    <w:p w14:paraId="1D3889C7">
      <w:pPr>
        <w:pStyle w:val="13"/>
        <w:ind w:firstLine="1124" w:firstLineChars="400"/>
        <w:jc w:val="both"/>
        <w:outlineLvl w:val="2"/>
        <w:rPr>
          <w:b/>
          <w:color w:val="000000" w:themeColor="text1"/>
          <w:sz w:val="28"/>
          <w:highlight w:val="none"/>
          <w14:textFill>
            <w14:solidFill>
              <w14:schemeClr w14:val="tx1"/>
            </w14:solidFill>
          </w14:textFill>
        </w:rPr>
      </w:pPr>
    </w:p>
    <w:p w14:paraId="14D8D6F9">
      <w:pPr>
        <w:pStyle w:val="13"/>
        <w:ind w:firstLine="1124" w:firstLineChars="400"/>
        <w:jc w:val="both"/>
        <w:outlineLvl w:val="2"/>
        <w:rPr>
          <w:b/>
          <w:color w:val="000000" w:themeColor="text1"/>
          <w:sz w:val="28"/>
          <w:highlight w:val="none"/>
          <w14:textFill>
            <w14:solidFill>
              <w14:schemeClr w14:val="tx1"/>
            </w14:solidFill>
          </w14:textFill>
        </w:rPr>
      </w:pPr>
    </w:p>
    <w:p w14:paraId="744E6B78">
      <w:pPr>
        <w:pStyle w:val="13"/>
        <w:ind w:firstLine="1124" w:firstLineChars="400"/>
        <w:jc w:val="both"/>
        <w:outlineLvl w:val="2"/>
        <w:rPr>
          <w:b/>
          <w:color w:val="000000" w:themeColor="text1"/>
          <w:sz w:val="28"/>
          <w:highlight w:val="none"/>
          <w14:textFill>
            <w14:solidFill>
              <w14:schemeClr w14:val="tx1"/>
            </w14:solidFill>
          </w14:textFill>
        </w:rPr>
      </w:pPr>
    </w:p>
    <w:p w14:paraId="6772F228">
      <w:pPr>
        <w:pStyle w:val="13"/>
        <w:ind w:firstLine="1124" w:firstLineChars="400"/>
        <w:jc w:val="both"/>
        <w:outlineLvl w:val="2"/>
        <w:rPr>
          <w:b/>
          <w:color w:val="000000" w:themeColor="text1"/>
          <w:sz w:val="28"/>
          <w:highlight w:val="none"/>
          <w14:textFill>
            <w14:solidFill>
              <w14:schemeClr w14:val="tx1"/>
            </w14:solidFill>
          </w14:textFill>
        </w:rPr>
      </w:pPr>
    </w:p>
    <w:p w14:paraId="0F2A9054">
      <w:pPr>
        <w:pStyle w:val="13"/>
        <w:ind w:firstLine="1124" w:firstLineChars="400"/>
        <w:jc w:val="both"/>
        <w:outlineLvl w:val="2"/>
        <w:rPr>
          <w:b/>
          <w:color w:val="000000" w:themeColor="text1"/>
          <w:sz w:val="28"/>
          <w:highlight w:val="none"/>
          <w14:textFill>
            <w14:solidFill>
              <w14:schemeClr w14:val="tx1"/>
            </w14:solidFill>
          </w14:textFill>
        </w:rPr>
      </w:pPr>
    </w:p>
    <w:p w14:paraId="7C17B336">
      <w:pPr>
        <w:pStyle w:val="13"/>
        <w:jc w:val="both"/>
        <w:outlineLvl w:val="2"/>
        <w:rPr>
          <w:b/>
          <w:color w:val="000000" w:themeColor="text1"/>
          <w:sz w:val="28"/>
          <w:highlight w:val="none"/>
          <w14:textFill>
            <w14:solidFill>
              <w14:schemeClr w14:val="tx1"/>
            </w14:solidFill>
          </w14:textFill>
        </w:rPr>
      </w:pPr>
    </w:p>
    <w:p w14:paraId="518AD242">
      <w:pPr>
        <w:pStyle w:val="13"/>
        <w:ind w:firstLine="1124" w:firstLineChars="400"/>
        <w:jc w:val="both"/>
        <w:outlineLvl w:val="2"/>
        <w:rPr>
          <w:b/>
          <w:color w:val="000000" w:themeColor="text1"/>
          <w:sz w:val="28"/>
          <w:highlight w:val="none"/>
          <w14:textFill>
            <w14:solidFill>
              <w14:schemeClr w14:val="tx1"/>
            </w14:solidFill>
          </w14:textFill>
        </w:rPr>
      </w:pPr>
    </w:p>
    <w:p w14:paraId="197E5B65">
      <w:pPr>
        <w:pStyle w:val="13"/>
        <w:ind w:firstLine="1124" w:firstLineChars="400"/>
        <w:jc w:val="both"/>
        <w:outlineLvl w:val="2"/>
        <w:rPr>
          <w:b/>
          <w:color w:val="000000" w:themeColor="text1"/>
          <w:sz w:val="28"/>
          <w:highlight w:val="none"/>
          <w14:textFill>
            <w14:solidFill>
              <w14:schemeClr w14:val="tx1"/>
            </w14:solidFill>
          </w14:textFill>
        </w:rPr>
      </w:pPr>
    </w:p>
    <w:p w14:paraId="40472C19">
      <w:pPr>
        <w:pStyle w:val="13"/>
        <w:jc w:val="center"/>
        <w:outlineLvl w:val="2"/>
        <w:rPr>
          <w:rFonts w:hint="default" w:ascii="Calibri" w:hAnsi="Calibri" w:eastAsia="宋体" w:cs="Times New Roman"/>
          <w:b/>
          <w:color w:val="000000" w:themeColor="text1"/>
          <w:kern w:val="2"/>
          <w:sz w:val="28"/>
          <w:szCs w:val="24"/>
          <w:highlight w:val="none"/>
          <w:lang w:val="en-US" w:eastAsia="zh-CN" w:bidi="ar-SA"/>
          <w14:textFill>
            <w14:solidFill>
              <w14:schemeClr w14:val="tx1"/>
            </w14:solidFill>
          </w14:textFill>
        </w:rPr>
      </w:pPr>
      <w:r>
        <w:rPr>
          <w:rFonts w:hint="default" w:ascii="Calibri" w:hAnsi="Calibri" w:eastAsia="宋体" w:cs="Times New Roman"/>
          <w:b/>
          <w:color w:val="000000" w:themeColor="text1"/>
          <w:kern w:val="2"/>
          <w:sz w:val="28"/>
          <w:szCs w:val="24"/>
          <w:highlight w:val="none"/>
          <w:lang w:val="en-US" w:eastAsia="zh-CN" w:bidi="ar-SA"/>
          <w14:textFill>
            <w14:solidFill>
              <w14:schemeClr w14:val="tx1"/>
            </w14:solidFill>
          </w14:textFill>
        </w:rPr>
        <w:t>采购人：</w:t>
      </w:r>
      <w:r>
        <w:rPr>
          <w:rFonts w:hint="eastAsia" w:ascii="Calibri" w:hAnsi="Calibri" w:eastAsia="宋体" w:cs="Times New Roman"/>
          <w:b/>
          <w:color w:val="000000" w:themeColor="text1"/>
          <w:kern w:val="2"/>
          <w:sz w:val="28"/>
          <w:szCs w:val="24"/>
          <w:highlight w:val="none"/>
          <w:lang w:val="en-US" w:eastAsia="zh-CN" w:bidi="ar-SA"/>
          <w14:textFill>
            <w14:solidFill>
              <w14:schemeClr w14:val="tx1"/>
            </w14:solidFill>
          </w14:textFill>
        </w:rPr>
        <w:t>湄洲湾职业技术学院</w:t>
      </w:r>
    </w:p>
    <w:p w14:paraId="0775F538">
      <w:pPr>
        <w:pStyle w:val="13"/>
        <w:jc w:val="center"/>
        <w:outlineLvl w:val="2"/>
        <w:rPr>
          <w:color w:val="000000" w:themeColor="text1"/>
          <w:highlight w:val="none"/>
          <w14:textFill>
            <w14:solidFill>
              <w14:schemeClr w14:val="tx1"/>
            </w14:solidFill>
          </w14:textFill>
        </w:rPr>
      </w:pPr>
      <w:r>
        <w:rPr>
          <w:rFonts w:hint="default" w:ascii="Calibri" w:hAnsi="Calibri" w:eastAsia="宋体" w:cs="Times New Roman"/>
          <w:b/>
          <w:color w:val="000000" w:themeColor="text1"/>
          <w:kern w:val="2"/>
          <w:sz w:val="28"/>
          <w:szCs w:val="24"/>
          <w:highlight w:val="none"/>
          <w:lang w:val="en-US" w:eastAsia="zh-CN" w:bidi="ar-SA"/>
          <w14:textFill>
            <w14:solidFill>
              <w14:schemeClr w14:val="tx1"/>
            </w14:solidFill>
          </w14:textFill>
        </w:rPr>
        <w:t>代理机构：福建省港城项目管理有限公司</w:t>
      </w:r>
    </w:p>
    <w:p w14:paraId="4901EA9D">
      <w:pPr>
        <w:pStyle w:val="3"/>
        <w:jc w:val="center"/>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编制时间：2024年</w:t>
      </w:r>
      <w:r>
        <w:rPr>
          <w:rFonts w:hint="eastAsia"/>
          <w:b/>
          <w:color w:val="000000" w:themeColor="text1"/>
          <w:sz w:val="28"/>
          <w:highlight w:val="none"/>
          <w:lang w:val="en-US" w:eastAsia="zh-CN"/>
          <w14:textFill>
            <w14:solidFill>
              <w14:schemeClr w14:val="tx1"/>
            </w14:solidFill>
          </w14:textFill>
        </w:rPr>
        <w:t>09</w:t>
      </w:r>
      <w:r>
        <w:rPr>
          <w:b/>
          <w:color w:val="000000" w:themeColor="text1"/>
          <w:sz w:val="28"/>
          <w:highlight w:val="none"/>
          <w14:textFill>
            <w14:solidFill>
              <w14:schemeClr w14:val="tx1"/>
            </w14:solidFill>
          </w14:textFill>
        </w:rPr>
        <w:t>月</w:t>
      </w:r>
      <w:r>
        <w:rPr>
          <w:color w:val="000000" w:themeColor="text1"/>
          <w:spacing w:val="0"/>
          <w:sz w:val="24"/>
          <w:szCs w:val="24"/>
          <w:highlight w:val="none"/>
          <w14:textFill>
            <w14:solidFill>
              <w14:schemeClr w14:val="tx1"/>
            </w14:solidFill>
          </w14:textFill>
        </w:rPr>
        <w:t> </w:t>
      </w: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 </w:t>
      </w:r>
    </w:p>
    <w:p w14:paraId="387EE750">
      <w:pPr>
        <w:jc w:val="center"/>
        <w:rPr>
          <w:rStyle w:val="12"/>
          <w:rFonts w:hint="eastAsia" w:ascii="宋体" w:hAnsi="宋体" w:eastAsia="宋体" w:cs="宋体"/>
          <w:b/>
          <w:bCs/>
          <w:color w:val="000000" w:themeColor="text1"/>
          <w:spacing w:val="0"/>
          <w:sz w:val="43"/>
          <w:szCs w:val="43"/>
          <w:highlight w:val="none"/>
          <w14:textFill>
            <w14:solidFill>
              <w14:schemeClr w14:val="tx1"/>
            </w14:solidFill>
          </w14:textFill>
        </w:rPr>
        <w:sectPr>
          <w:footerReference r:id="rId3" w:type="default"/>
          <w:pgSz w:w="11906" w:h="16838"/>
          <w:pgMar w:top="1440" w:right="1080" w:bottom="1440" w:left="1080" w:header="851" w:footer="992" w:gutter="0"/>
          <w:pgNumType w:fmt="decimal" w:start="1"/>
          <w:cols w:space="720" w:num="1"/>
          <w:docGrid w:type="lines" w:linePitch="312" w:charSpace="0"/>
        </w:sectPr>
      </w:pPr>
    </w:p>
    <w:p w14:paraId="332CA755">
      <w:pPr>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43"/>
          <w:szCs w:val="43"/>
          <w:highlight w:val="none"/>
          <w14:textFill>
            <w14:solidFill>
              <w14:schemeClr w14:val="tx1"/>
            </w14:solidFill>
          </w14:textFill>
        </w:rPr>
        <w:t>第一章  采购邀请书</w:t>
      </w:r>
    </w:p>
    <w:p w14:paraId="03D67EAC">
      <w:pPr>
        <w:pStyle w:val="7"/>
        <w:keepNext w:val="0"/>
        <w:keepLines w:val="0"/>
        <w:widowControl/>
        <w:suppressLineNumbers w:val="0"/>
        <w:spacing w:before="75" w:beforeAutospacing="0" w:after="75" w:afterAutospacing="0"/>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43"/>
          <w:szCs w:val="43"/>
          <w:highlight w:val="none"/>
          <w14:textFill>
            <w14:solidFill>
              <w14:schemeClr w14:val="tx1"/>
            </w14:solidFill>
          </w14:textFill>
        </w:rPr>
        <w:t> </w:t>
      </w:r>
      <w:r>
        <w:rPr>
          <w:color w:val="000000" w:themeColor="text1"/>
          <w:spacing w:val="0"/>
          <w:sz w:val="24"/>
          <w:szCs w:val="24"/>
          <w:highlight w:val="none"/>
          <w14:textFill>
            <w14:solidFill>
              <w14:schemeClr w14:val="tx1"/>
            </w14:solidFill>
          </w14:textFill>
        </w:rPr>
        <w:t> </w:t>
      </w: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竞争性磋商采购公告</w:t>
      </w:r>
    </w:p>
    <w:p w14:paraId="1FB8AAD3">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r>
        <w:rPr>
          <w:rFonts w:hint="eastAsia" w:ascii="宋体" w:hAnsi="宋体" w:cs="宋体"/>
          <w:color w:val="000000" w:themeColor="text1"/>
          <w:spacing w:val="0"/>
          <w:sz w:val="24"/>
          <w:szCs w:val="24"/>
          <w:highlight w:val="none"/>
          <w:u w:val="single"/>
          <w:lang w:val="en-US" w:eastAsia="zh-CN"/>
          <w14:textFill>
            <w14:solidFill>
              <w14:schemeClr w14:val="tx1"/>
            </w14:solidFill>
          </w14:textFill>
        </w:rPr>
        <w:t xml:space="preserve">  湄洲湾职业技术学院  </w:t>
      </w:r>
      <w:r>
        <w:rPr>
          <w:rFonts w:hint="eastAsia" w:ascii="宋体" w:hAnsi="宋体" w:eastAsia="宋体" w:cs="宋体"/>
          <w:color w:val="000000" w:themeColor="text1"/>
          <w:spacing w:val="0"/>
          <w:sz w:val="24"/>
          <w:szCs w:val="24"/>
          <w:highlight w:val="none"/>
          <w14:textFill>
            <w14:solidFill>
              <w14:schemeClr w14:val="tx1"/>
            </w14:solidFill>
          </w14:textFill>
        </w:rPr>
        <w:t>已根据政府采购相关法律法规，经相应程序确定采用</w:t>
      </w:r>
      <w:r>
        <w:rPr>
          <w:rFonts w:hint="eastAsia" w:ascii="宋体" w:hAnsi="宋体" w:eastAsia="宋体" w:cs="宋体"/>
          <w:color w:val="000000" w:themeColor="text1"/>
          <w:spacing w:val="0"/>
          <w:sz w:val="24"/>
          <w:szCs w:val="24"/>
          <w:highlight w:val="none"/>
          <w:u w:val="single"/>
          <w14:textFill>
            <w14:solidFill>
              <w14:schemeClr w14:val="tx1"/>
            </w14:solidFill>
          </w14:textFill>
        </w:rPr>
        <w:t> 竞争性磋商 </w:t>
      </w:r>
      <w:r>
        <w:rPr>
          <w:rFonts w:hint="eastAsia" w:ascii="宋体" w:hAnsi="宋体" w:eastAsia="宋体" w:cs="宋体"/>
          <w:color w:val="000000" w:themeColor="text1"/>
          <w:spacing w:val="0"/>
          <w:sz w:val="24"/>
          <w:szCs w:val="24"/>
          <w:highlight w:val="none"/>
          <w14:textFill>
            <w14:solidFill>
              <w14:schemeClr w14:val="tx1"/>
            </w14:solidFill>
          </w14:textFill>
        </w:rPr>
        <w:t>方式组织</w:t>
      </w:r>
      <w:r>
        <w:rPr>
          <w:rFonts w:hint="eastAsia" w:ascii="宋体" w:hAnsi="宋体" w:cs="宋体"/>
          <w:color w:val="000000" w:themeColor="text1"/>
          <w:spacing w:val="0"/>
          <w:sz w:val="24"/>
          <w:szCs w:val="24"/>
          <w:highlight w:val="none"/>
          <w:u w:val="single"/>
          <w:lang w:val="en-US" w:eastAsia="zh-CN"/>
          <w14:textFill>
            <w14:solidFill>
              <w14:schemeClr w14:val="tx1"/>
            </w14:solidFill>
          </w14:textFill>
        </w:rPr>
        <w:t xml:space="preserve"> 后勤管理系统采购项目（重新招标） </w:t>
      </w:r>
      <w:r>
        <w:rPr>
          <w:rFonts w:hint="eastAsia" w:ascii="宋体" w:hAnsi="宋体" w:eastAsia="宋体" w:cs="宋体"/>
          <w:color w:val="000000" w:themeColor="text1"/>
          <w:spacing w:val="0"/>
          <w:sz w:val="24"/>
          <w:szCs w:val="24"/>
          <w:highlight w:val="none"/>
          <w14:textFill>
            <w14:solidFill>
              <w14:schemeClr w14:val="tx1"/>
            </w14:solidFill>
          </w14:textFill>
        </w:rPr>
        <w:t>项目（以下简称：“本项目”）的政府采购活动，现欢迎国内合格的供应商前来参加。本项目由采购人委托</w:t>
      </w:r>
      <w:r>
        <w:rPr>
          <w:rFonts w:hint="eastAsia" w:ascii="宋体" w:hAnsi="宋体" w:cs="宋体"/>
          <w:color w:val="000000" w:themeColor="text1"/>
          <w:spacing w:val="0"/>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pacing w:val="0"/>
          <w:sz w:val="24"/>
          <w:szCs w:val="24"/>
          <w:highlight w:val="none"/>
          <w:u w:val="single"/>
          <w:lang w:eastAsia="zh-CN"/>
          <w14:textFill>
            <w14:solidFill>
              <w14:schemeClr w14:val="tx1"/>
            </w14:solidFill>
          </w14:textFill>
        </w:rPr>
        <w:t>福建省港城项目管理有限公司</w:t>
      </w:r>
      <w:r>
        <w:rPr>
          <w:rFonts w:hint="eastAsia" w:ascii="宋体" w:hAnsi="宋体" w:cs="宋体"/>
          <w:color w:val="000000" w:themeColor="text1"/>
          <w:spacing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开展竞争性磋商活动。</w:t>
      </w:r>
    </w:p>
    <w:p w14:paraId="04A24FF1">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1.项目名称：</w:t>
      </w:r>
      <w:r>
        <w:rPr>
          <w:rFonts w:hint="eastAsia" w:ascii="宋体" w:hAnsi="宋体" w:cs="宋体"/>
          <w:color w:val="000000" w:themeColor="text1"/>
          <w:spacing w:val="0"/>
          <w:sz w:val="24"/>
          <w:szCs w:val="24"/>
          <w:highlight w:val="none"/>
          <w:lang w:val="en-US" w:eastAsia="zh-CN"/>
          <w14:textFill>
            <w14:solidFill>
              <w14:schemeClr w14:val="tx1"/>
            </w14:solidFill>
          </w14:textFill>
        </w:rPr>
        <w:t>后勤管理系统采购项目（重新招标）</w:t>
      </w:r>
    </w:p>
    <w:p w14:paraId="026111C7">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w:t>
      </w:r>
      <w:r>
        <w:rPr>
          <w:rFonts w:hint="eastAsia" w:ascii="宋体" w:hAnsi="宋体" w:cs="宋体"/>
          <w:color w:val="000000" w:themeColor="text1"/>
          <w:spacing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spacing w:val="0"/>
          <w:sz w:val="24"/>
          <w:szCs w:val="24"/>
          <w:highlight w:val="none"/>
          <w14:textFill>
            <w14:solidFill>
              <w14:schemeClr w14:val="tx1"/>
            </w14:solidFill>
          </w14:textFill>
        </w:rPr>
        <w:t>项目编号：</w:t>
      </w:r>
      <w:r>
        <w:rPr>
          <w:rFonts w:hint="eastAsia" w:ascii="宋体" w:hAnsi="宋体" w:cs="宋体"/>
          <w:color w:val="000000" w:themeColor="text1"/>
          <w:spacing w:val="0"/>
          <w:sz w:val="24"/>
          <w:szCs w:val="24"/>
          <w:highlight w:val="none"/>
          <w:lang w:val="en-US" w:eastAsia="zh-CN"/>
          <w14:textFill>
            <w14:solidFill>
              <w14:schemeClr w14:val="tx1"/>
            </w14:solidFill>
          </w14:textFill>
        </w:rPr>
        <w:t>GCXM20240803-1</w:t>
      </w:r>
    </w:p>
    <w:p w14:paraId="7CC13802">
      <w:pPr>
        <w:pStyle w:val="7"/>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r>
        <w:rPr>
          <w:rFonts w:hint="eastAsia" w:ascii="宋体" w:hAnsi="宋体" w:cs="宋体"/>
          <w:color w:val="000000" w:themeColor="text1"/>
          <w:spacing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0"/>
          <w:sz w:val="24"/>
          <w:szCs w:val="24"/>
          <w:highlight w:val="none"/>
          <w14:textFill>
            <w14:solidFill>
              <w14:schemeClr w14:val="tx1"/>
            </w14:solidFill>
          </w14:textFill>
        </w:rPr>
        <w:t>.采购内容及要求：</w:t>
      </w:r>
    </w:p>
    <w:p w14:paraId="05348307">
      <w:pPr>
        <w:pStyle w:val="7"/>
        <w:keepNext w:val="0"/>
        <w:keepLines w:val="0"/>
        <w:widowControl/>
        <w:suppressLineNumbers w:val="0"/>
        <w:spacing w:before="75" w:beforeAutospacing="0" w:after="75" w:afterAutospacing="0" w:line="435" w:lineRule="atLeast"/>
        <w:ind w:left="0" w:right="0" w:firstLine="480" w:firstLineChars="200"/>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采购包1：</w:t>
      </w:r>
    </w:p>
    <w:p w14:paraId="58FA0702">
      <w:pPr>
        <w:pStyle w:val="7"/>
        <w:keepNext w:val="0"/>
        <w:keepLines w:val="0"/>
        <w:widowControl/>
        <w:suppressLineNumbers w:val="0"/>
        <w:spacing w:before="75" w:beforeAutospacing="0" w:after="75" w:afterAutospacing="0" w:line="435" w:lineRule="atLeast"/>
        <w:ind w:left="0" w:right="0" w:firstLine="480" w:firstLineChars="200"/>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采购包预算金额（元）: 450000.00</w:t>
      </w:r>
    </w:p>
    <w:p w14:paraId="4D21AB83">
      <w:pPr>
        <w:pStyle w:val="7"/>
        <w:keepNext w:val="0"/>
        <w:keepLines w:val="0"/>
        <w:widowControl/>
        <w:suppressLineNumbers w:val="0"/>
        <w:spacing w:before="75" w:beforeAutospacing="0" w:after="75" w:afterAutospacing="0" w:line="435" w:lineRule="atLeast"/>
        <w:ind w:left="0" w:right="0" w:firstLine="480" w:firstLineChars="200"/>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采购包最高限价（元）: 450000.00</w:t>
      </w:r>
    </w:p>
    <w:p w14:paraId="401A793E">
      <w:pPr>
        <w:pStyle w:val="7"/>
        <w:keepNext w:val="0"/>
        <w:keepLines w:val="0"/>
        <w:widowControl/>
        <w:suppressLineNumbers w:val="0"/>
        <w:spacing w:before="75" w:beforeAutospacing="0" w:after="75" w:afterAutospacing="0" w:line="435" w:lineRule="atLeast"/>
        <w:ind w:left="0" w:right="0" w:firstLine="48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采购包保证金金额（元）: 4500.00</w:t>
      </w:r>
    </w:p>
    <w:tbl>
      <w:tblPr>
        <w:tblStyle w:val="10"/>
        <w:tblW w:w="0" w:type="auto"/>
        <w:tblInd w:w="62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0"/>
        <w:gridCol w:w="1417"/>
        <w:gridCol w:w="1650"/>
        <w:gridCol w:w="1516"/>
        <w:gridCol w:w="1717"/>
        <w:gridCol w:w="1017"/>
      </w:tblGrid>
      <w:tr w14:paraId="38C6E2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9" w:hRule="atLeast"/>
        </w:trPr>
        <w:tc>
          <w:tcPr>
            <w:tcW w:w="750" w:type="dxa"/>
            <w:noWrap w:val="0"/>
            <w:vAlign w:val="center"/>
          </w:tcPr>
          <w:p w14:paraId="5A46CFF5">
            <w:pPr>
              <w:pStyle w:val="13"/>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序号</w:t>
            </w:r>
          </w:p>
        </w:tc>
        <w:tc>
          <w:tcPr>
            <w:tcW w:w="1417" w:type="dxa"/>
            <w:noWrap w:val="0"/>
            <w:vAlign w:val="center"/>
          </w:tcPr>
          <w:p w14:paraId="0C1D6448">
            <w:pPr>
              <w:pStyle w:val="13"/>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标的名称</w:t>
            </w:r>
          </w:p>
        </w:tc>
        <w:tc>
          <w:tcPr>
            <w:tcW w:w="1650" w:type="dxa"/>
            <w:noWrap w:val="0"/>
            <w:vAlign w:val="center"/>
          </w:tcPr>
          <w:p w14:paraId="0D7D1A15">
            <w:pPr>
              <w:pStyle w:val="13"/>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标的金额 （元）</w:t>
            </w:r>
          </w:p>
        </w:tc>
        <w:tc>
          <w:tcPr>
            <w:tcW w:w="1516" w:type="dxa"/>
            <w:noWrap w:val="0"/>
            <w:vAlign w:val="center"/>
          </w:tcPr>
          <w:p w14:paraId="7383D173">
            <w:pPr>
              <w:pStyle w:val="13"/>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数量</w:t>
            </w:r>
          </w:p>
        </w:tc>
        <w:tc>
          <w:tcPr>
            <w:tcW w:w="1717" w:type="dxa"/>
            <w:noWrap w:val="0"/>
            <w:vAlign w:val="center"/>
          </w:tcPr>
          <w:p w14:paraId="04D5D59C">
            <w:pPr>
              <w:pStyle w:val="13"/>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所属行业</w:t>
            </w:r>
          </w:p>
        </w:tc>
        <w:tc>
          <w:tcPr>
            <w:tcW w:w="1017" w:type="dxa"/>
            <w:noWrap w:val="0"/>
            <w:vAlign w:val="center"/>
          </w:tcPr>
          <w:p w14:paraId="662DDD26">
            <w:pPr>
              <w:pStyle w:val="13"/>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是否允许进口产品</w:t>
            </w:r>
          </w:p>
        </w:tc>
      </w:tr>
      <w:tr w14:paraId="2311E0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noWrap w:val="0"/>
            <w:vAlign w:val="center"/>
          </w:tcPr>
          <w:p w14:paraId="30753ADD">
            <w:pPr>
              <w:pStyle w:val="13"/>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417" w:type="dxa"/>
            <w:noWrap w:val="0"/>
            <w:vAlign w:val="center"/>
          </w:tcPr>
          <w:p w14:paraId="7F91FE00">
            <w:pPr>
              <w:pStyle w:val="13"/>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后勤管理系统采购项目（重新招标）</w:t>
            </w:r>
          </w:p>
        </w:tc>
        <w:tc>
          <w:tcPr>
            <w:tcW w:w="1650" w:type="dxa"/>
            <w:noWrap w:val="0"/>
            <w:vAlign w:val="center"/>
          </w:tcPr>
          <w:p w14:paraId="3F82BC87">
            <w:pPr>
              <w:pStyle w:val="13"/>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450000.00</w:t>
            </w:r>
          </w:p>
        </w:tc>
        <w:tc>
          <w:tcPr>
            <w:tcW w:w="1516" w:type="dxa"/>
            <w:noWrap w:val="0"/>
            <w:vAlign w:val="center"/>
          </w:tcPr>
          <w:p w14:paraId="4E87DD96">
            <w:pPr>
              <w:pStyle w:val="13"/>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1项</w:t>
            </w:r>
          </w:p>
        </w:tc>
        <w:tc>
          <w:tcPr>
            <w:tcW w:w="1717" w:type="dxa"/>
            <w:noWrap w:val="0"/>
            <w:vAlign w:val="center"/>
          </w:tcPr>
          <w:p w14:paraId="36A90233">
            <w:pPr>
              <w:pStyle w:val="13"/>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软件和信息技术服务业</w:t>
            </w:r>
          </w:p>
        </w:tc>
        <w:tc>
          <w:tcPr>
            <w:tcW w:w="1017" w:type="dxa"/>
            <w:noWrap w:val="0"/>
            <w:vAlign w:val="center"/>
          </w:tcPr>
          <w:p w14:paraId="39FF5379">
            <w:pPr>
              <w:pStyle w:val="13"/>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否</w:t>
            </w:r>
          </w:p>
        </w:tc>
      </w:tr>
    </w:tbl>
    <w:p w14:paraId="28A47983">
      <w:pPr>
        <w:pStyle w:val="3"/>
        <w:rPr>
          <w:rFonts w:hint="eastAsia" w:ascii="宋体" w:hAnsi="宋体" w:eastAsia="宋体" w:cs="宋体"/>
          <w:color w:val="000000" w:themeColor="text1"/>
          <w:spacing w:val="0"/>
          <w:sz w:val="24"/>
          <w:szCs w:val="24"/>
          <w:highlight w:val="none"/>
          <w14:textFill>
            <w14:solidFill>
              <w14:schemeClr w14:val="tx1"/>
            </w14:solidFill>
          </w14:textFill>
        </w:rPr>
      </w:pPr>
    </w:p>
    <w:p w14:paraId="2AA72FA6">
      <w:pPr>
        <w:pStyle w:val="7"/>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采购项目需要落实的政府采购政策：</w:t>
      </w:r>
    </w:p>
    <w:p w14:paraId="2853F51F">
      <w:pPr>
        <w:pStyle w:val="7"/>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进口产品：不适用</w:t>
      </w:r>
    </w:p>
    <w:p w14:paraId="5B394D54">
      <w:pPr>
        <w:pStyle w:val="7"/>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节能产品：不适用</w:t>
      </w:r>
    </w:p>
    <w:p w14:paraId="2A5A4CBE">
      <w:pPr>
        <w:pStyle w:val="7"/>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环境标志产品：不适用</w:t>
      </w:r>
    </w:p>
    <w:p w14:paraId="1A1E313B">
      <w:pPr>
        <w:pStyle w:val="7"/>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促进中小企业发展的相关政策：</w:t>
      </w:r>
    </w:p>
    <w:p w14:paraId="0FFAD61A">
      <w:pPr>
        <w:pStyle w:val="3"/>
        <w:ind w:firstLine="480" w:firstLineChars="20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采购包1：专门面向中小企业采购</w:t>
      </w:r>
    </w:p>
    <w:p w14:paraId="1D467E0F">
      <w:pPr>
        <w:pStyle w:val="7"/>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5.供应商的资格要求：</w:t>
      </w:r>
    </w:p>
    <w:p w14:paraId="3683D1CD">
      <w:pPr>
        <w:pStyle w:val="7"/>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.1法定条件：符合《中华人民共和国政府采购法》第二十二条第一款规定的条件。</w:t>
      </w:r>
    </w:p>
    <w:p w14:paraId="02CDA955">
      <w:pPr>
        <w:pStyle w:val="7"/>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.2特定条件：详见第二章 竞争性磋商须知前附表“特定资格条件”。</w:t>
      </w:r>
    </w:p>
    <w:p w14:paraId="7680722F">
      <w:pPr>
        <w:pStyle w:val="7"/>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420" w:lineRule="exact"/>
        <w:ind w:right="0" w:rightChars="0" w:firstLine="480" w:firstLineChars="20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.3是否接受联合体形式的响应磋商：不接受</w:t>
      </w:r>
    </w:p>
    <w:p w14:paraId="5FA3F320">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※根据上述资格要求，供应商响应文件中应提交的“资格证明文件”相关规定和资料要求，详见竞争性磋商须知前附表和磋商文件第五章。</w:t>
      </w:r>
    </w:p>
    <w:p w14:paraId="5B394CAA">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7.供应商报名期限：详见磋商公告或更正公告（若有）</w:t>
      </w:r>
      <w:r>
        <w:rPr>
          <w:rFonts w:hint="eastAsia" w:ascii="宋体" w:hAnsi="宋体" w:cs="宋体"/>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sz w:val="24"/>
          <w:szCs w:val="24"/>
          <w:highlight w:val="none"/>
          <w14:textFill>
            <w14:solidFill>
              <w14:schemeClr w14:val="tx1"/>
            </w14:solidFill>
          </w14:textFill>
        </w:rPr>
        <w:t>若不一致，以更正公告（若有）为准</w:t>
      </w:r>
      <w:r>
        <w:rPr>
          <w:rFonts w:hint="eastAsia" w:ascii="宋体" w:hAnsi="宋体" w:eastAsia="宋体" w:cs="宋体"/>
          <w:color w:val="000000" w:themeColor="text1"/>
          <w:spacing w:val="0"/>
          <w:sz w:val="24"/>
          <w:szCs w:val="24"/>
          <w:highlight w:val="none"/>
          <w:shd w:val="clear" w:color="auto" w:fill="FFFFFF"/>
          <w14:textFill>
            <w14:solidFill>
              <w14:schemeClr w14:val="tx1"/>
            </w14:solidFill>
          </w14:textFill>
        </w:rPr>
        <w:t>。</w:t>
      </w:r>
    </w:p>
    <w:p w14:paraId="2FDCD250">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shd w:val="clear" w:color="auto" w:fill="FFFFFF"/>
          <w14:textFill>
            <w14:solidFill>
              <w14:schemeClr w14:val="tx1"/>
            </w14:solidFill>
          </w14:textFill>
        </w:rPr>
        <w:t>   7.1如果采购过程中有发出更正公告，采购人将根据实际情况确定是否延长报名期限，则报名截止时间以更正公告中的约定为准。</w:t>
      </w:r>
    </w:p>
    <w:p w14:paraId="2E9B21CF">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8.获取采购文件时间、地点、方式：</w:t>
      </w:r>
    </w:p>
    <w:p w14:paraId="3E491D55">
      <w:pPr>
        <w:pStyle w:val="7"/>
        <w:keepNext w:val="0"/>
        <w:keepLines w:val="0"/>
        <w:widowControl/>
        <w:suppressLineNumbers w:val="0"/>
        <w:spacing w:before="75" w:beforeAutospacing="0" w:after="75" w:afterAutospacing="0" w:line="240" w:lineRule="auto"/>
        <w:ind w:right="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8.1采购文件的提供期限：详见磋商公告或更正公告（若有），若不一致，以更正公告（若有）为准。</w:t>
      </w:r>
    </w:p>
    <w:p w14:paraId="5D1D88A2">
      <w:pPr>
        <w:pStyle w:val="7"/>
        <w:keepNext w:val="0"/>
        <w:keepLines w:val="0"/>
        <w:widowControl/>
        <w:suppressLineNumbers w:val="0"/>
        <w:spacing w:before="75" w:beforeAutospacing="0" w:after="75" w:afterAutospacing="0" w:line="240" w:lineRule="auto"/>
        <w:ind w:right="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8.2获取方式：</w:t>
      </w:r>
      <w:r>
        <w:rPr>
          <w:rFonts w:hint="eastAsia"/>
          <w:color w:val="000000" w:themeColor="text1"/>
          <w:highlight w:val="none"/>
          <w14:textFill>
            <w14:solidFill>
              <w14:schemeClr w14:val="tx1"/>
            </w14:solidFill>
          </w14:textFill>
        </w:rPr>
        <w:t>供应商先将标书费转账到指定的帐户，再将转账凭证、报名人全称、地址、电话、传真、联系人、手机、E-mail、报名项目编号、项目名称等发送至我司邮箱gcxmgl_zb@163.com，我司再将招标文件通过电子邮件方式发送给报名人</w:t>
      </w:r>
      <w:r>
        <w:rPr>
          <w:rFonts w:hint="eastAsia"/>
          <w:color w:val="000000" w:themeColor="text1"/>
          <w:highlight w:val="none"/>
          <w:lang w:eastAsia="zh-CN"/>
          <w14:textFill>
            <w14:solidFill>
              <w14:schemeClr w14:val="tx1"/>
            </w14:solidFill>
          </w14:textFill>
        </w:rPr>
        <w:t>。</w:t>
      </w:r>
    </w:p>
    <w:p w14:paraId="72CE4F8F">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9.采购文件售价：</w:t>
      </w:r>
      <w:r>
        <w:rPr>
          <w:rFonts w:hint="eastAsia" w:ascii="宋体" w:hAnsi="宋体" w:cs="宋体"/>
          <w:color w:val="000000" w:themeColor="text1"/>
          <w:spacing w:val="0"/>
          <w:sz w:val="24"/>
          <w:szCs w:val="24"/>
          <w:highlight w:val="none"/>
          <w:lang w:val="en-US" w:eastAsia="zh-CN"/>
          <w14:textFill>
            <w14:solidFill>
              <w14:schemeClr w14:val="tx1"/>
            </w14:solidFill>
          </w14:textFill>
        </w:rPr>
        <w:t>100</w:t>
      </w:r>
      <w:r>
        <w:rPr>
          <w:rFonts w:hint="eastAsia" w:ascii="宋体" w:hAnsi="宋体" w:eastAsia="宋体" w:cs="宋体"/>
          <w:color w:val="000000" w:themeColor="text1"/>
          <w:spacing w:val="0"/>
          <w:sz w:val="24"/>
          <w:szCs w:val="24"/>
          <w:highlight w:val="none"/>
          <w14:textFill>
            <w14:solidFill>
              <w14:schemeClr w14:val="tx1"/>
            </w14:solidFill>
          </w14:textFill>
        </w:rPr>
        <w:t>元</w:t>
      </w:r>
      <w:r>
        <w:rPr>
          <w:rFonts w:hint="eastAsia" w:ascii="宋体" w:hAnsi="宋体" w:eastAsia="宋体" w:cs="宋体"/>
          <w:color w:val="000000" w:themeColor="text1"/>
          <w:spacing w:val="0"/>
          <w:sz w:val="24"/>
          <w:szCs w:val="24"/>
          <w:highlight w:val="none"/>
          <w:shd w:val="clear" w:color="auto" w:fill="FFFFFF"/>
          <w14:textFill>
            <w14:solidFill>
              <w14:schemeClr w14:val="tx1"/>
            </w14:solidFill>
          </w14:textFill>
        </w:rPr>
        <w:t>/份(含电子文档)，</w:t>
      </w:r>
      <w:r>
        <w:rPr>
          <w:rFonts w:hint="eastAsia" w:ascii="宋体" w:hAnsi="宋体" w:eastAsia="宋体" w:cs="宋体"/>
          <w:color w:val="000000" w:themeColor="text1"/>
          <w:spacing w:val="0"/>
          <w:sz w:val="24"/>
          <w:szCs w:val="24"/>
          <w:highlight w:val="none"/>
          <w:shd w:val="clear" w:color="auto" w:fill="FFFFFF"/>
          <w:lang w:val="en-US" w:eastAsia="zh-CN"/>
          <w14:textFill>
            <w14:solidFill>
              <w14:schemeClr w14:val="tx1"/>
            </w14:solidFill>
          </w14:textFill>
        </w:rPr>
        <w:t>招标文件售出一概不退</w:t>
      </w:r>
      <w:r>
        <w:rPr>
          <w:rFonts w:hint="eastAsia" w:ascii="宋体" w:hAnsi="宋体" w:cs="宋体"/>
          <w:color w:val="000000" w:themeColor="text1"/>
          <w:spacing w:val="0"/>
          <w:sz w:val="24"/>
          <w:szCs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未购买招标文件者的投标人将被拒绝</w:t>
      </w: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18E26F07">
      <w:pPr>
        <w:pStyle w:val="7"/>
        <w:keepNext w:val="0"/>
        <w:keepLines w:val="0"/>
        <w:widowControl/>
        <w:suppressLineNumbers w:val="0"/>
        <w:spacing w:before="75" w:beforeAutospacing="0" w:after="75" w:afterAutospacing="0" w:line="240" w:lineRule="auto"/>
        <w:ind w:right="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10.首次响应文件递交截止时间及地点：详见磋商公告或更正公告（若有），若不一致，以更正公告（若有）为准。</w:t>
      </w:r>
      <w:r>
        <w:rPr>
          <w:color w:val="000000" w:themeColor="text1"/>
          <w:spacing w:val="0"/>
          <w:sz w:val="24"/>
          <w:szCs w:val="24"/>
          <w:highlight w:val="none"/>
          <w14:textFill>
            <w14:solidFill>
              <w14:schemeClr w14:val="tx1"/>
            </w14:solidFill>
          </w14:textFill>
        </w:rPr>
        <w:t>供应商</w:t>
      </w:r>
      <w:r>
        <w:rPr>
          <w:rFonts w:hint="eastAsia" w:ascii="宋体" w:hAnsi="宋体" w:eastAsia="宋体" w:cs="宋体"/>
          <w:color w:val="000000" w:themeColor="text1"/>
          <w:spacing w:val="0"/>
          <w:sz w:val="24"/>
          <w:szCs w:val="24"/>
          <w:highlight w:val="none"/>
          <w14:textFill>
            <w14:solidFill>
              <w14:schemeClr w14:val="tx1"/>
            </w14:solidFill>
          </w14:textFill>
        </w:rPr>
        <w:t>应在此之前将密封的首次响应文件送达本章第11条载明的地点，逾期送达的或不符合规定的响应文件将被拒绝接收。</w:t>
      </w:r>
    </w:p>
    <w:p w14:paraId="5452DCED">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11.磋商时间及地点：详见磋商公告或更正公告（若有），若不一致，以更正公告（若有）为准。</w:t>
      </w:r>
    </w:p>
    <w:p w14:paraId="08EAB7ED">
      <w:pPr>
        <w:pStyle w:val="7"/>
        <w:keepNext w:val="0"/>
        <w:keepLines w:val="0"/>
        <w:widowControl/>
        <w:suppressLineNumbers w:val="0"/>
        <w:spacing w:before="75" w:beforeAutospacing="0" w:after="75" w:afterAutospacing="0" w:line="240" w:lineRule="auto"/>
        <w:ind w:left="0" w:right="0" w:firstLine="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12.竞争性磋商公告期限：自财政部和福建省财政厅指定的政府采购信息发布媒体最先发布公告之日起3个工作日。</w:t>
      </w:r>
    </w:p>
    <w:p w14:paraId="2C1FEF77">
      <w:pPr>
        <w:pStyle w:val="7"/>
        <w:keepNext w:val="0"/>
        <w:keepLines w:val="0"/>
        <w:widowControl/>
        <w:suppressLineNumbers w:val="0"/>
        <w:spacing w:before="75" w:beforeAutospacing="0" w:after="75" w:afterAutospacing="0" w:line="240" w:lineRule="auto"/>
        <w:ind w:left="0" w:right="0" w:firstLine="480" w:firstLineChars="20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13.</w:t>
      </w:r>
    </w:p>
    <w:p w14:paraId="18ABA28D">
      <w:pPr>
        <w:pStyle w:val="7"/>
        <w:keepNext w:val="0"/>
        <w:keepLines w:val="0"/>
        <w:widowControl/>
        <w:suppressLineNumbers w:val="0"/>
        <w:spacing w:before="75" w:beforeAutospacing="0" w:after="75" w:afterAutospacing="0" w:line="240" w:lineRule="auto"/>
        <w:ind w:left="0" w:right="0" w:firstLine="480" w:firstLineChars="200"/>
        <w:rPr>
          <w:rFonts w:hint="eastAsia" w:ascii="宋体" w:hAnsi="宋体" w:cs="宋体"/>
          <w:color w:val="000000" w:themeColor="text1"/>
          <w:spacing w:val="0"/>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采购人：</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湄洲湾职业技术学院</w:t>
      </w:r>
    </w:p>
    <w:p w14:paraId="224F5C47">
      <w:pPr>
        <w:pStyle w:val="7"/>
        <w:keepNext w:val="0"/>
        <w:keepLines w:val="0"/>
        <w:widowControl/>
        <w:suppressLineNumbers w:val="0"/>
        <w:spacing w:before="75" w:beforeAutospacing="0" w:after="75" w:afterAutospacing="0" w:line="240" w:lineRule="auto"/>
        <w:ind w:left="0" w:right="0" w:firstLine="480" w:firstLineChars="20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地 址：莆田涵江区梧塘镇荔涵东大道1001号</w:t>
      </w:r>
    </w:p>
    <w:p w14:paraId="1422D530">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联系人：</w:t>
      </w:r>
      <w:r>
        <w:rPr>
          <w:rFonts w:hint="eastAsia" w:ascii="宋体" w:hAnsi="宋体" w:cs="宋体"/>
          <w:color w:val="000000" w:themeColor="text1"/>
          <w:spacing w:val="0"/>
          <w:sz w:val="24"/>
          <w:szCs w:val="24"/>
          <w:highlight w:val="none"/>
          <w:lang w:val="en-US" w:eastAsia="zh-CN"/>
          <w14:textFill>
            <w14:solidFill>
              <w14:schemeClr w14:val="tx1"/>
            </w14:solidFill>
          </w14:textFill>
        </w:rPr>
        <w:t>黄</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女士</w:t>
      </w:r>
    </w:p>
    <w:p w14:paraId="4ED8DF96">
      <w:pPr>
        <w:pStyle w:val="7"/>
        <w:keepNext w:val="0"/>
        <w:keepLines w:val="0"/>
        <w:widowControl/>
        <w:suppressLineNumbers w:val="0"/>
        <w:spacing w:before="75" w:beforeAutospacing="0" w:after="75" w:afterAutospacing="0" w:line="240" w:lineRule="auto"/>
        <w:ind w:left="0" w:right="0" w:firstLine="480"/>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联系方法：19959528850</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 </w:t>
      </w:r>
    </w:p>
    <w:p w14:paraId="7880378D">
      <w:pPr>
        <w:pStyle w:val="7"/>
        <w:keepNext w:val="0"/>
        <w:keepLines w:val="0"/>
        <w:widowControl/>
        <w:suppressLineNumbers w:val="0"/>
        <w:spacing w:before="75" w:beforeAutospacing="0" w:after="75" w:afterAutospacing="0" w:line="240" w:lineRule="auto"/>
        <w:ind w:left="0" w:right="0" w:firstLine="480"/>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pPr>
    </w:p>
    <w:p w14:paraId="0D569C65">
      <w:pPr>
        <w:pStyle w:val="7"/>
        <w:keepNext w:val="0"/>
        <w:keepLines w:val="0"/>
        <w:widowControl/>
        <w:suppressLineNumbers w:val="0"/>
        <w:spacing w:before="75" w:beforeAutospacing="0" w:after="75" w:afterAutospacing="0" w:line="240" w:lineRule="auto"/>
        <w:ind w:left="0" w:right="0" w:firstLine="480"/>
        <w:rPr>
          <w:rFonts w:hint="eastAsia" w:eastAsia="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代理机构：</w:t>
      </w:r>
      <w:r>
        <w:rPr>
          <w:rFonts w:hint="eastAsia" w:ascii="宋体" w:hAnsi="宋体" w:cs="宋体"/>
          <w:color w:val="000000" w:themeColor="text1"/>
          <w:spacing w:val="0"/>
          <w:sz w:val="24"/>
          <w:szCs w:val="24"/>
          <w:highlight w:val="none"/>
          <w:u w:val="none"/>
          <w:lang w:eastAsia="zh-CN"/>
          <w14:textFill>
            <w14:solidFill>
              <w14:schemeClr w14:val="tx1"/>
            </w14:solidFill>
          </w14:textFill>
        </w:rPr>
        <w:t>福建省港城项目管理有限公司</w:t>
      </w:r>
    </w:p>
    <w:p w14:paraId="0C33BA44">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地  址：福建省莆田市荔城区镇海街道丰美路352号1号楼2梯203室</w:t>
      </w:r>
    </w:p>
    <w:p w14:paraId="4288A458">
      <w:pPr>
        <w:pStyle w:val="7"/>
        <w:keepNext w:val="0"/>
        <w:keepLines w:val="0"/>
        <w:widowControl/>
        <w:suppressLineNumbers w:val="0"/>
        <w:spacing w:before="75" w:beforeAutospacing="0" w:after="75" w:afterAutospacing="0" w:line="240" w:lineRule="auto"/>
        <w:ind w:left="0" w:right="0" w:firstLine="480"/>
        <w:rPr>
          <w:rFonts w:hint="eastAsia" w:eastAsia="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联</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系</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人：</w:t>
      </w:r>
      <w:r>
        <w:rPr>
          <w:rFonts w:hint="eastAsia" w:ascii="宋体" w:hAnsi="宋体" w:eastAsia="宋体" w:cs="宋体"/>
          <w:color w:val="000000" w:themeColor="text1"/>
          <w:szCs w:val="22"/>
          <w:highlight w:val="none"/>
          <w:shd w:val="clear" w:color="auto" w:fill="FFFFFF"/>
          <w:lang w:val="en-US" w:eastAsia="zh-CN"/>
          <w14:textFill>
            <w14:solidFill>
              <w14:schemeClr w14:val="tx1"/>
            </w14:solidFill>
          </w14:textFill>
        </w:rPr>
        <w:t>小张</w:t>
      </w:r>
    </w:p>
    <w:p w14:paraId="4F03D229">
      <w:pPr>
        <w:pStyle w:val="7"/>
        <w:keepNext w:val="0"/>
        <w:keepLines w:val="0"/>
        <w:widowControl/>
        <w:suppressLineNumbers w:val="0"/>
        <w:spacing w:before="75" w:beforeAutospacing="0" w:after="75" w:afterAutospacing="0" w:line="240" w:lineRule="auto"/>
        <w:ind w:left="0" w:right="0" w:firstLine="48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联系方法：0594-2797529、18206005231、13559392402</w:t>
      </w:r>
    </w:p>
    <w:p w14:paraId="1A803DA5">
      <w:pPr>
        <w:pStyle w:val="7"/>
        <w:keepNext w:val="0"/>
        <w:keepLines w:val="0"/>
        <w:widowControl/>
        <w:suppressLineNumbers w:val="0"/>
        <w:spacing w:before="75" w:beforeAutospacing="0" w:after="75" w:afterAutospacing="0" w:line="240" w:lineRule="auto"/>
        <w:ind w:right="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附1：提交磋商保证金的银行账户信息</w:t>
      </w:r>
    </w:p>
    <w:tbl>
      <w:tblPr>
        <w:tblStyle w:val="10"/>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820"/>
      </w:tblGrid>
      <w:tr w14:paraId="0DC1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6" w:hRule="atLeast"/>
          <w:jc w:val="center"/>
        </w:trPr>
        <w:tc>
          <w:tcPr>
            <w:tcW w:w="9820" w:type="dxa"/>
            <w:noWrap w:val="0"/>
            <w:tcMar>
              <w:top w:w="0" w:type="dxa"/>
              <w:left w:w="105" w:type="dxa"/>
              <w:bottom w:w="0" w:type="dxa"/>
              <w:right w:w="105" w:type="dxa"/>
            </w:tcMar>
            <w:vAlign w:val="center"/>
          </w:tcPr>
          <w:p w14:paraId="0ADB3252">
            <w:pPr>
              <w:pStyle w:val="7"/>
              <w:keepNext w:val="0"/>
              <w:keepLines w:val="0"/>
              <w:widowControl/>
              <w:suppressLineNumbers w:val="0"/>
              <w:spacing w:before="0" w:beforeAutospacing="0" w:after="0" w:afterAutospacing="0" w:line="240" w:lineRule="auto"/>
              <w:ind w:left="0" w:right="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银行账户</w:t>
            </w:r>
          </w:p>
        </w:tc>
      </w:tr>
      <w:tr w14:paraId="71119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6" w:hRule="atLeast"/>
          <w:jc w:val="center"/>
        </w:trPr>
        <w:tc>
          <w:tcPr>
            <w:tcW w:w="9820" w:type="dxa"/>
            <w:noWrap w:val="0"/>
            <w:tcMar>
              <w:top w:w="0" w:type="dxa"/>
              <w:left w:w="105" w:type="dxa"/>
              <w:bottom w:w="0" w:type="dxa"/>
              <w:right w:w="105" w:type="dxa"/>
            </w:tcMar>
            <w:vAlign w:val="top"/>
          </w:tcPr>
          <w:p w14:paraId="204B3D95">
            <w:pPr>
              <w:pStyle w:val="7"/>
              <w:keepNext w:val="0"/>
              <w:keepLines w:val="0"/>
              <w:widowControl/>
              <w:suppressLineNumbers w:val="0"/>
              <w:spacing w:before="0" w:beforeAutospacing="0" w:after="0" w:afterAutospacing="0" w:line="240" w:lineRule="auto"/>
              <w:ind w:left="0" w:right="0"/>
              <w:rPr>
                <w:rFonts w:hint="eastAsia" w:eastAsia="宋体"/>
                <w:b w:val="0"/>
                <w:bCs w:val="0"/>
                <w:color w:val="000000" w:themeColor="text1"/>
                <w:highlight w:val="none"/>
                <w:lang w:eastAsia="zh-CN"/>
                <w14:textFill>
                  <w14:solidFill>
                    <w14:schemeClr w14:val="tx1"/>
                  </w14:solidFill>
                </w14:textFill>
              </w:rPr>
            </w:pPr>
            <w:r>
              <w:rPr>
                <w:rFonts w:hint="eastAsia" w:ascii="宋体" w:hAnsi="宋体" w:eastAsia="宋体" w:cs="宋体"/>
                <w:b w:val="0"/>
                <w:bCs w:val="0"/>
                <w:color w:val="000000" w:themeColor="text1"/>
                <w:spacing w:val="0"/>
                <w:sz w:val="24"/>
                <w:szCs w:val="24"/>
                <w:highlight w:val="none"/>
                <w14:textFill>
                  <w14:solidFill>
                    <w14:schemeClr w14:val="tx1"/>
                  </w14:solidFill>
                </w14:textFill>
              </w:rPr>
              <w:t>开户名称：</w:t>
            </w:r>
            <w:r>
              <w:rPr>
                <w:rStyle w:val="12"/>
                <w:rFonts w:hint="eastAsia" w:ascii="宋体" w:hAnsi="宋体" w:eastAsia="宋体" w:cs="宋体"/>
                <w:b w:val="0"/>
                <w:bCs w:val="0"/>
                <w:color w:val="000000" w:themeColor="text1"/>
                <w:szCs w:val="32"/>
                <w:highlight w:val="none"/>
                <w:lang w:eastAsia="zh-CN"/>
                <w14:textFill>
                  <w14:solidFill>
                    <w14:schemeClr w14:val="tx1"/>
                  </w14:solidFill>
                </w14:textFill>
              </w:rPr>
              <w:t>福建省港城项目管理有限公司</w:t>
            </w:r>
          </w:p>
        </w:tc>
      </w:tr>
      <w:tr w14:paraId="5704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6" w:hRule="atLeast"/>
          <w:jc w:val="center"/>
        </w:trPr>
        <w:tc>
          <w:tcPr>
            <w:tcW w:w="9820" w:type="dxa"/>
            <w:noWrap w:val="0"/>
            <w:tcMar>
              <w:top w:w="0" w:type="dxa"/>
              <w:left w:w="105" w:type="dxa"/>
              <w:bottom w:w="0" w:type="dxa"/>
              <w:right w:w="105" w:type="dxa"/>
            </w:tcMar>
            <w:vAlign w:val="top"/>
          </w:tcPr>
          <w:p w14:paraId="06E61C22">
            <w:pPr>
              <w:pStyle w:val="7"/>
              <w:keepNext w:val="0"/>
              <w:keepLines w:val="0"/>
              <w:widowControl/>
              <w:suppressLineNumbers w:val="0"/>
              <w:spacing w:before="0" w:beforeAutospacing="0" w:after="0" w:afterAutospacing="0" w:line="240" w:lineRule="auto"/>
              <w:ind w:left="0" w:right="0"/>
              <w:rPr>
                <w:rFonts w:hint="eastAsia" w:eastAsia="宋体"/>
                <w:b w:val="0"/>
                <w:bCs w:val="0"/>
                <w:color w:val="000000" w:themeColor="text1"/>
                <w:highlight w:val="none"/>
                <w:lang w:eastAsia="zh-CN"/>
                <w14:textFill>
                  <w14:solidFill>
                    <w14:schemeClr w14:val="tx1"/>
                  </w14:solidFill>
                </w14:textFill>
              </w:rPr>
            </w:pPr>
            <w:r>
              <w:rPr>
                <w:rFonts w:hint="eastAsia" w:ascii="宋体" w:hAnsi="宋体" w:eastAsia="宋体" w:cs="宋体"/>
                <w:b w:val="0"/>
                <w:bCs w:val="0"/>
                <w:color w:val="000000" w:themeColor="text1"/>
                <w:spacing w:val="0"/>
                <w:sz w:val="24"/>
                <w:szCs w:val="24"/>
                <w:highlight w:val="none"/>
                <w14:textFill>
                  <w14:solidFill>
                    <w14:schemeClr w14:val="tx1"/>
                  </w14:solidFill>
                </w14:textFill>
              </w:rPr>
              <w:t>开户银行：</w:t>
            </w:r>
            <w:r>
              <w:rPr>
                <w:rFonts w:hint="eastAsia" w:ascii="宋体" w:hAnsi="宋体" w:eastAsia="宋体" w:cs="宋体"/>
                <w:b w:val="0"/>
                <w:bCs w:val="0"/>
                <w:color w:val="000000" w:themeColor="text1"/>
                <w:spacing w:val="0"/>
                <w:sz w:val="24"/>
                <w:szCs w:val="24"/>
                <w:highlight w:val="none"/>
                <w:lang w:val="en-US" w:eastAsia="zh-CN"/>
                <w14:textFill>
                  <w14:solidFill>
                    <w14:schemeClr w14:val="tx1"/>
                  </w14:solidFill>
                </w14:textFill>
              </w:rPr>
              <w:t>工行莆田庙前支行</w:t>
            </w:r>
            <w:r>
              <w:rPr>
                <w:rStyle w:val="12"/>
                <w:rFonts w:hint="eastAsia" w:ascii="宋体" w:hAnsi="宋体" w:cs="宋体"/>
                <w:b w:val="0"/>
                <w:bCs w:val="0"/>
                <w:color w:val="000000" w:themeColor="text1"/>
                <w:sz w:val="24"/>
                <w:szCs w:val="32"/>
                <w:highlight w:val="none"/>
                <w:lang w:val="en-US" w:eastAsia="zh-CN"/>
                <w14:textFill>
                  <w14:solidFill>
                    <w14:schemeClr w14:val="tx1"/>
                  </w14:solidFill>
                </w14:textFill>
              </w:rPr>
              <w:t xml:space="preserve"> </w:t>
            </w:r>
          </w:p>
        </w:tc>
      </w:tr>
      <w:tr w14:paraId="45E3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6" w:hRule="atLeast"/>
          <w:jc w:val="center"/>
        </w:trPr>
        <w:tc>
          <w:tcPr>
            <w:tcW w:w="9820" w:type="dxa"/>
            <w:noWrap w:val="0"/>
            <w:tcMar>
              <w:top w:w="0" w:type="dxa"/>
              <w:left w:w="105" w:type="dxa"/>
              <w:bottom w:w="0" w:type="dxa"/>
              <w:right w:w="105" w:type="dxa"/>
            </w:tcMar>
            <w:vAlign w:val="top"/>
          </w:tcPr>
          <w:p w14:paraId="71D32241">
            <w:pPr>
              <w:pStyle w:val="7"/>
              <w:keepNext w:val="0"/>
              <w:keepLines w:val="0"/>
              <w:widowControl/>
              <w:suppressLineNumbers w:val="0"/>
              <w:spacing w:before="0" w:beforeAutospacing="0" w:after="0" w:afterAutospacing="0" w:line="240" w:lineRule="auto"/>
              <w:ind w:left="0" w:right="0"/>
              <w:rPr>
                <w:rFonts w:hint="eastAsia" w:eastAsia="宋体"/>
                <w:b w:val="0"/>
                <w:bCs w:val="0"/>
                <w:color w:val="000000" w:themeColor="text1"/>
                <w:highlight w:val="none"/>
                <w:lang w:eastAsia="zh-CN"/>
                <w14:textFill>
                  <w14:solidFill>
                    <w14:schemeClr w14:val="tx1"/>
                  </w14:solidFill>
                </w14:textFill>
              </w:rPr>
            </w:pPr>
            <w:r>
              <w:rPr>
                <w:rFonts w:hint="eastAsia" w:ascii="宋体" w:hAnsi="宋体" w:eastAsia="宋体" w:cs="宋体"/>
                <w:b w:val="0"/>
                <w:bCs w:val="0"/>
                <w:color w:val="000000" w:themeColor="text1"/>
                <w:spacing w:val="0"/>
                <w:sz w:val="24"/>
                <w:szCs w:val="24"/>
                <w:highlight w:val="none"/>
                <w14:textFill>
                  <w14:solidFill>
                    <w14:schemeClr w14:val="tx1"/>
                  </w14:solidFill>
                </w14:textFill>
              </w:rPr>
              <w:t>银行账号：</w:t>
            </w:r>
            <w:r>
              <w:rPr>
                <w:rFonts w:hint="eastAsia" w:ascii="宋体" w:hAnsi="宋体" w:eastAsia="宋体" w:cs="宋体"/>
                <w:b w:val="0"/>
                <w:bCs w:val="0"/>
                <w:color w:val="000000" w:themeColor="text1"/>
                <w:spacing w:val="0"/>
                <w:sz w:val="24"/>
                <w:szCs w:val="24"/>
                <w:highlight w:val="none"/>
                <w:lang w:val="en-US" w:eastAsia="zh-CN"/>
                <w14:textFill>
                  <w14:solidFill>
                    <w14:schemeClr w14:val="tx1"/>
                  </w14:solidFill>
                </w14:textFill>
              </w:rPr>
              <w:t>1405501019000062508</w:t>
            </w:r>
            <w:r>
              <w:rPr>
                <w:rStyle w:val="12"/>
                <w:rFonts w:hint="eastAsia" w:ascii="宋体" w:hAnsi="宋体" w:cs="宋体"/>
                <w:b w:val="0"/>
                <w:bCs w:val="0"/>
                <w:color w:val="000000" w:themeColor="text1"/>
                <w:sz w:val="24"/>
                <w:szCs w:val="32"/>
                <w:highlight w:val="none"/>
                <w:lang w:val="en-US" w:eastAsia="zh-CN"/>
                <w14:textFill>
                  <w14:solidFill>
                    <w14:schemeClr w14:val="tx1"/>
                  </w14:solidFill>
                </w14:textFill>
              </w:rPr>
              <w:t xml:space="preserve"> </w:t>
            </w:r>
          </w:p>
        </w:tc>
      </w:tr>
      <w:tr w14:paraId="5053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6" w:hRule="atLeast"/>
          <w:jc w:val="center"/>
        </w:trPr>
        <w:tc>
          <w:tcPr>
            <w:tcW w:w="9820" w:type="dxa"/>
            <w:noWrap w:val="0"/>
            <w:tcMar>
              <w:top w:w="0" w:type="dxa"/>
              <w:left w:w="105" w:type="dxa"/>
              <w:bottom w:w="0" w:type="dxa"/>
              <w:right w:w="105" w:type="dxa"/>
            </w:tcMar>
            <w:vAlign w:val="center"/>
          </w:tcPr>
          <w:p w14:paraId="4E34916C">
            <w:pPr>
              <w:pStyle w:val="7"/>
              <w:keepNext w:val="0"/>
              <w:keepLines w:val="0"/>
              <w:widowControl/>
              <w:suppressLineNumbers w:val="0"/>
              <w:spacing w:before="0" w:beforeAutospacing="0" w:after="0" w:afterAutospacing="0" w:line="240" w:lineRule="auto"/>
              <w:ind w:left="0" w:right="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特别提示</w:t>
            </w:r>
          </w:p>
        </w:tc>
      </w:tr>
      <w:tr w14:paraId="31F4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4" w:hRule="atLeast"/>
          <w:jc w:val="center"/>
        </w:trPr>
        <w:tc>
          <w:tcPr>
            <w:tcW w:w="9820" w:type="dxa"/>
            <w:noWrap w:val="0"/>
            <w:tcMar>
              <w:top w:w="0" w:type="dxa"/>
              <w:left w:w="105" w:type="dxa"/>
              <w:bottom w:w="0" w:type="dxa"/>
              <w:right w:w="105" w:type="dxa"/>
            </w:tcMar>
            <w:vAlign w:val="top"/>
          </w:tcPr>
          <w:p w14:paraId="6658A4E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1、请供应商务必认真核对账户信息，</w:t>
            </w:r>
            <w:r>
              <w:rPr>
                <w:rFonts w:hint="eastAsia" w:ascii="宋体" w:hAnsi="宋体" w:cs="宋体"/>
                <w:color w:val="000000" w:themeColor="text1"/>
                <w:spacing w:val="0"/>
                <w:sz w:val="24"/>
                <w:szCs w:val="24"/>
                <w:highlight w:val="none"/>
                <w:lang w:val="en-US" w:eastAsia="zh-CN"/>
                <w14:textFill>
                  <w14:solidFill>
                    <w14:schemeClr w14:val="tx1"/>
                  </w14:solidFill>
                </w14:textFill>
              </w:rPr>
              <w:t>于</w:t>
            </w:r>
            <w:r>
              <w:rPr>
                <w:rStyle w:val="12"/>
                <w:rFonts w:hint="eastAsia" w:ascii="宋体" w:hAnsi="宋体" w:eastAsia="宋体" w:cs="宋体"/>
                <w:color w:val="000000" w:themeColor="text1"/>
                <w:highlight w:val="none"/>
                <w:u w:val="single"/>
                <w:lang w:val="en-US" w:eastAsia="zh-CN"/>
                <w14:textFill>
                  <w14:solidFill>
                    <w14:schemeClr w14:val="tx1"/>
                  </w14:solidFill>
                </w14:textFill>
              </w:rPr>
              <w:t>首次响应文件递交截止时间前</w:t>
            </w:r>
            <w:r>
              <w:rPr>
                <w:rStyle w:val="12"/>
                <w:rFonts w:hint="eastAsia" w:ascii="宋体" w:hAnsi="宋体" w:eastAsia="宋体" w:cs="宋体"/>
                <w:color w:val="000000" w:themeColor="text1"/>
                <w:highlight w:val="none"/>
                <w:u w:val="none"/>
                <w:lang w:val="en-US" w:eastAsia="zh-CN"/>
                <w14:textFill>
                  <w14:solidFill>
                    <w14:schemeClr w14:val="tx1"/>
                  </w14:solidFill>
                </w14:textFill>
              </w:rPr>
              <w:t>，</w:t>
            </w:r>
            <w:r>
              <w:rPr>
                <w:rFonts w:hint="eastAsia" w:ascii="宋体" w:hAnsi="宋体" w:eastAsia="宋体" w:cs="宋体"/>
                <w:color w:val="000000" w:themeColor="text1"/>
                <w:spacing w:val="0"/>
                <w:sz w:val="24"/>
                <w:szCs w:val="24"/>
                <w:highlight w:val="none"/>
                <w14:textFill>
                  <w14:solidFill>
                    <w14:schemeClr w14:val="tx1"/>
                  </w14:solidFill>
                </w14:textFill>
              </w:rPr>
              <w:t>将磋商保证金款项汇入对应账户，并自行承担因款项汇错而产生的一切后果。</w:t>
            </w:r>
          </w:p>
          <w:p w14:paraId="6E5752C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2、请供应商在转账或电汇的凭证上务必按照以下格式注明，以便核对：“（项目编号：***、合同包：***）的磋商保证金”。</w:t>
            </w:r>
          </w:p>
        </w:tc>
      </w:tr>
    </w:tbl>
    <w:p w14:paraId="22F29DB6">
      <w:pPr>
        <w:pStyle w:val="7"/>
        <w:keepNext w:val="0"/>
        <w:keepLines w:val="0"/>
        <w:widowControl/>
        <w:suppressLineNumbers w:val="0"/>
        <w:spacing w:before="75" w:beforeAutospacing="0" w:after="75" w:afterAutospacing="0"/>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43"/>
          <w:szCs w:val="43"/>
          <w:highlight w:val="none"/>
          <w14:textFill>
            <w14:solidFill>
              <w14:schemeClr w14:val="tx1"/>
            </w14:solidFill>
          </w14:textFill>
        </w:rPr>
        <w:br w:type="page"/>
      </w:r>
      <w:r>
        <w:rPr>
          <w:rStyle w:val="12"/>
          <w:rFonts w:hint="eastAsia" w:ascii="宋体" w:hAnsi="宋体" w:eastAsia="宋体" w:cs="宋体"/>
          <w:b/>
          <w:bCs/>
          <w:color w:val="000000" w:themeColor="text1"/>
          <w:spacing w:val="0"/>
          <w:sz w:val="43"/>
          <w:szCs w:val="43"/>
          <w:highlight w:val="none"/>
          <w14:textFill>
            <w14:solidFill>
              <w14:schemeClr w14:val="tx1"/>
            </w14:solidFill>
          </w14:textFill>
        </w:rPr>
        <w:t>第二章  竞争性磋商须知</w:t>
      </w:r>
    </w:p>
    <w:p w14:paraId="5AEABCF7">
      <w:pPr>
        <w:pStyle w:val="7"/>
        <w:keepNext w:val="0"/>
        <w:keepLines w:val="0"/>
        <w:widowControl/>
        <w:suppressLineNumbers w:val="0"/>
        <w:spacing w:before="75" w:beforeAutospacing="0" w:after="75" w:afterAutospacing="0" w:line="435" w:lineRule="atLeast"/>
        <w:ind w:left="0" w:right="0" w:firstLine="0"/>
        <w:jc w:val="center"/>
        <w:rPr>
          <w:rStyle w:val="12"/>
          <w:rFonts w:hint="eastAsia" w:ascii="宋体" w:hAnsi="宋体" w:eastAsia="宋体" w:cs="宋体"/>
          <w:b/>
          <w:bCs/>
          <w:color w:val="000000" w:themeColor="text1"/>
          <w:spacing w:val="0"/>
          <w:sz w:val="31"/>
          <w:szCs w:val="31"/>
          <w:highlight w:val="none"/>
          <w14:textFill>
            <w14:solidFill>
              <w14:schemeClr w14:val="tx1"/>
            </w14:solidFill>
          </w14:textFill>
        </w:rPr>
      </w:pPr>
      <w:r>
        <w:rPr>
          <w:rStyle w:val="12"/>
          <w:rFonts w:hint="eastAsia" w:ascii="宋体" w:hAnsi="宋体" w:eastAsia="宋体" w:cs="宋体"/>
          <w:b/>
          <w:bCs/>
          <w:color w:val="000000" w:themeColor="text1"/>
          <w:spacing w:val="0"/>
          <w:sz w:val="31"/>
          <w:szCs w:val="31"/>
          <w:highlight w:val="none"/>
          <w14:textFill>
            <w14:solidFill>
              <w14:schemeClr w14:val="tx1"/>
            </w14:solidFill>
          </w14:textFill>
        </w:rPr>
        <w:t>第1节  竞争性磋商须知前附表</w:t>
      </w:r>
    </w:p>
    <w:p w14:paraId="7C2A270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00" w:firstLineChars="200"/>
        <w:jc w:val="left"/>
        <w:textAlignment w:val="auto"/>
        <w:rPr>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0"/>
          <w:sz w:val="20"/>
          <w:szCs w:val="20"/>
          <w:highlight w:val="none"/>
          <w14:textFill>
            <w14:solidFill>
              <w14:schemeClr w14:val="tx1"/>
            </w14:solidFill>
          </w14:textFill>
        </w:rPr>
        <w:t>竞争性磋商须知前附表是对竞争性磋商须知的补充和细化，二者如有矛盾，以前附表中的要求和规定为准</w:t>
      </w:r>
    </w:p>
    <w:tbl>
      <w:tblPr>
        <w:tblStyle w:val="10"/>
        <w:tblW w:w="10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88"/>
        <w:gridCol w:w="930"/>
        <w:gridCol w:w="9511"/>
      </w:tblGrid>
      <w:tr w14:paraId="402C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 w:hRule="atLeast"/>
          <w:jc w:val="center"/>
        </w:trPr>
        <w:tc>
          <w:tcPr>
            <w:tcW w:w="488" w:type="dxa"/>
            <w:noWrap w:val="0"/>
            <w:tcMar>
              <w:top w:w="0" w:type="dxa"/>
              <w:left w:w="105" w:type="dxa"/>
              <w:bottom w:w="0" w:type="dxa"/>
              <w:right w:w="105" w:type="dxa"/>
            </w:tcMar>
            <w:vAlign w:val="top"/>
          </w:tcPr>
          <w:p w14:paraId="47325E0A">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sz w:val="22"/>
                <w:szCs w:val="22"/>
                <w:highlight w:val="none"/>
                <w14:textFill>
                  <w14:solidFill>
                    <w14:schemeClr w14:val="tx1"/>
                  </w14:solidFill>
                </w14:textFill>
              </w:rPr>
            </w:pPr>
            <w:r>
              <w:rPr>
                <w:rStyle w:val="12"/>
                <w:rFonts w:hint="eastAsia" w:ascii="宋体" w:hAnsi="宋体" w:eastAsia="宋体" w:cs="宋体"/>
                <w:b/>
                <w:bCs/>
                <w:color w:val="000000" w:themeColor="text1"/>
                <w:spacing w:val="0"/>
                <w:sz w:val="22"/>
                <w:szCs w:val="22"/>
                <w:highlight w:val="none"/>
                <w14:textFill>
                  <w14:solidFill>
                    <w14:schemeClr w14:val="tx1"/>
                  </w14:solidFill>
                </w14:textFill>
              </w:rPr>
              <w:t>项号</w:t>
            </w:r>
          </w:p>
        </w:tc>
        <w:tc>
          <w:tcPr>
            <w:tcW w:w="930" w:type="dxa"/>
            <w:noWrap w:val="0"/>
            <w:tcMar>
              <w:top w:w="0" w:type="dxa"/>
              <w:left w:w="105" w:type="dxa"/>
              <w:bottom w:w="0" w:type="dxa"/>
              <w:right w:w="105" w:type="dxa"/>
            </w:tcMar>
            <w:vAlign w:val="top"/>
          </w:tcPr>
          <w:p w14:paraId="098792F1">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sz w:val="22"/>
                <w:szCs w:val="22"/>
                <w:highlight w:val="none"/>
                <w14:textFill>
                  <w14:solidFill>
                    <w14:schemeClr w14:val="tx1"/>
                  </w14:solidFill>
                </w14:textFill>
              </w:rPr>
            </w:pPr>
            <w:r>
              <w:rPr>
                <w:rStyle w:val="12"/>
                <w:rFonts w:hint="eastAsia" w:ascii="宋体" w:hAnsi="宋体" w:eastAsia="宋体" w:cs="宋体"/>
                <w:b/>
                <w:bCs/>
                <w:color w:val="000000" w:themeColor="text1"/>
                <w:spacing w:val="0"/>
                <w:sz w:val="22"/>
                <w:szCs w:val="22"/>
                <w:highlight w:val="none"/>
                <w14:textFill>
                  <w14:solidFill>
                    <w14:schemeClr w14:val="tx1"/>
                  </w14:solidFill>
                </w14:textFill>
              </w:rPr>
              <w:t>条款号</w:t>
            </w:r>
          </w:p>
        </w:tc>
        <w:tc>
          <w:tcPr>
            <w:tcW w:w="9512" w:type="dxa"/>
            <w:noWrap w:val="0"/>
            <w:tcMar>
              <w:top w:w="0" w:type="dxa"/>
              <w:left w:w="105" w:type="dxa"/>
              <w:bottom w:w="0" w:type="dxa"/>
              <w:right w:w="105" w:type="dxa"/>
            </w:tcMar>
            <w:vAlign w:val="top"/>
          </w:tcPr>
          <w:p w14:paraId="4ADAEA97">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sz w:val="22"/>
                <w:szCs w:val="22"/>
                <w:highlight w:val="none"/>
                <w14:textFill>
                  <w14:solidFill>
                    <w14:schemeClr w14:val="tx1"/>
                  </w14:solidFill>
                </w14:textFill>
              </w:rPr>
            </w:pPr>
            <w:r>
              <w:rPr>
                <w:rStyle w:val="12"/>
                <w:rFonts w:hint="eastAsia" w:ascii="宋体" w:hAnsi="宋体" w:eastAsia="宋体" w:cs="宋体"/>
                <w:b/>
                <w:bCs/>
                <w:color w:val="000000" w:themeColor="text1"/>
                <w:spacing w:val="0"/>
                <w:sz w:val="22"/>
                <w:szCs w:val="22"/>
                <w:highlight w:val="none"/>
                <w14:textFill>
                  <w14:solidFill>
                    <w14:schemeClr w14:val="tx1"/>
                  </w14:solidFill>
                </w14:textFill>
              </w:rPr>
              <w:t>编列内容</w:t>
            </w:r>
          </w:p>
        </w:tc>
      </w:tr>
      <w:tr w14:paraId="7827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9" w:hRule="atLeast"/>
          <w:jc w:val="center"/>
        </w:trPr>
        <w:tc>
          <w:tcPr>
            <w:tcW w:w="488" w:type="dxa"/>
            <w:noWrap w:val="0"/>
            <w:tcMar>
              <w:top w:w="0" w:type="dxa"/>
              <w:left w:w="105" w:type="dxa"/>
              <w:bottom w:w="0" w:type="dxa"/>
              <w:right w:w="105" w:type="dxa"/>
            </w:tcMar>
            <w:vAlign w:val="center"/>
          </w:tcPr>
          <w:p w14:paraId="3EE411D9">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w:t>
            </w:r>
          </w:p>
        </w:tc>
        <w:tc>
          <w:tcPr>
            <w:tcW w:w="930" w:type="dxa"/>
            <w:noWrap w:val="0"/>
            <w:tcMar>
              <w:top w:w="0" w:type="dxa"/>
              <w:left w:w="105" w:type="dxa"/>
              <w:bottom w:w="0" w:type="dxa"/>
              <w:right w:w="105" w:type="dxa"/>
            </w:tcMar>
            <w:vAlign w:val="center"/>
          </w:tcPr>
          <w:p w14:paraId="211633D7">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3.2.1</w:t>
            </w:r>
          </w:p>
        </w:tc>
        <w:tc>
          <w:tcPr>
            <w:tcW w:w="9512" w:type="dxa"/>
            <w:noWrap w:val="0"/>
            <w:tcMar>
              <w:top w:w="0" w:type="dxa"/>
              <w:left w:w="105" w:type="dxa"/>
              <w:bottom w:w="0" w:type="dxa"/>
              <w:right w:w="105" w:type="dxa"/>
            </w:tcMar>
            <w:vAlign w:val="center"/>
          </w:tcPr>
          <w:p w14:paraId="20AE384C">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Style w:val="12"/>
                <w:rFonts w:hint="eastAsia" w:ascii="宋体" w:hAnsi="宋体" w:cs="宋体"/>
                <w:b/>
                <w:bCs/>
                <w:color w:val="000000" w:themeColor="text1"/>
                <w:spacing w:val="0"/>
                <w:sz w:val="24"/>
                <w:szCs w:val="24"/>
                <w:highlight w:val="none"/>
                <w:lang w:eastAsia="zh-CN"/>
                <w14:textFill>
                  <w14:solidFill>
                    <w14:schemeClr w14:val="tx1"/>
                  </w14:solidFill>
                </w14:textFill>
              </w:rPr>
              <w:t>（</w:t>
            </w:r>
            <w:r>
              <w:rPr>
                <w:rStyle w:val="12"/>
                <w:rFonts w:hint="eastAsia" w:ascii="宋体" w:hAnsi="宋体" w:cs="宋体"/>
                <w:b/>
                <w:bCs/>
                <w:color w:val="000000" w:themeColor="text1"/>
                <w:spacing w:val="0"/>
                <w:sz w:val="24"/>
                <w:szCs w:val="24"/>
                <w:highlight w:val="none"/>
                <w:lang w:val="en-US" w:eastAsia="zh-CN"/>
                <w14:textFill>
                  <w14:solidFill>
                    <w14:schemeClr w14:val="tx1"/>
                  </w14:solidFill>
                </w14:textFill>
              </w:rPr>
              <w:t>1</w:t>
            </w:r>
            <w:r>
              <w:rPr>
                <w:rStyle w:val="12"/>
                <w:rFonts w:hint="eastAsia" w:ascii="宋体" w:hAnsi="宋体" w:cs="宋体"/>
                <w:b/>
                <w:bCs/>
                <w:color w:val="000000" w:themeColor="text1"/>
                <w:spacing w:val="0"/>
                <w:sz w:val="24"/>
                <w:szCs w:val="24"/>
                <w:highlight w:val="none"/>
                <w:lang w:eastAsia="zh-CN"/>
                <w14:textFill>
                  <w14:solidFill>
                    <w14:schemeClr w14:val="tx1"/>
                  </w14:solidFill>
                </w14:textFill>
              </w:rPr>
              <w:t>）</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供应商的资格要求</w:t>
            </w:r>
            <w:r>
              <w:rPr>
                <w:rFonts w:hint="eastAsia" w:ascii="宋体" w:hAnsi="宋体" w:eastAsia="宋体" w:cs="宋体"/>
                <w:color w:val="000000" w:themeColor="text1"/>
                <w:spacing w:val="0"/>
                <w:sz w:val="24"/>
                <w:szCs w:val="24"/>
                <w:highlight w:val="none"/>
                <w14:textFill>
                  <w14:solidFill>
                    <w14:schemeClr w14:val="tx1"/>
                  </w14:solidFill>
                </w14:textFill>
              </w:rPr>
              <w:t>：见磋商文件第一章“采购公告/采购邀请书”</w:t>
            </w:r>
          </w:p>
          <w:p w14:paraId="4A2AC0E6">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资格证明文件资料要求：</w:t>
            </w:r>
          </w:p>
          <w:tbl>
            <w:tblPr>
              <w:tblStyle w:val="10"/>
              <w:tblW w:w="4997"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166"/>
              <w:gridCol w:w="5114"/>
            </w:tblGrid>
            <w:tr w14:paraId="6D102B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4180" w:type="dxa"/>
                  <w:tcBorders>
                    <w:top w:val="outset" w:color="auto" w:sz="6" w:space="0"/>
                    <w:left w:val="outset" w:color="auto" w:sz="6" w:space="0"/>
                    <w:bottom w:val="outset" w:color="auto" w:sz="6" w:space="0"/>
                    <w:right w:val="outset" w:color="auto" w:sz="6" w:space="0"/>
                  </w:tcBorders>
                  <w:noWrap w:val="0"/>
                  <w:vAlign w:val="center"/>
                </w:tcPr>
                <w:p w14:paraId="1D9949C6">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b/>
                      <w:bCs/>
                      <w:color w:val="000000" w:themeColor="text1"/>
                      <w:sz w:val="21"/>
                      <w:szCs w:val="21"/>
                      <w:highlight w:val="none"/>
                      <w14:textFill>
                        <w14:solidFill>
                          <w14:schemeClr w14:val="tx1"/>
                        </w14:solidFill>
                      </w14:textFill>
                    </w:rPr>
                  </w:pPr>
                  <w:r>
                    <w:rPr>
                      <w:rFonts w:ascii="宋体" w:hAnsi="宋体" w:eastAsia="宋体" w:cs="宋体"/>
                      <w:b/>
                      <w:bCs/>
                      <w:color w:val="000000" w:themeColor="text1"/>
                      <w:kern w:val="0"/>
                      <w:sz w:val="21"/>
                      <w:szCs w:val="21"/>
                      <w:highlight w:val="none"/>
                      <w:lang w:val="en-US" w:eastAsia="zh-CN" w:bidi="ar"/>
                      <w14:textFill>
                        <w14:solidFill>
                          <w14:schemeClr w14:val="tx1"/>
                        </w14:solidFill>
                      </w14:textFill>
                    </w:rPr>
                    <w:t>明细</w:t>
                  </w:r>
                </w:p>
              </w:tc>
              <w:tc>
                <w:tcPr>
                  <w:tcW w:w="5123" w:type="dxa"/>
                  <w:tcBorders>
                    <w:top w:val="outset" w:color="auto" w:sz="6" w:space="0"/>
                    <w:left w:val="outset" w:color="auto" w:sz="6" w:space="0"/>
                    <w:bottom w:val="outset" w:color="auto" w:sz="6" w:space="0"/>
                    <w:right w:val="outset" w:color="auto" w:sz="6" w:space="0"/>
                  </w:tcBorders>
                  <w:noWrap w:val="0"/>
                  <w:vAlign w:val="center"/>
                </w:tcPr>
                <w:p w14:paraId="281AB197">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b/>
                      <w:bCs/>
                      <w:color w:val="000000" w:themeColor="text1"/>
                      <w:sz w:val="21"/>
                      <w:szCs w:val="21"/>
                      <w:highlight w:val="none"/>
                      <w14:textFill>
                        <w14:solidFill>
                          <w14:schemeClr w14:val="tx1"/>
                        </w14:solidFill>
                      </w14:textFill>
                    </w:rPr>
                  </w:pPr>
                  <w:r>
                    <w:rPr>
                      <w:rFonts w:ascii="宋体" w:hAnsi="宋体" w:eastAsia="宋体" w:cs="宋体"/>
                      <w:b/>
                      <w:bCs/>
                      <w:color w:val="000000" w:themeColor="text1"/>
                      <w:kern w:val="0"/>
                      <w:sz w:val="21"/>
                      <w:szCs w:val="21"/>
                      <w:highlight w:val="none"/>
                      <w:lang w:val="en-US" w:eastAsia="zh-CN" w:bidi="ar"/>
                      <w14:textFill>
                        <w14:solidFill>
                          <w14:schemeClr w14:val="tx1"/>
                        </w14:solidFill>
                      </w14:textFill>
                    </w:rPr>
                    <w:t>描述</w:t>
                  </w:r>
                </w:p>
              </w:tc>
            </w:tr>
            <w:tr w14:paraId="05B141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180" w:type="dxa"/>
                  <w:tcBorders>
                    <w:top w:val="outset" w:color="auto" w:sz="6" w:space="0"/>
                    <w:left w:val="outset" w:color="auto" w:sz="6" w:space="0"/>
                    <w:bottom w:val="outset" w:color="auto" w:sz="6" w:space="0"/>
                    <w:right w:val="outset" w:color="auto" w:sz="6" w:space="0"/>
                  </w:tcBorders>
                  <w:noWrap w:val="0"/>
                  <w:vAlign w:val="center"/>
                </w:tcPr>
                <w:p w14:paraId="345DB412">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lang w:val="en-US" w:eastAsia="zh-CN" w:bidi="ar"/>
                      <w14:textFill>
                        <w14:solidFill>
                          <w14:schemeClr w14:val="tx1"/>
                        </w14:solidFill>
                      </w14:textFill>
                    </w:rPr>
                    <w:t>a1</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磋商响应声明 </w:t>
                  </w:r>
                </w:p>
              </w:tc>
              <w:tc>
                <w:tcPr>
                  <w:tcW w:w="5123" w:type="dxa"/>
                  <w:tcBorders>
                    <w:top w:val="outset" w:color="auto" w:sz="6" w:space="0"/>
                    <w:left w:val="outset" w:color="auto" w:sz="6" w:space="0"/>
                    <w:bottom w:val="outset" w:color="auto" w:sz="6" w:space="0"/>
                    <w:right w:val="outset" w:color="auto" w:sz="6" w:space="0"/>
                  </w:tcBorders>
                  <w:noWrap w:val="0"/>
                  <w:vAlign w:val="center"/>
                </w:tcPr>
                <w:p w14:paraId="593AD255">
                  <w:pPr>
                    <w:keepNext w:val="0"/>
                    <w:keepLines w:val="0"/>
                    <w:pageBreakBefore w:val="0"/>
                    <w:widowControl/>
                    <w:kinsoku/>
                    <w:overflowPunct/>
                    <w:topLinePunct w:val="0"/>
                    <w:autoSpaceDE/>
                    <w:autoSpaceDN/>
                    <w:bidi w:val="0"/>
                    <w:adjustRightInd/>
                    <w:snapToGrid/>
                    <w:spacing w:after="0" w:line="240" w:lineRule="auto"/>
                    <w:textAlignment w:val="auto"/>
                    <w:rPr>
                      <w:rFonts w:hint="eastAsia"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详见声明函</w:t>
                  </w:r>
                </w:p>
              </w:tc>
            </w:tr>
            <w:tr w14:paraId="50D647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180" w:type="dxa"/>
                  <w:tcBorders>
                    <w:top w:val="outset" w:color="auto" w:sz="6" w:space="0"/>
                    <w:left w:val="outset" w:color="auto" w:sz="6" w:space="0"/>
                    <w:bottom w:val="outset" w:color="auto" w:sz="6" w:space="0"/>
                    <w:right w:val="outset" w:color="auto" w:sz="6" w:space="0"/>
                  </w:tcBorders>
                  <w:noWrap w:val="0"/>
                  <w:vAlign w:val="center"/>
                </w:tcPr>
                <w:p w14:paraId="5CFA3F3E">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lang w:val="en-US" w:eastAsia="zh-CN" w:bidi="ar"/>
                      <w14:textFill>
                        <w14:solidFill>
                          <w14:schemeClr w14:val="tx1"/>
                        </w14:solidFill>
                      </w14:textFill>
                    </w:rPr>
                    <w:t>a2单位负责人授权书</w:t>
                  </w:r>
                </w:p>
              </w:tc>
              <w:tc>
                <w:tcPr>
                  <w:tcW w:w="5123" w:type="dxa"/>
                  <w:tcBorders>
                    <w:top w:val="outset" w:color="auto" w:sz="6" w:space="0"/>
                    <w:left w:val="outset" w:color="auto" w:sz="6" w:space="0"/>
                    <w:bottom w:val="outset" w:color="auto" w:sz="6" w:space="0"/>
                    <w:right w:val="outset" w:color="auto" w:sz="6" w:space="0"/>
                  </w:tcBorders>
                  <w:noWrap w:val="0"/>
                  <w:vAlign w:val="center"/>
                </w:tcPr>
                <w:p w14:paraId="1229B6D9">
                  <w:pPr>
                    <w:keepNext w:val="0"/>
                    <w:keepLines w:val="0"/>
                    <w:pageBreakBefore w:val="0"/>
                    <w:widowControl/>
                    <w:numPr>
                      <w:ilvl w:val="0"/>
                      <w:numId w:val="0"/>
                    </w:numPr>
                    <w:suppressLineNumbers w:val="0"/>
                    <w:kinsoku/>
                    <w:overflowPunct/>
                    <w:topLinePunct w:val="0"/>
                    <w:autoSpaceDE/>
                    <w:autoSpaceDN/>
                    <w:bidi w:val="0"/>
                    <w:adjustRightInd/>
                    <w:snapToGrid/>
                    <w:spacing w:line="240" w:lineRule="auto"/>
                    <w:jc w:val="left"/>
                    <w:textAlignment w:val="auto"/>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①供应商（自然人除外）：若供应商代表为单位授权的委托代理人，应提供本授权书；若供应商代表为单位负责人，应在此项下提交其身份证正反面复印件，可不提供本授权书。②供应商为自然人的，可不填写本授权书。</w:t>
                  </w:r>
                  <w:r>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t>③</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纸</w:t>
                  </w:r>
                  <w:r>
                    <w:rPr>
                      <w:rFonts w:ascii="宋体" w:hAnsi="宋体" w:eastAsia="宋体" w:cs="宋体"/>
                      <w:color w:val="000000" w:themeColor="text1"/>
                      <w:kern w:val="0"/>
                      <w:sz w:val="21"/>
                      <w:szCs w:val="21"/>
                      <w:highlight w:val="none"/>
                      <w:lang w:val="en-US" w:eastAsia="zh-CN" w:bidi="ar"/>
                      <w14:textFill>
                        <w14:solidFill>
                          <w14:schemeClr w14:val="tx1"/>
                        </w14:solidFill>
                      </w14:textFill>
                    </w:rPr>
                    <w:t>质响应文件正本中的本授权书（若有）应为原件。</w:t>
                  </w:r>
                </w:p>
              </w:tc>
            </w:tr>
            <w:tr w14:paraId="19BEE4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180" w:type="dxa"/>
                  <w:tcBorders>
                    <w:top w:val="outset" w:color="auto" w:sz="6" w:space="0"/>
                    <w:left w:val="outset" w:color="auto" w:sz="6" w:space="0"/>
                    <w:bottom w:val="outset" w:color="auto" w:sz="6" w:space="0"/>
                    <w:right w:val="outset" w:color="auto" w:sz="6" w:space="0"/>
                  </w:tcBorders>
                  <w:noWrap w:val="0"/>
                  <w:vAlign w:val="center"/>
                </w:tcPr>
                <w:p w14:paraId="2CEC55EA">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lang w:val="en-US" w:eastAsia="zh-CN" w:bidi="ar"/>
                      <w14:textFill>
                        <w14:solidFill>
                          <w14:schemeClr w14:val="tx1"/>
                        </w14:solidFill>
                      </w14:textFill>
                    </w:rPr>
                    <w:t>a3营业执照等证明文件</w:t>
                  </w:r>
                </w:p>
              </w:tc>
              <w:tc>
                <w:tcPr>
                  <w:tcW w:w="5123" w:type="dxa"/>
                  <w:tcBorders>
                    <w:top w:val="outset" w:color="auto" w:sz="6" w:space="0"/>
                    <w:left w:val="outset" w:color="auto" w:sz="6" w:space="0"/>
                    <w:bottom w:val="outset" w:color="auto" w:sz="6" w:space="0"/>
                    <w:right w:val="outset" w:color="auto" w:sz="6" w:space="0"/>
                  </w:tcBorders>
                  <w:noWrap w:val="0"/>
                  <w:vAlign w:val="center"/>
                </w:tcPr>
                <w:p w14:paraId="1D80A7FA">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①供应商为企业的，提供有效的营业执照复印件；供</w:t>
                  </w:r>
                </w:p>
                <w:p w14:paraId="7C7BF9E8">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应商为事业单位的，提供有效的事业单位法人证书复</w:t>
                  </w:r>
                </w:p>
                <w:p w14:paraId="79EC31ED">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印件；供应商为社会团体的，提供有效的社会团体法</w:t>
                  </w:r>
                </w:p>
                <w:p w14:paraId="1BE4A85E">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人登记证书复印件；供应商为合伙企业、个体工商户</w:t>
                  </w:r>
                </w:p>
                <w:p w14:paraId="6A8D6EAC">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的，提供有效的营业执照复印件；供应商为非企业专</w:t>
                  </w:r>
                </w:p>
                <w:p w14:paraId="73446BC9">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业服务机构的，提供有效的执业许可证等证明材料复</w:t>
                  </w:r>
                </w:p>
                <w:p w14:paraId="5B73DE5A">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印件；供应商为自然人的，提供有效的自然人身份证</w:t>
                  </w:r>
                </w:p>
                <w:p w14:paraId="459DED2D">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件复印件；其他供应商应按照有关法律、法规和规章</w:t>
                  </w:r>
                </w:p>
                <w:p w14:paraId="3CAA5B90">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规定，提供有效的相应具体证照复印件。</w:t>
                  </w:r>
                </w:p>
              </w:tc>
            </w:tr>
            <w:tr w14:paraId="4788D1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180" w:type="dxa"/>
                  <w:tcBorders>
                    <w:top w:val="outset" w:color="auto" w:sz="6" w:space="0"/>
                    <w:left w:val="outset" w:color="auto" w:sz="6" w:space="0"/>
                    <w:bottom w:val="outset" w:color="auto" w:sz="6" w:space="0"/>
                    <w:right w:val="outset" w:color="auto" w:sz="6" w:space="0"/>
                  </w:tcBorders>
                  <w:noWrap w:val="0"/>
                  <w:vAlign w:val="center"/>
                </w:tcPr>
                <w:p w14:paraId="49C71F98">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lang w:val="en-US" w:eastAsia="zh-CN" w:bidi="ar"/>
                      <w14:textFill>
                        <w14:solidFill>
                          <w14:schemeClr w14:val="tx1"/>
                        </w14:solidFill>
                      </w14:textFill>
                    </w:rPr>
                    <w:t>a4财务状况报告</w:t>
                  </w:r>
                </w:p>
              </w:tc>
              <w:tc>
                <w:tcPr>
                  <w:tcW w:w="5123" w:type="dxa"/>
                  <w:tcBorders>
                    <w:top w:val="outset" w:color="auto" w:sz="6" w:space="0"/>
                    <w:left w:val="outset" w:color="auto" w:sz="6" w:space="0"/>
                    <w:bottom w:val="outset" w:color="auto" w:sz="6" w:space="0"/>
                    <w:right w:val="outset" w:color="auto" w:sz="6" w:space="0"/>
                  </w:tcBorders>
                  <w:noWrap w:val="0"/>
                  <w:vAlign w:val="center"/>
                </w:tcPr>
                <w:p w14:paraId="05D4BF75">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①供应商提供的财务报告复印件（成立年限按照提交</w:t>
                  </w:r>
                </w:p>
                <w:p w14:paraId="245E50A9">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响应文件截止时间推算）应符合下列规定：a.成立年</w:t>
                  </w:r>
                </w:p>
                <w:p w14:paraId="184EA014">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限满1年及以上的供应商，提供经审计的上一年度的年</w:t>
                  </w:r>
                </w:p>
                <w:p w14:paraId="1AF71ED1">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度财务报告。b.成立年限满半年但不足1年的供应商，</w:t>
                  </w:r>
                </w:p>
                <w:p w14:paraId="4ED179FB">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提供该半年度中任一季度的季度财务报告或该半年度</w:t>
                  </w:r>
                </w:p>
                <w:p w14:paraId="6A57EF26">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的半年度财务报告。c.无法按照以上a、b项规定提供</w:t>
                  </w:r>
                </w:p>
                <w:p w14:paraId="5E1E94DC">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财务报告复印件的供应商（包括但不限于：成立年限</w:t>
                  </w:r>
                </w:p>
                <w:p w14:paraId="2D98D29A">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满1年及以上的供应商、成立年限满半年但不足1年的</w:t>
                  </w:r>
                </w:p>
                <w:p w14:paraId="0AE2407F">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供应商、成立年限不足半年的供应商），应选择提供</w:t>
                  </w:r>
                </w:p>
                <w:p w14:paraId="0D238866">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资信证明复印件。</w:t>
                  </w:r>
                </w:p>
              </w:tc>
            </w:tr>
            <w:tr w14:paraId="662DE3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180" w:type="dxa"/>
                  <w:tcBorders>
                    <w:top w:val="outset" w:color="auto" w:sz="6" w:space="0"/>
                    <w:left w:val="outset" w:color="auto" w:sz="6" w:space="0"/>
                    <w:bottom w:val="outset" w:color="auto" w:sz="6" w:space="0"/>
                    <w:right w:val="outset" w:color="auto" w:sz="6" w:space="0"/>
                  </w:tcBorders>
                  <w:noWrap w:val="0"/>
                  <w:vAlign w:val="center"/>
                </w:tcPr>
                <w:p w14:paraId="7BD56E9C">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lang w:val="en-US" w:eastAsia="zh-CN" w:bidi="ar"/>
                      <w14:textFill>
                        <w14:solidFill>
                          <w14:schemeClr w14:val="tx1"/>
                        </w14:solidFill>
                      </w14:textFill>
                    </w:rPr>
                    <w:t>a5依法缴纳税收的相关材料</w:t>
                  </w:r>
                </w:p>
              </w:tc>
              <w:tc>
                <w:tcPr>
                  <w:tcW w:w="5123" w:type="dxa"/>
                  <w:tcBorders>
                    <w:top w:val="outset" w:color="auto" w:sz="6" w:space="0"/>
                    <w:left w:val="outset" w:color="auto" w:sz="6" w:space="0"/>
                    <w:bottom w:val="outset" w:color="auto" w:sz="6" w:space="0"/>
                    <w:right w:val="outset" w:color="auto" w:sz="6" w:space="0"/>
                  </w:tcBorders>
                  <w:noWrap w:val="0"/>
                  <w:vAlign w:val="center"/>
                </w:tcPr>
                <w:p w14:paraId="5462B87C">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①供应商提供的税收缴纳凭据复印件应符合下列规定</w:t>
                  </w:r>
                </w:p>
                <w:p w14:paraId="501F7B54">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a.提交响应文件截止时间前（不含提交响应文件截</w:t>
                  </w:r>
                </w:p>
                <w:p w14:paraId="57196EAF">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止时间的当月）已依法缴纳税收的供应商，提供提交</w:t>
                  </w:r>
                </w:p>
                <w:p w14:paraId="6BE8E618">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响应文件截止时间前六个月（不含提交响应文件截止</w:t>
                  </w:r>
                </w:p>
                <w:p w14:paraId="47526AF4">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时间的当月）中任一月份的税收缴纳凭据复印件。 b.</w:t>
                  </w:r>
                </w:p>
                <w:p w14:paraId="2DF6222E">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提交响应文件截止时间的当月成立的供应商,视同满足</w:t>
                  </w:r>
                </w:p>
                <w:p w14:paraId="139D8370">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本项资格条件要求。 c.若为依法免税范围的供应商，</w:t>
                  </w:r>
                </w:p>
                <w:p w14:paraId="213A4CAE">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提供依法免税证明材料的，视同满足本项资格条件要</w:t>
                  </w:r>
                </w:p>
                <w:p w14:paraId="755138F1">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求。</w:t>
                  </w:r>
                </w:p>
              </w:tc>
            </w:tr>
            <w:tr w14:paraId="0280B5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180" w:type="dxa"/>
                  <w:tcBorders>
                    <w:top w:val="outset" w:color="auto" w:sz="6" w:space="0"/>
                    <w:left w:val="outset" w:color="auto" w:sz="6" w:space="0"/>
                    <w:bottom w:val="outset" w:color="auto" w:sz="6" w:space="0"/>
                    <w:right w:val="outset" w:color="auto" w:sz="6" w:space="0"/>
                  </w:tcBorders>
                  <w:noWrap w:val="0"/>
                  <w:vAlign w:val="center"/>
                </w:tcPr>
                <w:p w14:paraId="23AB654B">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lang w:val="en-US" w:eastAsia="zh-CN" w:bidi="ar"/>
                      <w14:textFill>
                        <w14:solidFill>
                          <w14:schemeClr w14:val="tx1"/>
                        </w14:solidFill>
                      </w14:textFill>
                    </w:rPr>
                    <w:t>a6依法缴纳社会保障资金的相关材料</w:t>
                  </w:r>
                </w:p>
              </w:tc>
              <w:tc>
                <w:tcPr>
                  <w:tcW w:w="5123" w:type="dxa"/>
                  <w:tcBorders>
                    <w:top w:val="outset" w:color="auto" w:sz="6" w:space="0"/>
                    <w:left w:val="outset" w:color="auto" w:sz="6" w:space="0"/>
                    <w:bottom w:val="outset" w:color="auto" w:sz="6" w:space="0"/>
                    <w:right w:val="outset" w:color="auto" w:sz="6" w:space="0"/>
                  </w:tcBorders>
                  <w:noWrap w:val="0"/>
                  <w:vAlign w:val="center"/>
                </w:tcPr>
                <w:p w14:paraId="6559E654">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①供应商提供的社会保障资金缴纳凭据复印件应符合</w:t>
                  </w:r>
                </w:p>
                <w:p w14:paraId="42D98B1D">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下列规定： a.提交响应文件截止时间前（不含提交响</w:t>
                  </w:r>
                </w:p>
                <w:p w14:paraId="517BEA5F">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应文件截止时间的当月）已依法缴纳社会保障资金的</w:t>
                  </w:r>
                </w:p>
                <w:p w14:paraId="316A70BD">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供应商，提供提交响应文件截止时间前六个月（不含</w:t>
                  </w:r>
                </w:p>
                <w:p w14:paraId="1BCBA991">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提交响应文件截止时间的当月）中任一月份的社会保</w:t>
                  </w:r>
                </w:p>
                <w:p w14:paraId="5756FB4D">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障资金缴纳凭据复印件。 b.提交响应文件截止时间的</w:t>
                  </w:r>
                </w:p>
                <w:p w14:paraId="1CAAB52E">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当月成立的供应商，视同满足本项资格条件要求。 c.</w:t>
                  </w:r>
                </w:p>
                <w:p w14:paraId="33208734">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若为依法不需要缴纳或暂缓缴纳社会保障资金的供应</w:t>
                  </w:r>
                </w:p>
                <w:p w14:paraId="63AD8849">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商，提供依法不需要缴纳或暂缓缴纳社会保障资金证</w:t>
                  </w:r>
                </w:p>
                <w:p w14:paraId="74050A56">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明材料的，视同满足本项资格条件要求。</w:t>
                  </w:r>
                </w:p>
              </w:tc>
            </w:tr>
            <w:tr w14:paraId="1A0A65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180" w:type="dxa"/>
                  <w:tcBorders>
                    <w:top w:val="outset" w:color="auto" w:sz="6" w:space="0"/>
                    <w:left w:val="outset" w:color="auto" w:sz="6" w:space="0"/>
                    <w:bottom w:val="outset" w:color="auto" w:sz="6" w:space="0"/>
                    <w:right w:val="outset" w:color="auto" w:sz="6" w:space="0"/>
                  </w:tcBorders>
                  <w:noWrap w:val="0"/>
                  <w:vAlign w:val="center"/>
                </w:tcPr>
                <w:p w14:paraId="67D67AFE">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lang w:val="en-US" w:eastAsia="zh-CN" w:bidi="ar"/>
                      <w14:textFill>
                        <w14:solidFill>
                          <w14:schemeClr w14:val="tx1"/>
                        </w14:solidFill>
                      </w14:textFill>
                    </w:rPr>
                    <w:t>a7具备履行合同所必需的设备和专业技术能力的材料</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（若有）</w:t>
                  </w:r>
                </w:p>
              </w:tc>
              <w:tc>
                <w:tcPr>
                  <w:tcW w:w="5123" w:type="dxa"/>
                  <w:tcBorders>
                    <w:top w:val="outset" w:color="auto" w:sz="6" w:space="0"/>
                    <w:left w:val="outset" w:color="auto" w:sz="6" w:space="0"/>
                    <w:bottom w:val="outset" w:color="auto" w:sz="6" w:space="0"/>
                    <w:right w:val="outset" w:color="auto" w:sz="6" w:space="0"/>
                  </w:tcBorders>
                  <w:noWrap w:val="0"/>
                  <w:vAlign w:val="center"/>
                </w:tcPr>
                <w:p w14:paraId="00C519BC">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①采购文件未要求供应商提供“具备履行合同所必需的</w:t>
                  </w:r>
                </w:p>
                <w:p w14:paraId="3B7177FD">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设备和专业技术能力专项证明材料”的，供应商应提供</w:t>
                  </w:r>
                </w:p>
                <w:p w14:paraId="56DA71E6">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本声明函。②采购文件要求供应商提供“具备履行合同</w:t>
                  </w:r>
                </w:p>
                <w:p w14:paraId="382FA563">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所必需的设备和专业技术能力专项证明材料”的，供应</w:t>
                  </w:r>
                </w:p>
                <w:p w14:paraId="7308EC9E">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商可不提供本声明函。</w:t>
                  </w:r>
                </w:p>
              </w:tc>
            </w:tr>
            <w:tr w14:paraId="6F1E50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180" w:type="dxa"/>
                  <w:tcBorders>
                    <w:top w:val="outset" w:color="auto" w:sz="6" w:space="0"/>
                    <w:left w:val="outset" w:color="auto" w:sz="6" w:space="0"/>
                    <w:bottom w:val="outset" w:color="auto" w:sz="6" w:space="0"/>
                    <w:right w:val="outset" w:color="auto" w:sz="6" w:space="0"/>
                  </w:tcBorders>
                  <w:noWrap w:val="0"/>
                  <w:vAlign w:val="center"/>
                </w:tcPr>
                <w:p w14:paraId="3B26E0F4">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lang w:val="en-US" w:eastAsia="zh-CN" w:bidi="ar"/>
                      <w14:textFill>
                        <w14:solidFill>
                          <w14:schemeClr w14:val="tx1"/>
                        </w14:solidFill>
                      </w14:textFill>
                    </w:rPr>
                    <w:t>a8参加政府采购活动前3年内在经营活动中没有重大违法记录的书面声明</w:t>
                  </w:r>
                </w:p>
              </w:tc>
              <w:tc>
                <w:tcPr>
                  <w:tcW w:w="5123" w:type="dxa"/>
                  <w:tcBorders>
                    <w:top w:val="outset" w:color="auto" w:sz="6" w:space="0"/>
                    <w:left w:val="outset" w:color="auto" w:sz="6" w:space="0"/>
                    <w:bottom w:val="outset" w:color="auto" w:sz="6" w:space="0"/>
                    <w:right w:val="outset" w:color="auto" w:sz="6" w:space="0"/>
                  </w:tcBorders>
                  <w:noWrap w:val="0"/>
                  <w:vAlign w:val="center"/>
                </w:tcPr>
                <w:p w14:paraId="490BC878">
                  <w:pPr>
                    <w:keepNext w:val="0"/>
                    <w:keepLines w:val="0"/>
                    <w:pageBreakBefore w:val="0"/>
                    <w:widowControl/>
                    <w:numPr>
                      <w:ilvl w:val="0"/>
                      <w:numId w:val="0"/>
                    </w:numPr>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①重大违法记录：指供应商因违法经营受到刑事处罚</w:t>
                  </w:r>
                </w:p>
                <w:p w14:paraId="2C3FA1D7">
                  <w:pPr>
                    <w:keepNext w:val="0"/>
                    <w:keepLines w:val="0"/>
                    <w:pageBreakBefore w:val="0"/>
                    <w:widowControl/>
                    <w:numPr>
                      <w:ilvl w:val="0"/>
                      <w:numId w:val="0"/>
                    </w:numPr>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或责令停产停业、吊销许可证或执照、较大数额罚款</w:t>
                  </w:r>
                </w:p>
                <w:p w14:paraId="132F397B">
                  <w:pPr>
                    <w:keepNext w:val="0"/>
                    <w:keepLines w:val="0"/>
                    <w:pageBreakBefore w:val="0"/>
                    <w:widowControl/>
                    <w:numPr>
                      <w:ilvl w:val="0"/>
                      <w:numId w:val="0"/>
                    </w:numPr>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等行政处罚。根据财库〔2022〕3号文件的规定，“较</w:t>
                  </w:r>
                </w:p>
                <w:p w14:paraId="1BBC0127">
                  <w:pPr>
                    <w:keepNext w:val="0"/>
                    <w:keepLines w:val="0"/>
                    <w:pageBreakBefore w:val="0"/>
                    <w:widowControl/>
                    <w:numPr>
                      <w:ilvl w:val="0"/>
                      <w:numId w:val="0"/>
                    </w:numPr>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大数额罚款”认定为200万元以上的罚款，法律、行政</w:t>
                  </w:r>
                </w:p>
                <w:p w14:paraId="5CD65B1D">
                  <w:pPr>
                    <w:keepNext w:val="0"/>
                    <w:keepLines w:val="0"/>
                    <w:pageBreakBefore w:val="0"/>
                    <w:widowControl/>
                    <w:numPr>
                      <w:ilvl w:val="0"/>
                      <w:numId w:val="0"/>
                    </w:numPr>
                    <w:suppressLineNumbers w:val="0"/>
                    <w:kinsoku/>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法规以及国务院有关部门明确规定相关领域“较大数额</w:t>
                  </w:r>
                </w:p>
                <w:p w14:paraId="5261A24A">
                  <w:pPr>
                    <w:keepNext w:val="0"/>
                    <w:keepLines w:val="0"/>
                    <w:pageBreakBefore w:val="0"/>
                    <w:widowControl/>
                    <w:numPr>
                      <w:ilvl w:val="0"/>
                      <w:numId w:val="0"/>
                    </w:numPr>
                    <w:suppressLineNumbers w:val="0"/>
                    <w:kinsoku/>
                    <w:overflowPunct/>
                    <w:topLinePunct w:val="0"/>
                    <w:autoSpaceDE/>
                    <w:autoSpaceDN/>
                    <w:bidi w:val="0"/>
                    <w:adjustRightInd/>
                    <w:snapToGrid/>
                    <w:spacing w:line="240" w:lineRule="auto"/>
                    <w:jc w:val="left"/>
                    <w:textAlignment w:val="auto"/>
                    <w:rPr>
                      <w:rFonts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罚款”标准高于200万元的，从其规定</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w:t>
                  </w:r>
                  <w:r>
                    <w:rPr>
                      <w:rFonts w:ascii="宋体" w:hAnsi="宋体" w:eastAsia="宋体" w:cs="宋体"/>
                      <w:color w:val="000000" w:themeColor="text1"/>
                      <w:kern w:val="0"/>
                      <w:sz w:val="21"/>
                      <w:szCs w:val="21"/>
                      <w:highlight w:val="none"/>
                      <w:lang w:val="en-US" w:eastAsia="zh-CN" w:bidi="ar"/>
                      <w14:textFill>
                        <w14:solidFill>
                          <w14:schemeClr w14:val="tx1"/>
                        </w14:solidFill>
                      </w14:textFill>
                    </w:rPr>
                    <w:t>纸质响应文件正本中的本声明应为原件。</w:t>
                  </w:r>
                </w:p>
              </w:tc>
            </w:tr>
            <w:tr w14:paraId="083037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180" w:type="dxa"/>
                  <w:tcBorders>
                    <w:top w:val="outset" w:color="auto" w:sz="6" w:space="0"/>
                    <w:left w:val="outset" w:color="auto" w:sz="6" w:space="0"/>
                    <w:bottom w:val="outset" w:color="auto" w:sz="6" w:space="0"/>
                    <w:right w:val="outset" w:color="auto" w:sz="6" w:space="0"/>
                  </w:tcBorders>
                  <w:noWrap w:val="0"/>
                  <w:vAlign w:val="center"/>
                </w:tcPr>
                <w:p w14:paraId="3B68FF62">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A9</w:t>
                  </w:r>
                  <w:r>
                    <w:rPr>
                      <w:color w:val="000000" w:themeColor="text1"/>
                      <w:highlight w:val="none"/>
                      <w14:textFill>
                        <w14:solidFill>
                          <w14:schemeClr w14:val="tx1"/>
                        </w14:solidFill>
                      </w14:textFill>
                    </w:rPr>
                    <w:t>中小企业声明函（以资格条件落实中小企业扶持政策时适用 ）</w:t>
                  </w:r>
                </w:p>
              </w:tc>
              <w:tc>
                <w:tcPr>
                  <w:tcW w:w="5123" w:type="dxa"/>
                  <w:tcBorders>
                    <w:top w:val="outset" w:color="auto" w:sz="6" w:space="0"/>
                    <w:left w:val="outset" w:color="auto" w:sz="6" w:space="0"/>
                    <w:bottom w:val="outset" w:color="auto" w:sz="6" w:space="0"/>
                    <w:right w:val="outset" w:color="auto" w:sz="6" w:space="0"/>
                  </w:tcBorders>
                  <w:noWrap w:val="0"/>
                  <w:vAlign w:val="center"/>
                </w:tcPr>
                <w:p w14:paraId="51EEF8EE">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7268F7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180" w:type="dxa"/>
                  <w:tcBorders>
                    <w:top w:val="outset" w:color="auto" w:sz="6" w:space="0"/>
                    <w:left w:val="outset" w:color="auto" w:sz="6" w:space="0"/>
                    <w:bottom w:val="outset" w:color="auto" w:sz="6" w:space="0"/>
                    <w:right w:val="outset" w:color="auto" w:sz="6" w:space="0"/>
                  </w:tcBorders>
                  <w:noWrap w:val="0"/>
                  <w:vAlign w:val="center"/>
                </w:tcPr>
                <w:p w14:paraId="5A1C4717">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color w:val="000000" w:themeColor="text1"/>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lang w:val="en-US" w:eastAsia="zh-CN" w:bidi="ar"/>
                      <w14:textFill>
                        <w14:solidFill>
                          <w14:schemeClr w14:val="tx1"/>
                        </w14:solidFill>
                      </w14:textFill>
                    </w:rPr>
                    <w:t>a10</w:t>
                  </w:r>
                  <w:r>
                    <w:rPr>
                      <w:color w:val="000000" w:themeColor="text1"/>
                      <w:highlight w:val="none"/>
                      <w14:textFill>
                        <w14:solidFill>
                          <w14:schemeClr w14:val="tx1"/>
                        </w14:solidFill>
                      </w14:textFill>
                    </w:rPr>
                    <w:t>信用记录查询结果</w:t>
                  </w:r>
                </w:p>
              </w:tc>
              <w:tc>
                <w:tcPr>
                  <w:tcW w:w="5123" w:type="dxa"/>
                  <w:tcBorders>
                    <w:top w:val="outset" w:color="auto" w:sz="6" w:space="0"/>
                    <w:left w:val="outset" w:color="auto" w:sz="6" w:space="0"/>
                    <w:bottom w:val="outset" w:color="auto" w:sz="6" w:space="0"/>
                    <w:right w:val="outset" w:color="auto" w:sz="6" w:space="0"/>
                  </w:tcBorders>
                  <w:noWrap w:val="0"/>
                  <w:vAlign w:val="center"/>
                </w:tcPr>
                <w:p w14:paraId="4B85AD0A">
                  <w:pPr>
                    <w:keepNext w:val="0"/>
                    <w:keepLines w:val="0"/>
                    <w:pageBreakBefore w:val="0"/>
                    <w:widowControl/>
                    <w:kinsoku/>
                    <w:overflowPunct/>
                    <w:topLinePunct w:val="0"/>
                    <w:autoSpaceDE/>
                    <w:autoSpaceDN/>
                    <w:bidi w:val="0"/>
                    <w:adjustRightInd/>
                    <w:snapToGrid/>
                    <w:spacing w:after="0" w:line="240" w:lineRule="auto"/>
                    <w:textAlignment w:val="auto"/>
                    <w:rPr>
                      <w:rFonts w:hint="eastAsia" w:ascii="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t>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r w14:paraId="35625E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180" w:type="dxa"/>
                  <w:tcBorders>
                    <w:top w:val="outset" w:color="auto" w:sz="6" w:space="0"/>
                    <w:left w:val="outset" w:color="auto" w:sz="6" w:space="0"/>
                    <w:bottom w:val="outset" w:color="auto" w:sz="6" w:space="0"/>
                    <w:right w:val="outset" w:color="auto" w:sz="6" w:space="0"/>
                  </w:tcBorders>
                  <w:noWrap w:val="0"/>
                  <w:vAlign w:val="center"/>
                </w:tcPr>
                <w:p w14:paraId="7C3A7892">
                  <w:pPr>
                    <w:keepNext w:val="0"/>
                    <w:keepLines w:val="0"/>
                    <w:pageBreakBefore w:val="0"/>
                    <w:widowControl/>
                    <w:suppressLineNumbers w:val="0"/>
                    <w:kinsoku/>
                    <w:overflowPunct/>
                    <w:topLinePunct w:val="0"/>
                    <w:autoSpaceDE/>
                    <w:autoSpaceDN/>
                    <w:bidi w:val="0"/>
                    <w:adjustRightInd/>
                    <w:snapToGrid/>
                    <w:spacing w:line="240" w:lineRule="auto"/>
                    <w:jc w:val="left"/>
                    <w:textAlignment w:val="auto"/>
                    <w:rPr>
                      <w:rFonts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ascii="宋体" w:hAnsi="宋体" w:eastAsia="宋体" w:cs="宋体"/>
                      <w:color w:val="000000" w:themeColor="text1"/>
                      <w:kern w:val="0"/>
                      <w:sz w:val="21"/>
                      <w:szCs w:val="21"/>
                      <w:highlight w:val="none"/>
                      <w:lang w:val="en-US" w:eastAsia="zh-CN" w:bidi="ar"/>
                      <w14:textFill>
                        <w14:solidFill>
                          <w14:schemeClr w14:val="tx1"/>
                        </w14:solidFill>
                      </w14:textFill>
                    </w:rPr>
                    <w:t>a1</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w:t>
                  </w:r>
                  <w:r>
                    <w:rPr>
                      <w:color w:val="000000" w:themeColor="text1"/>
                      <w:highlight w:val="none"/>
                      <w14:textFill>
                        <w14:solidFill>
                          <w14:schemeClr w14:val="tx1"/>
                        </w14:solidFill>
                      </w14:textFill>
                    </w:rPr>
                    <w:t>联合体协议（若有）</w:t>
                  </w:r>
                </w:p>
              </w:tc>
              <w:tc>
                <w:tcPr>
                  <w:tcW w:w="5123" w:type="dxa"/>
                  <w:tcBorders>
                    <w:top w:val="outset" w:color="auto" w:sz="6" w:space="0"/>
                    <w:left w:val="outset" w:color="auto" w:sz="6" w:space="0"/>
                    <w:bottom w:val="outset" w:color="auto" w:sz="6" w:space="0"/>
                    <w:right w:val="outset" w:color="auto" w:sz="6" w:space="0"/>
                  </w:tcBorders>
                  <w:noWrap w:val="0"/>
                  <w:vAlign w:val="center"/>
                </w:tcPr>
                <w:p w14:paraId="52BF570D">
                  <w:pPr>
                    <w:keepNext w:val="0"/>
                    <w:keepLines w:val="0"/>
                    <w:pageBreakBefore w:val="0"/>
                    <w:widowControl/>
                    <w:kinsoku/>
                    <w:overflowPunct/>
                    <w:topLinePunct w:val="0"/>
                    <w:autoSpaceDE/>
                    <w:autoSpaceDN/>
                    <w:bidi w:val="0"/>
                    <w:adjustRightInd/>
                    <w:snapToGrid/>
                    <w:spacing w:after="0" w:line="240" w:lineRule="auto"/>
                    <w:textAlignment w:val="auto"/>
                    <w:rPr>
                      <w:rFonts w:hint="eastAsia" w:ascii="宋体"/>
                      <w:color w:val="000000" w:themeColor="text1"/>
                      <w:sz w:val="21"/>
                      <w:szCs w:val="21"/>
                      <w:highlight w:val="none"/>
                      <w14:textFill>
                        <w14:solidFill>
                          <w14:schemeClr w14:val="tx1"/>
                        </w14:solidFill>
                      </w14:textFill>
                    </w:rPr>
                  </w:pPr>
                  <w:r>
                    <w:rPr>
                      <w:rFonts w:hint="eastAsia" w:ascii="宋体"/>
                      <w:color w:val="000000" w:themeColor="text1"/>
                      <w:sz w:val="21"/>
                      <w:szCs w:val="21"/>
                      <w:highlight w:val="none"/>
                      <w14:textFill>
                        <w14:solidFill>
                          <w14:schemeClr w14:val="tx1"/>
                        </w14:solidFill>
                      </w14:textFill>
                    </w:rPr>
                    <w:t>①采购文件接受联合体报价且供应商为联合体的，供应商应提供本协议；否则无须提供。②本协议由委托代理人签字或盖章的，应按照采购文件第五章载明的格式提供“单位负责人授权书”。</w:t>
                  </w:r>
                </w:p>
              </w:tc>
            </w:tr>
          </w:tbl>
          <w:p w14:paraId="08BAD650">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textAlignment w:val="auto"/>
              <w:rPr>
                <w:rStyle w:val="12"/>
                <w:rFonts w:hint="eastAsia" w:ascii="宋体" w:hAnsi="宋体" w:eastAsia="宋体" w:cs="宋体"/>
                <w:b/>
                <w:bCs/>
                <w:color w:val="000000" w:themeColor="text1"/>
                <w:spacing w:val="0"/>
                <w:sz w:val="24"/>
                <w:szCs w:val="24"/>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lang w:eastAsia="zh-CN"/>
                <w14:textFill>
                  <w14:solidFill>
                    <w14:schemeClr w14:val="tx1"/>
                  </w14:solidFill>
                </w14:textFill>
              </w:rPr>
              <w:t>（</w:t>
            </w:r>
            <w:r>
              <w:rPr>
                <w:rStyle w:val="12"/>
                <w:rFonts w:hint="eastAsia" w:ascii="宋体" w:hAnsi="宋体" w:eastAsia="宋体" w:cs="宋体"/>
                <w:b/>
                <w:bCs/>
                <w:color w:val="000000" w:themeColor="text1"/>
                <w:spacing w:val="0"/>
                <w:sz w:val="24"/>
                <w:szCs w:val="24"/>
                <w:highlight w:val="none"/>
                <w:lang w:val="en-US" w:eastAsia="zh-CN"/>
                <w14:textFill>
                  <w14:solidFill>
                    <w14:schemeClr w14:val="tx1"/>
                  </w14:solidFill>
                </w14:textFill>
              </w:rPr>
              <w:t>2</w:t>
            </w:r>
            <w:r>
              <w:rPr>
                <w:rStyle w:val="12"/>
                <w:rFonts w:hint="eastAsia" w:ascii="宋体" w:hAnsi="宋体" w:eastAsia="宋体" w:cs="宋体"/>
                <w:b/>
                <w:bCs/>
                <w:color w:val="000000" w:themeColor="text1"/>
                <w:spacing w:val="0"/>
                <w:sz w:val="24"/>
                <w:szCs w:val="24"/>
                <w:highlight w:val="none"/>
                <w:lang w:eastAsia="zh-CN"/>
                <w14:textFill>
                  <w14:solidFill>
                    <w14:schemeClr w14:val="tx1"/>
                  </w14:solidFill>
                </w14:textFill>
              </w:rPr>
              <w:t>）</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特定资格条件：</w:t>
            </w:r>
          </w:p>
          <w:p w14:paraId="7C72D269">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1"/>
                <w:szCs w:val="21"/>
                <w:highlight w:val="none"/>
                <w:shd w:val="clear" w:color="auto" w:fill="FFFFFF"/>
                <w14:textFill>
                  <w14:solidFill>
                    <w14:schemeClr w14:val="tx1"/>
                  </w14:solidFill>
                </w14:textFill>
              </w:rPr>
              <w:t>包：1</w:t>
            </w:r>
          </w:p>
          <w:tbl>
            <w:tblPr>
              <w:tblStyle w:val="10"/>
              <w:tblW w:w="4997"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164"/>
              <w:gridCol w:w="5116"/>
            </w:tblGrid>
            <w:tr w14:paraId="542470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4174" w:type="dxa"/>
                  <w:tcBorders>
                    <w:top w:val="outset" w:color="auto" w:sz="6" w:space="0"/>
                    <w:left w:val="outset" w:color="auto" w:sz="6" w:space="0"/>
                    <w:bottom w:val="outset" w:color="auto" w:sz="6" w:space="0"/>
                    <w:right w:val="outset" w:color="auto" w:sz="6" w:space="0"/>
                  </w:tcBorders>
                  <w:noWrap w:val="0"/>
                  <w:vAlign w:val="top"/>
                </w:tcPr>
                <w:p w14:paraId="12EA57B6">
                  <w:pPr>
                    <w:pStyle w:val="13"/>
                    <w:jc w:val="left"/>
                    <w:rPr>
                      <w:b/>
                      <w:bCs/>
                      <w:color w:val="000000" w:themeColor="text1"/>
                      <w:sz w:val="21"/>
                      <w:szCs w:val="21"/>
                      <w:highlight w:val="none"/>
                      <w14:textFill>
                        <w14:solidFill>
                          <w14:schemeClr w14:val="tx1"/>
                        </w14:solidFill>
                      </w14:textFill>
                    </w:rPr>
                  </w:pPr>
                  <w:r>
                    <w:rPr>
                      <w:b/>
                      <w:bCs/>
                      <w:color w:val="000000" w:themeColor="text1"/>
                      <w:highlight w:val="none"/>
                      <w14:textFill>
                        <w14:solidFill>
                          <w14:schemeClr w14:val="tx1"/>
                        </w14:solidFill>
                      </w14:textFill>
                    </w:rPr>
                    <w:t xml:space="preserve"> 资格审查要求概况</w:t>
                  </w:r>
                </w:p>
              </w:tc>
              <w:tc>
                <w:tcPr>
                  <w:tcW w:w="5129" w:type="dxa"/>
                  <w:tcBorders>
                    <w:top w:val="outset" w:color="auto" w:sz="6" w:space="0"/>
                    <w:left w:val="outset" w:color="auto" w:sz="6" w:space="0"/>
                    <w:bottom w:val="outset" w:color="auto" w:sz="6" w:space="0"/>
                    <w:right w:val="outset" w:color="auto" w:sz="6" w:space="0"/>
                  </w:tcBorders>
                  <w:noWrap w:val="0"/>
                  <w:vAlign w:val="top"/>
                </w:tcPr>
                <w:p w14:paraId="10F2FDB9">
                  <w:pPr>
                    <w:pStyle w:val="13"/>
                    <w:jc w:val="left"/>
                    <w:rPr>
                      <w:b/>
                      <w:bCs/>
                      <w:color w:val="000000" w:themeColor="text1"/>
                      <w:sz w:val="21"/>
                      <w:szCs w:val="21"/>
                      <w:highlight w:val="none"/>
                      <w14:textFill>
                        <w14:solidFill>
                          <w14:schemeClr w14:val="tx1"/>
                        </w14:solidFill>
                      </w14:textFill>
                    </w:rPr>
                  </w:pPr>
                  <w:r>
                    <w:rPr>
                      <w:b/>
                      <w:bCs/>
                      <w:color w:val="000000" w:themeColor="text1"/>
                      <w:highlight w:val="none"/>
                      <w14:textFill>
                        <w14:solidFill>
                          <w14:schemeClr w14:val="tx1"/>
                        </w14:solidFill>
                      </w14:textFill>
                    </w:rPr>
                    <w:t xml:space="preserve"> 评审点具体描述</w:t>
                  </w:r>
                </w:p>
              </w:tc>
            </w:tr>
            <w:tr w14:paraId="0591D9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174" w:type="dxa"/>
                  <w:tcBorders>
                    <w:top w:val="outset" w:color="auto" w:sz="6" w:space="0"/>
                    <w:left w:val="outset" w:color="auto" w:sz="6" w:space="0"/>
                    <w:bottom w:val="outset" w:color="auto" w:sz="6" w:space="0"/>
                    <w:right w:val="outset" w:color="auto" w:sz="6" w:space="0"/>
                  </w:tcBorders>
                  <w:noWrap w:val="0"/>
                  <w:vAlign w:val="top"/>
                </w:tcPr>
                <w:p w14:paraId="15BD2E03">
                  <w:pPr>
                    <w:pStyle w:val="13"/>
                    <w:jc w:val="left"/>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color w:val="000000" w:themeColor="text1"/>
                      <w:highlight w:val="none"/>
                      <w14:textFill>
                        <w14:solidFill>
                          <w14:schemeClr w14:val="tx1"/>
                        </w14:solidFill>
                      </w14:textFill>
                    </w:rPr>
                    <w:t>本采购包属于专门面向中小企业采购。</w:t>
                  </w:r>
                </w:p>
              </w:tc>
              <w:tc>
                <w:tcPr>
                  <w:tcW w:w="5129" w:type="dxa"/>
                  <w:tcBorders>
                    <w:top w:val="outset" w:color="auto" w:sz="6" w:space="0"/>
                    <w:left w:val="outset" w:color="auto" w:sz="6" w:space="0"/>
                    <w:bottom w:val="outset" w:color="auto" w:sz="6" w:space="0"/>
                    <w:right w:val="outset" w:color="auto" w:sz="6" w:space="0"/>
                  </w:tcBorders>
                  <w:noWrap w:val="0"/>
                  <w:vAlign w:val="top"/>
                </w:tcPr>
                <w:p w14:paraId="22B06495">
                  <w:pPr>
                    <w:pStyle w:val="13"/>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color w:val="000000" w:themeColor="text1"/>
                      <w:highlight w:val="none"/>
                      <w14:textFill>
                        <w14:solidFill>
                          <w14:schemeClr w14:val="tx1"/>
                        </w14:solidFill>
                      </w14:textFill>
                    </w:rPr>
                    <w:t>本采购包为专门面向中小企业采购，供应商须提供中小企业声明函。监狱企业、残疾人福利性单位视同小型、微型企业。</w:t>
                  </w:r>
                </w:p>
              </w:tc>
            </w:tr>
          </w:tbl>
          <w:p w14:paraId="29CDDC30">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textAlignment w:val="auto"/>
              <w:rPr>
                <w:rStyle w:val="12"/>
                <w:rFonts w:hint="eastAsia" w:ascii="宋体" w:hAnsi="宋体" w:eastAsia="宋体" w:cs="宋体"/>
                <w:b/>
                <w:bCs/>
                <w:color w:val="000000" w:themeColor="text1"/>
                <w:spacing w:val="0"/>
                <w:sz w:val="24"/>
                <w:szCs w:val="24"/>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lang w:eastAsia="zh-CN"/>
                <w14:textFill>
                  <w14:solidFill>
                    <w14:schemeClr w14:val="tx1"/>
                  </w14:solidFill>
                </w14:textFill>
              </w:rPr>
              <w:t>（</w:t>
            </w:r>
            <w:r>
              <w:rPr>
                <w:rStyle w:val="12"/>
                <w:rFonts w:hint="eastAsia" w:ascii="宋体" w:hAnsi="宋体" w:eastAsia="宋体" w:cs="宋体"/>
                <w:b/>
                <w:bCs/>
                <w:color w:val="000000" w:themeColor="text1"/>
                <w:spacing w:val="0"/>
                <w:sz w:val="24"/>
                <w:szCs w:val="24"/>
                <w:highlight w:val="none"/>
                <w:lang w:val="en-US" w:eastAsia="zh-CN"/>
                <w14:textFill>
                  <w14:solidFill>
                    <w14:schemeClr w14:val="tx1"/>
                  </w14:solidFill>
                </w14:textFill>
              </w:rPr>
              <w:t>3</w:t>
            </w:r>
            <w:r>
              <w:rPr>
                <w:rStyle w:val="12"/>
                <w:rFonts w:hint="eastAsia" w:ascii="宋体" w:hAnsi="宋体" w:eastAsia="宋体" w:cs="宋体"/>
                <w:b/>
                <w:bCs/>
                <w:color w:val="000000" w:themeColor="text1"/>
                <w:spacing w:val="0"/>
                <w:sz w:val="24"/>
                <w:szCs w:val="24"/>
                <w:highlight w:val="none"/>
                <w:lang w:eastAsia="zh-CN"/>
                <w14:textFill>
                  <w14:solidFill>
                    <w14:schemeClr w14:val="tx1"/>
                  </w14:solidFill>
                </w14:textFill>
              </w:rPr>
              <w:t>）</w:t>
            </w:r>
            <w:r>
              <w:rPr>
                <w:rStyle w:val="12"/>
                <w:rFonts w:hint="eastAsia" w:ascii="宋体" w:hAnsi="宋体" w:eastAsia="宋体" w:cs="宋体"/>
                <w:b/>
                <w:bCs/>
                <w:color w:val="000000" w:themeColor="text1"/>
                <w:spacing w:val="0"/>
                <w:sz w:val="24"/>
                <w:szCs w:val="24"/>
                <w:highlight w:val="none"/>
                <w:lang w:val="en-US" w:eastAsia="zh-CN"/>
                <w14:textFill>
                  <w14:solidFill>
                    <w14:schemeClr w14:val="tx1"/>
                  </w14:solidFill>
                </w14:textFill>
              </w:rPr>
              <w:t>磋商保证金</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w:t>
            </w:r>
          </w:p>
          <w:p w14:paraId="0363531E">
            <w:pPr>
              <w:keepNext w:val="0"/>
              <w:keepLines w:val="0"/>
              <w:pageBreakBefore w:val="0"/>
              <w:widowControl/>
              <w:kinsoku/>
              <w:overflowPunct/>
              <w:topLinePunct w:val="0"/>
              <w:autoSpaceDE/>
              <w:autoSpaceDN/>
              <w:bidi w:val="0"/>
              <w:adjustRightInd/>
              <w:snapToGrid/>
              <w:spacing w:after="0" w:line="240" w:lineRule="auto"/>
              <w:textAlignment w:val="auto"/>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※备注说明</w:t>
            </w:r>
          </w:p>
          <w:p w14:paraId="751948EC">
            <w:pPr>
              <w:keepNext w:val="0"/>
              <w:keepLines w:val="0"/>
              <w:pageBreakBefore w:val="0"/>
              <w:widowControl/>
              <w:kinsoku/>
              <w:overflowPunct/>
              <w:topLinePunct w:val="0"/>
              <w:autoSpaceDE/>
              <w:autoSpaceDN/>
              <w:bidi w:val="0"/>
              <w:adjustRightInd/>
              <w:snapToGrid/>
              <w:spacing w:after="0" w:line="240" w:lineRule="auto"/>
              <w:textAlignment w:val="auto"/>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①供应商应根据自身实际情况提供上述资格要求的证明材料，格式可参考磋商文件第五章提供。</w:t>
            </w:r>
          </w:p>
          <w:p w14:paraId="592106E6">
            <w:pPr>
              <w:keepNext w:val="0"/>
              <w:keepLines w:val="0"/>
              <w:pageBreakBefore w:val="0"/>
              <w:widowControl/>
              <w:kinsoku/>
              <w:overflowPunct/>
              <w:topLinePunct w:val="0"/>
              <w:autoSpaceDE/>
              <w:autoSpaceDN/>
              <w:bidi w:val="0"/>
              <w:adjustRightInd/>
              <w:snapToGrid/>
              <w:spacing w:after="0" w:line="240" w:lineRule="auto"/>
              <w:textAlignment w:val="auto"/>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②供应商提供的相应证明材料复印件均应符合：内容完整、清晰、整洁，并由供应商加盖其单位公章。</w:t>
            </w:r>
          </w:p>
        </w:tc>
      </w:tr>
      <w:tr w14:paraId="0794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7" w:hRule="atLeast"/>
          <w:jc w:val="center"/>
        </w:trPr>
        <w:tc>
          <w:tcPr>
            <w:tcW w:w="488" w:type="dxa"/>
            <w:noWrap w:val="0"/>
            <w:tcMar>
              <w:top w:w="0" w:type="dxa"/>
              <w:left w:w="105" w:type="dxa"/>
              <w:bottom w:w="0" w:type="dxa"/>
              <w:right w:w="105" w:type="dxa"/>
            </w:tcMar>
            <w:vAlign w:val="center"/>
          </w:tcPr>
          <w:p w14:paraId="7989F2A3">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w:t>
            </w:r>
          </w:p>
        </w:tc>
        <w:tc>
          <w:tcPr>
            <w:tcW w:w="930" w:type="dxa"/>
            <w:noWrap w:val="0"/>
            <w:tcMar>
              <w:top w:w="0" w:type="dxa"/>
              <w:left w:w="105" w:type="dxa"/>
              <w:bottom w:w="0" w:type="dxa"/>
              <w:right w:w="105" w:type="dxa"/>
            </w:tcMar>
            <w:vAlign w:val="center"/>
          </w:tcPr>
          <w:p w14:paraId="73E458AA">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3.2.2</w:t>
            </w:r>
          </w:p>
        </w:tc>
        <w:tc>
          <w:tcPr>
            <w:tcW w:w="9512" w:type="dxa"/>
            <w:noWrap w:val="0"/>
            <w:tcMar>
              <w:top w:w="0" w:type="dxa"/>
              <w:left w:w="105" w:type="dxa"/>
              <w:bottom w:w="0" w:type="dxa"/>
              <w:right w:w="105" w:type="dxa"/>
            </w:tcMar>
            <w:vAlign w:val="center"/>
          </w:tcPr>
          <w:p w14:paraId="6B418AC3">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是否接受联合体形式的响应磋商：</w:t>
            </w:r>
            <w:r>
              <w:rPr>
                <w:rFonts w:hint="eastAsia" w:ascii="宋体" w:hAnsi="宋体" w:eastAsia="宋体" w:cs="宋体"/>
                <w:color w:val="000000" w:themeColor="text1"/>
                <w:spacing w:val="0"/>
                <w:sz w:val="24"/>
                <w:szCs w:val="24"/>
                <w:highlight w:val="none"/>
                <w14:textFill>
                  <w14:solidFill>
                    <w14:schemeClr w14:val="tx1"/>
                  </w14:solidFill>
                </w14:textFill>
              </w:rPr>
              <w:t>不接受</w:t>
            </w:r>
          </w:p>
        </w:tc>
      </w:tr>
      <w:tr w14:paraId="2AF1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8" w:hRule="atLeast"/>
          <w:jc w:val="center"/>
        </w:trPr>
        <w:tc>
          <w:tcPr>
            <w:tcW w:w="488" w:type="dxa"/>
            <w:noWrap w:val="0"/>
            <w:tcMar>
              <w:top w:w="0" w:type="dxa"/>
              <w:left w:w="105" w:type="dxa"/>
              <w:bottom w:w="0" w:type="dxa"/>
              <w:right w:w="105" w:type="dxa"/>
            </w:tcMar>
            <w:vAlign w:val="center"/>
          </w:tcPr>
          <w:p w14:paraId="3751B949">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w:t>
            </w:r>
          </w:p>
        </w:tc>
        <w:tc>
          <w:tcPr>
            <w:tcW w:w="930" w:type="dxa"/>
            <w:noWrap w:val="0"/>
            <w:tcMar>
              <w:top w:w="0" w:type="dxa"/>
              <w:left w:w="105" w:type="dxa"/>
              <w:bottom w:w="0" w:type="dxa"/>
              <w:right w:w="105" w:type="dxa"/>
            </w:tcMar>
            <w:vAlign w:val="center"/>
          </w:tcPr>
          <w:p w14:paraId="2E649632">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6.3</w:t>
            </w:r>
          </w:p>
        </w:tc>
        <w:tc>
          <w:tcPr>
            <w:tcW w:w="9512" w:type="dxa"/>
            <w:noWrap w:val="0"/>
            <w:tcMar>
              <w:top w:w="0" w:type="dxa"/>
              <w:left w:w="105" w:type="dxa"/>
              <w:bottom w:w="0" w:type="dxa"/>
              <w:right w:w="105" w:type="dxa"/>
            </w:tcMar>
            <w:vAlign w:val="center"/>
          </w:tcPr>
          <w:p w14:paraId="2FEDDEA4">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是否组织现场考察或召开磋商前答疑会：</w:t>
            </w:r>
            <w:r>
              <w:rPr>
                <w:rFonts w:hint="eastAsia" w:ascii="宋体" w:hAnsi="宋体" w:eastAsia="宋体" w:cs="宋体"/>
                <w:color w:val="000000" w:themeColor="text1"/>
                <w:spacing w:val="0"/>
                <w:sz w:val="24"/>
                <w:szCs w:val="24"/>
                <w:highlight w:val="none"/>
                <w14:textFill>
                  <w14:solidFill>
                    <w14:schemeClr w14:val="tx1"/>
                  </w14:solidFill>
                </w14:textFill>
              </w:rPr>
              <w:t>否</w:t>
            </w:r>
          </w:p>
        </w:tc>
      </w:tr>
      <w:tr w14:paraId="1FB2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2" w:hRule="atLeast"/>
          <w:jc w:val="center"/>
        </w:trPr>
        <w:tc>
          <w:tcPr>
            <w:tcW w:w="488" w:type="dxa"/>
            <w:noWrap w:val="0"/>
            <w:tcMar>
              <w:top w:w="0" w:type="dxa"/>
              <w:left w:w="105" w:type="dxa"/>
              <w:bottom w:w="0" w:type="dxa"/>
              <w:right w:w="105" w:type="dxa"/>
            </w:tcMar>
            <w:vAlign w:val="center"/>
          </w:tcPr>
          <w:p w14:paraId="5A7577CB">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4</w:t>
            </w:r>
          </w:p>
        </w:tc>
        <w:tc>
          <w:tcPr>
            <w:tcW w:w="930" w:type="dxa"/>
            <w:noWrap w:val="0"/>
            <w:tcMar>
              <w:top w:w="0" w:type="dxa"/>
              <w:left w:w="105" w:type="dxa"/>
              <w:bottom w:w="0" w:type="dxa"/>
              <w:right w:w="105" w:type="dxa"/>
            </w:tcMar>
            <w:vAlign w:val="center"/>
          </w:tcPr>
          <w:p w14:paraId="6DAE2E33">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9.1</w:t>
            </w:r>
          </w:p>
        </w:tc>
        <w:tc>
          <w:tcPr>
            <w:tcW w:w="9512" w:type="dxa"/>
            <w:noWrap w:val="0"/>
            <w:tcMar>
              <w:top w:w="0" w:type="dxa"/>
              <w:left w:w="105" w:type="dxa"/>
              <w:bottom w:w="0" w:type="dxa"/>
              <w:right w:w="105" w:type="dxa"/>
            </w:tcMar>
            <w:vAlign w:val="center"/>
          </w:tcPr>
          <w:p w14:paraId="330F4180">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响应文件有效期：</w:t>
            </w:r>
            <w:r>
              <w:rPr>
                <w:rFonts w:hint="eastAsia" w:ascii="宋体" w:hAnsi="宋体" w:eastAsia="宋体" w:cs="宋体"/>
                <w:color w:val="000000" w:themeColor="text1"/>
                <w:spacing w:val="0"/>
                <w:sz w:val="24"/>
                <w:szCs w:val="24"/>
                <w:highlight w:val="none"/>
                <w14:textFill>
                  <w14:solidFill>
                    <w14:schemeClr w14:val="tx1"/>
                  </w14:solidFill>
                </w14:textFill>
              </w:rPr>
              <w:t>首次响应文件提交截止时间起90个日历日。</w:t>
            </w:r>
          </w:p>
        </w:tc>
      </w:tr>
      <w:tr w14:paraId="0BBE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jc w:val="center"/>
        </w:trPr>
        <w:tc>
          <w:tcPr>
            <w:tcW w:w="488" w:type="dxa"/>
            <w:noWrap w:val="0"/>
            <w:tcMar>
              <w:top w:w="0" w:type="dxa"/>
              <w:left w:w="105" w:type="dxa"/>
              <w:bottom w:w="0" w:type="dxa"/>
              <w:right w:w="105" w:type="dxa"/>
            </w:tcMar>
            <w:vAlign w:val="center"/>
          </w:tcPr>
          <w:p w14:paraId="3E676805">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5</w:t>
            </w:r>
          </w:p>
        </w:tc>
        <w:tc>
          <w:tcPr>
            <w:tcW w:w="930" w:type="dxa"/>
            <w:noWrap w:val="0"/>
            <w:tcMar>
              <w:top w:w="0" w:type="dxa"/>
              <w:left w:w="105" w:type="dxa"/>
              <w:bottom w:w="0" w:type="dxa"/>
              <w:right w:w="105" w:type="dxa"/>
            </w:tcMar>
            <w:vAlign w:val="center"/>
          </w:tcPr>
          <w:p w14:paraId="5E6CD61C">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10.1</w:t>
            </w:r>
          </w:p>
        </w:tc>
        <w:tc>
          <w:tcPr>
            <w:tcW w:w="9512" w:type="dxa"/>
            <w:noWrap w:val="0"/>
            <w:tcMar>
              <w:top w:w="0" w:type="dxa"/>
              <w:left w:w="105" w:type="dxa"/>
              <w:bottom w:w="0" w:type="dxa"/>
              <w:right w:w="105" w:type="dxa"/>
            </w:tcMar>
            <w:vAlign w:val="top"/>
          </w:tcPr>
          <w:p w14:paraId="7DD5D840">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提交磋商保证金：</w:t>
            </w:r>
          </w:p>
          <w:p w14:paraId="31BF9337">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textAlignment w:val="auto"/>
              <w:rPr>
                <w:rFonts w:hint="eastAsia" w:eastAsia="宋体"/>
                <w:color w:val="000000" w:themeColor="text1"/>
                <w:highlight w:val="none"/>
                <w:lang w:eastAsia="zh-CN"/>
                <w14:textFill>
                  <w14:solidFill>
                    <w14:schemeClr w14:val="tx1"/>
                  </w14:solidFill>
                </w14:textFill>
              </w:rPr>
            </w:pPr>
            <w:r>
              <w:rPr>
                <w:color w:val="000000" w:themeColor="text1"/>
                <w:spacing w:val="0"/>
                <w:sz w:val="24"/>
                <w:szCs w:val="24"/>
                <w:highlight w:val="none"/>
                <w14:textFill>
                  <w14:solidFill>
                    <w14:schemeClr w14:val="tx1"/>
                  </w14:solidFill>
                </w14:textFill>
              </w:rPr>
              <w:t>本项目的磋商保证金提交方式为</w:t>
            </w:r>
            <w:r>
              <w:rPr>
                <w:color w:val="000000" w:themeColor="text1"/>
                <w:spacing w:val="0"/>
                <w:sz w:val="24"/>
                <w:szCs w:val="24"/>
                <w:highlight w:val="none"/>
                <w:u w:val="single"/>
                <w14:textFill>
                  <w14:solidFill>
                    <w14:schemeClr w14:val="tx1"/>
                  </w14:solidFill>
                </w14:textFill>
              </w:rPr>
              <w:t>银行公对公转账方式向磋商文件载明的磋商保证金账户提交磋商保证金</w:t>
            </w:r>
            <w:r>
              <w:rPr>
                <w:color w:val="000000" w:themeColor="text1"/>
                <w:spacing w:val="0"/>
                <w:sz w:val="24"/>
                <w:szCs w:val="24"/>
                <w:highlight w:val="none"/>
                <w14:textFill>
                  <w14:solidFill>
                    <w14:schemeClr w14:val="tx1"/>
                  </w14:solidFill>
                </w14:textFill>
              </w:rPr>
              <w:t>，须于提交响应文件截止时间前到达指定账户为准</w:t>
            </w:r>
            <w:r>
              <w:rPr>
                <w:rFonts w:hint="eastAsia"/>
                <w:color w:val="000000" w:themeColor="text1"/>
                <w:spacing w:val="0"/>
                <w:sz w:val="24"/>
                <w:szCs w:val="24"/>
                <w:highlight w:val="none"/>
                <w:lang w:eastAsia="zh-CN"/>
                <w14:textFill>
                  <w14:solidFill>
                    <w14:schemeClr w14:val="tx1"/>
                  </w14:solidFill>
                </w14:textFill>
              </w:rPr>
              <w:t>；</w:t>
            </w:r>
          </w:p>
          <w:p w14:paraId="5C153DC4">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其他：无。</w:t>
            </w:r>
          </w:p>
        </w:tc>
      </w:tr>
      <w:tr w14:paraId="069A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88" w:type="dxa"/>
            <w:noWrap w:val="0"/>
            <w:tcMar>
              <w:top w:w="0" w:type="dxa"/>
              <w:left w:w="105" w:type="dxa"/>
              <w:bottom w:w="0" w:type="dxa"/>
              <w:right w:w="105" w:type="dxa"/>
            </w:tcMar>
            <w:vAlign w:val="center"/>
          </w:tcPr>
          <w:p w14:paraId="24AF5762">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6</w:t>
            </w:r>
          </w:p>
        </w:tc>
        <w:tc>
          <w:tcPr>
            <w:tcW w:w="930" w:type="dxa"/>
            <w:noWrap w:val="0"/>
            <w:tcMar>
              <w:top w:w="0" w:type="dxa"/>
              <w:left w:w="105" w:type="dxa"/>
              <w:bottom w:w="0" w:type="dxa"/>
              <w:right w:w="105" w:type="dxa"/>
            </w:tcMar>
            <w:vAlign w:val="center"/>
          </w:tcPr>
          <w:p w14:paraId="53857002">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10.3.1</w:t>
            </w:r>
          </w:p>
        </w:tc>
        <w:tc>
          <w:tcPr>
            <w:tcW w:w="9512" w:type="dxa"/>
            <w:noWrap w:val="0"/>
            <w:tcMar>
              <w:top w:w="0" w:type="dxa"/>
              <w:left w:w="105" w:type="dxa"/>
              <w:bottom w:w="0" w:type="dxa"/>
              <w:right w:w="105" w:type="dxa"/>
            </w:tcMar>
            <w:vAlign w:val="center"/>
          </w:tcPr>
          <w:p w14:paraId="08F1C8BF">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磋商保证金退还的其它要求：</w:t>
            </w:r>
            <w:r>
              <w:rPr>
                <w:color w:val="000000" w:themeColor="text1"/>
                <w:spacing w:val="0"/>
                <w:sz w:val="24"/>
                <w:szCs w:val="24"/>
                <w:highlight w:val="none"/>
                <w14:textFill>
                  <w14:solidFill>
                    <w14:schemeClr w14:val="tx1"/>
                  </w14:solidFill>
                </w14:textFill>
              </w:rPr>
              <w:t>无。</w:t>
            </w:r>
          </w:p>
        </w:tc>
      </w:tr>
      <w:tr w14:paraId="58FE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jc w:val="center"/>
        </w:trPr>
        <w:tc>
          <w:tcPr>
            <w:tcW w:w="488" w:type="dxa"/>
            <w:noWrap w:val="0"/>
            <w:tcMar>
              <w:top w:w="0" w:type="dxa"/>
              <w:left w:w="105" w:type="dxa"/>
              <w:bottom w:w="0" w:type="dxa"/>
              <w:right w:w="105" w:type="dxa"/>
            </w:tcMar>
            <w:vAlign w:val="center"/>
          </w:tcPr>
          <w:p w14:paraId="3B4D0112">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7</w:t>
            </w:r>
          </w:p>
        </w:tc>
        <w:tc>
          <w:tcPr>
            <w:tcW w:w="930" w:type="dxa"/>
            <w:noWrap w:val="0"/>
            <w:tcMar>
              <w:top w:w="0" w:type="dxa"/>
              <w:left w:w="105" w:type="dxa"/>
              <w:bottom w:w="0" w:type="dxa"/>
              <w:right w:w="105" w:type="dxa"/>
            </w:tcMar>
            <w:vAlign w:val="center"/>
          </w:tcPr>
          <w:p w14:paraId="6D0FC5C0">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11.1</w:t>
            </w:r>
          </w:p>
        </w:tc>
        <w:tc>
          <w:tcPr>
            <w:tcW w:w="9512" w:type="dxa"/>
            <w:noWrap w:val="0"/>
            <w:tcMar>
              <w:top w:w="0" w:type="dxa"/>
              <w:left w:w="105" w:type="dxa"/>
              <w:bottom w:w="0" w:type="dxa"/>
              <w:right w:w="105" w:type="dxa"/>
            </w:tcMar>
            <w:vAlign w:val="center"/>
          </w:tcPr>
          <w:p w14:paraId="02EB8BDF">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响应文件的份数</w:t>
            </w:r>
          </w:p>
          <w:p w14:paraId="00E542F3">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（1）纸质响应文件 </w:t>
            </w:r>
          </w:p>
          <w:p w14:paraId="48A465A0">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48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①响应文件正本</w:t>
            </w:r>
            <w:r>
              <w:rPr>
                <w:rFonts w:hint="eastAsia" w:ascii="宋体" w:hAnsi="宋体" w:eastAsia="宋体" w:cs="宋体"/>
                <w:color w:val="000000" w:themeColor="text1"/>
                <w:spacing w:val="0"/>
                <w:sz w:val="24"/>
                <w:szCs w:val="24"/>
                <w:highlight w:val="none"/>
                <w:u w:val="single"/>
                <w14:textFill>
                  <w14:solidFill>
                    <w14:schemeClr w14:val="tx1"/>
                  </w14:solidFill>
                </w14:textFill>
              </w:rPr>
              <w:t>1</w:t>
            </w:r>
            <w:r>
              <w:rPr>
                <w:rFonts w:hint="eastAsia" w:ascii="宋体" w:hAnsi="宋体" w:eastAsia="宋体" w:cs="宋体"/>
                <w:color w:val="000000" w:themeColor="text1"/>
                <w:spacing w:val="0"/>
                <w:sz w:val="24"/>
                <w:szCs w:val="24"/>
                <w:highlight w:val="none"/>
                <w14:textFill>
                  <w14:solidFill>
                    <w14:schemeClr w14:val="tx1"/>
                  </w14:solidFill>
                </w14:textFill>
              </w:rPr>
              <w:t>份、副本</w:t>
            </w:r>
            <w:r>
              <w:rPr>
                <w:rFonts w:hint="eastAsia"/>
                <w:color w:val="000000" w:themeColor="text1"/>
                <w:spacing w:val="0"/>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pacing w:val="0"/>
                <w:sz w:val="24"/>
                <w:szCs w:val="24"/>
                <w:highlight w:val="none"/>
                <w14:textFill>
                  <w14:solidFill>
                    <w14:schemeClr w14:val="tx1"/>
                  </w14:solidFill>
                </w14:textFill>
              </w:rPr>
              <w:t>份。</w:t>
            </w:r>
          </w:p>
          <w:p w14:paraId="24E180BF">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48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②可读介质（光盘或U盘）</w:t>
            </w:r>
            <w:r>
              <w:rPr>
                <w:rFonts w:hint="eastAsia" w:ascii="宋体" w:hAnsi="宋体" w:eastAsia="宋体" w:cs="宋体"/>
                <w:color w:val="000000" w:themeColor="text1"/>
                <w:spacing w:val="0"/>
                <w:sz w:val="24"/>
                <w:szCs w:val="24"/>
                <w:highlight w:val="none"/>
                <w:u w:val="single"/>
                <w14:textFill>
                  <w14:solidFill>
                    <w14:schemeClr w14:val="tx1"/>
                  </w14:solidFill>
                </w14:textFill>
              </w:rPr>
              <w:t>1</w:t>
            </w:r>
            <w:r>
              <w:rPr>
                <w:rFonts w:hint="eastAsia" w:ascii="宋体" w:hAnsi="宋体" w:eastAsia="宋体" w:cs="宋体"/>
                <w:color w:val="000000" w:themeColor="text1"/>
                <w:spacing w:val="0"/>
                <w:sz w:val="24"/>
                <w:szCs w:val="24"/>
                <w:highlight w:val="none"/>
                <w14:textFill>
                  <w14:solidFill>
                    <w14:schemeClr w14:val="tx1"/>
                  </w14:solidFill>
                </w14:textFill>
              </w:rPr>
              <w:t>份</w:t>
            </w:r>
            <w:r>
              <w:rPr>
                <w:rFonts w:hint="eastAsia" w:ascii="宋体" w:hAnsi="宋体" w:cs="宋体"/>
                <w:color w:val="000000" w:themeColor="text1"/>
                <w:spacing w:val="0"/>
                <w:sz w:val="24"/>
                <w:szCs w:val="24"/>
                <w:highlight w:val="none"/>
                <w:lang w:eastAsia="zh-CN"/>
                <w14:textFill>
                  <w14:solidFill>
                    <w14:schemeClr w14:val="tx1"/>
                  </w14:solidFill>
                </w14:textFill>
              </w:rPr>
              <w:t>。</w:t>
            </w:r>
            <w:r>
              <w:rPr>
                <w:rFonts w:ascii="Calibri" w:hAnsi="Calibri" w:cs="Calibri"/>
                <w:color w:val="000000" w:themeColor="text1"/>
                <w:sz w:val="24"/>
                <w:szCs w:val="24"/>
                <w:highlight w:val="none"/>
                <w14:textFill>
                  <w14:solidFill>
                    <w14:schemeClr w14:val="tx1"/>
                  </w14:solidFill>
                </w14:textFill>
              </w:rPr>
              <w:t> </w:t>
            </w:r>
          </w:p>
        </w:tc>
      </w:tr>
      <w:tr w14:paraId="55C5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jc w:val="center"/>
        </w:trPr>
        <w:tc>
          <w:tcPr>
            <w:tcW w:w="488" w:type="dxa"/>
            <w:noWrap w:val="0"/>
            <w:tcMar>
              <w:top w:w="0" w:type="dxa"/>
              <w:left w:w="105" w:type="dxa"/>
              <w:bottom w:w="0" w:type="dxa"/>
              <w:right w:w="105" w:type="dxa"/>
            </w:tcMar>
            <w:vAlign w:val="center"/>
          </w:tcPr>
          <w:p w14:paraId="11DD0C24">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8</w:t>
            </w:r>
          </w:p>
        </w:tc>
        <w:tc>
          <w:tcPr>
            <w:tcW w:w="930" w:type="dxa"/>
            <w:noWrap w:val="0"/>
            <w:tcMar>
              <w:top w:w="0" w:type="dxa"/>
              <w:left w:w="105" w:type="dxa"/>
              <w:bottom w:w="0" w:type="dxa"/>
              <w:right w:w="105" w:type="dxa"/>
            </w:tcMar>
            <w:vAlign w:val="center"/>
          </w:tcPr>
          <w:p w14:paraId="47DE01AA">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14.4</w:t>
            </w:r>
          </w:p>
        </w:tc>
        <w:tc>
          <w:tcPr>
            <w:tcW w:w="9512" w:type="dxa"/>
            <w:noWrap w:val="0"/>
            <w:tcMar>
              <w:top w:w="0" w:type="dxa"/>
              <w:left w:w="105" w:type="dxa"/>
              <w:bottom w:w="0" w:type="dxa"/>
              <w:right w:w="105" w:type="dxa"/>
            </w:tcMar>
            <w:vAlign w:val="top"/>
          </w:tcPr>
          <w:p w14:paraId="0E43EA62">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磋商过程中可能发生实质性变动的内容：</w:t>
            </w:r>
            <w:r>
              <w:rPr>
                <w:rFonts w:hint="eastAsia" w:ascii="宋体" w:hAnsi="宋体" w:eastAsia="宋体" w:cs="宋体"/>
                <w:color w:val="000000" w:themeColor="text1"/>
                <w:spacing w:val="0"/>
                <w:sz w:val="24"/>
                <w:szCs w:val="24"/>
                <w:highlight w:val="none"/>
                <w14:textFill>
                  <w14:solidFill>
                    <w14:schemeClr w14:val="tx1"/>
                  </w14:solidFill>
                </w14:textFill>
              </w:rPr>
              <w:t>无。</w:t>
            </w:r>
          </w:p>
        </w:tc>
      </w:tr>
      <w:tr w14:paraId="3F48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jc w:val="center"/>
        </w:trPr>
        <w:tc>
          <w:tcPr>
            <w:tcW w:w="488" w:type="dxa"/>
            <w:noWrap w:val="0"/>
            <w:tcMar>
              <w:top w:w="0" w:type="dxa"/>
              <w:left w:w="105" w:type="dxa"/>
              <w:bottom w:w="0" w:type="dxa"/>
              <w:right w:w="105" w:type="dxa"/>
            </w:tcMar>
            <w:vAlign w:val="center"/>
          </w:tcPr>
          <w:p w14:paraId="77FCC648">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9</w:t>
            </w:r>
          </w:p>
        </w:tc>
        <w:tc>
          <w:tcPr>
            <w:tcW w:w="930" w:type="dxa"/>
            <w:noWrap w:val="0"/>
            <w:tcMar>
              <w:top w:w="0" w:type="dxa"/>
              <w:left w:w="105" w:type="dxa"/>
              <w:bottom w:w="0" w:type="dxa"/>
              <w:right w:w="105" w:type="dxa"/>
            </w:tcMar>
            <w:vAlign w:val="center"/>
          </w:tcPr>
          <w:p w14:paraId="00FD8CD4">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14.9</w:t>
            </w:r>
          </w:p>
        </w:tc>
        <w:tc>
          <w:tcPr>
            <w:tcW w:w="9512" w:type="dxa"/>
            <w:noWrap w:val="0"/>
            <w:tcMar>
              <w:top w:w="0" w:type="dxa"/>
              <w:left w:w="105" w:type="dxa"/>
              <w:bottom w:w="0" w:type="dxa"/>
              <w:right w:w="105" w:type="dxa"/>
            </w:tcMar>
            <w:vAlign w:val="center"/>
          </w:tcPr>
          <w:p w14:paraId="56D6298E">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评审的标准和方法：具体内容详见竞争性磋商须知前附表专项附件“评审的标准和方法”。</w:t>
            </w:r>
          </w:p>
        </w:tc>
      </w:tr>
      <w:tr w14:paraId="4E927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jc w:val="center"/>
        </w:trPr>
        <w:tc>
          <w:tcPr>
            <w:tcW w:w="488" w:type="dxa"/>
            <w:noWrap w:val="0"/>
            <w:tcMar>
              <w:top w:w="0" w:type="dxa"/>
              <w:left w:w="105" w:type="dxa"/>
              <w:bottom w:w="0" w:type="dxa"/>
              <w:right w:w="105" w:type="dxa"/>
            </w:tcMar>
            <w:vAlign w:val="center"/>
          </w:tcPr>
          <w:p w14:paraId="64C132A8">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10</w:t>
            </w:r>
          </w:p>
        </w:tc>
        <w:tc>
          <w:tcPr>
            <w:tcW w:w="930" w:type="dxa"/>
            <w:noWrap w:val="0"/>
            <w:tcMar>
              <w:top w:w="0" w:type="dxa"/>
              <w:left w:w="105" w:type="dxa"/>
              <w:bottom w:w="0" w:type="dxa"/>
              <w:right w:w="105" w:type="dxa"/>
            </w:tcMar>
            <w:vAlign w:val="center"/>
          </w:tcPr>
          <w:p w14:paraId="4BC29D61">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p>
        </w:tc>
        <w:tc>
          <w:tcPr>
            <w:tcW w:w="9512" w:type="dxa"/>
            <w:noWrap w:val="0"/>
            <w:tcMar>
              <w:top w:w="0" w:type="dxa"/>
              <w:left w:w="105" w:type="dxa"/>
              <w:bottom w:w="0" w:type="dxa"/>
              <w:right w:w="105" w:type="dxa"/>
            </w:tcMar>
            <w:vAlign w:val="center"/>
          </w:tcPr>
          <w:p w14:paraId="145A7AE2">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textAlignment w:val="auto"/>
              <w:rPr>
                <w:rStyle w:val="12"/>
                <w:rFonts w:hint="eastAsia" w:ascii="宋体" w:hAnsi="宋体" w:eastAsia="宋体" w:cs="宋体"/>
                <w:b/>
                <w:bCs/>
                <w:color w:val="000000" w:themeColor="text1"/>
                <w:spacing w:val="0"/>
                <w:sz w:val="24"/>
                <w:szCs w:val="24"/>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根据采购项目的特点和需要，需要加以详细说明的其他磋商程序规定、要求等内容：无。</w:t>
            </w:r>
          </w:p>
        </w:tc>
      </w:tr>
      <w:tr w14:paraId="0A58C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jc w:val="center"/>
        </w:trPr>
        <w:tc>
          <w:tcPr>
            <w:tcW w:w="488" w:type="dxa"/>
            <w:noWrap w:val="0"/>
            <w:tcMar>
              <w:top w:w="0" w:type="dxa"/>
              <w:left w:w="105" w:type="dxa"/>
              <w:bottom w:w="0" w:type="dxa"/>
              <w:right w:w="105" w:type="dxa"/>
            </w:tcMar>
            <w:vAlign w:val="top"/>
          </w:tcPr>
          <w:p w14:paraId="7380AE16">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auto"/>
              <w:rPr>
                <w:rFonts w:hint="eastAsia" w:ascii="Calibri" w:hAnsi="Calibri"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t>11</w:t>
            </w:r>
          </w:p>
        </w:tc>
        <w:tc>
          <w:tcPr>
            <w:tcW w:w="930" w:type="dxa"/>
            <w:noWrap w:val="0"/>
            <w:tcMar>
              <w:top w:w="0" w:type="dxa"/>
              <w:left w:w="105" w:type="dxa"/>
              <w:bottom w:w="0" w:type="dxa"/>
              <w:right w:w="105" w:type="dxa"/>
            </w:tcMar>
            <w:vAlign w:val="top"/>
          </w:tcPr>
          <w:p w14:paraId="1AD4DB93">
            <w:pPr>
              <w:keepNext w:val="0"/>
              <w:keepLines w:val="0"/>
              <w:pageBreakBefore w:val="0"/>
              <w:widowControl/>
              <w:suppressLineNumbers w:val="0"/>
              <w:kinsoku/>
              <w:wordWrap w:val="0"/>
              <w:overflowPunct/>
              <w:topLinePunct w:val="0"/>
              <w:autoSpaceDE/>
              <w:autoSpaceDN/>
              <w:bidi w:val="0"/>
              <w:adjustRightInd/>
              <w:snapToGrid/>
              <w:spacing w:line="240" w:lineRule="auto"/>
              <w:jc w:val="center"/>
              <w:textAlignment w:val="auto"/>
              <w:rPr>
                <w:rFonts w:ascii="Calibri" w:hAnsi="Calibri"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t>18.1</w:t>
            </w:r>
          </w:p>
        </w:tc>
        <w:tc>
          <w:tcPr>
            <w:tcW w:w="9512" w:type="dxa"/>
            <w:noWrap w:val="0"/>
            <w:tcMar>
              <w:top w:w="0" w:type="dxa"/>
              <w:left w:w="105" w:type="dxa"/>
              <w:bottom w:w="0" w:type="dxa"/>
              <w:right w:w="105" w:type="dxa"/>
            </w:tcMar>
            <w:vAlign w:val="center"/>
          </w:tcPr>
          <w:p w14:paraId="3280566D">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textAlignment w:val="auto"/>
              <w:rPr>
                <w:rStyle w:val="12"/>
                <w:rFonts w:hint="eastAsia" w:ascii="宋体" w:hAnsi="宋体" w:eastAsia="宋体" w:cs="宋体"/>
                <w:b/>
                <w:bCs/>
                <w:color w:val="000000" w:themeColor="text1"/>
                <w:spacing w:val="0"/>
                <w:sz w:val="24"/>
                <w:szCs w:val="24"/>
                <w:highlight w:val="none"/>
                <w:lang w:val="en-US" w:eastAsia="zh-CN"/>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lang w:val="en-US" w:eastAsia="zh-CN"/>
                <w14:textFill>
                  <w14:solidFill>
                    <w14:schemeClr w14:val="tx1"/>
                  </w14:solidFill>
                </w14:textFill>
              </w:rPr>
              <w:t>合同</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签订时限：自中标通知书发出之日起30个日历日内</w:t>
            </w:r>
          </w:p>
        </w:tc>
      </w:tr>
      <w:tr w14:paraId="26AA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 w:hRule="atLeast"/>
          <w:jc w:val="center"/>
        </w:trPr>
        <w:tc>
          <w:tcPr>
            <w:tcW w:w="488" w:type="dxa"/>
            <w:noWrap w:val="0"/>
            <w:tcMar>
              <w:top w:w="0" w:type="dxa"/>
              <w:left w:w="105" w:type="dxa"/>
              <w:bottom w:w="0" w:type="dxa"/>
              <w:right w:w="105" w:type="dxa"/>
            </w:tcMar>
            <w:vAlign w:val="center"/>
          </w:tcPr>
          <w:p w14:paraId="6DF7B2E7">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12</w:t>
            </w:r>
          </w:p>
        </w:tc>
        <w:tc>
          <w:tcPr>
            <w:tcW w:w="930" w:type="dxa"/>
            <w:noWrap w:val="0"/>
            <w:tcMar>
              <w:top w:w="0" w:type="dxa"/>
              <w:left w:w="105" w:type="dxa"/>
              <w:bottom w:w="0" w:type="dxa"/>
              <w:right w:w="105" w:type="dxa"/>
            </w:tcMar>
            <w:vAlign w:val="center"/>
          </w:tcPr>
          <w:p w14:paraId="4742CB5B">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22.2</w:t>
            </w:r>
          </w:p>
        </w:tc>
        <w:tc>
          <w:tcPr>
            <w:tcW w:w="9512" w:type="dxa"/>
            <w:noWrap w:val="0"/>
            <w:tcMar>
              <w:top w:w="0" w:type="dxa"/>
              <w:left w:w="105" w:type="dxa"/>
              <w:bottom w:w="0" w:type="dxa"/>
              <w:right w:w="105" w:type="dxa"/>
            </w:tcMar>
            <w:vAlign w:val="top"/>
          </w:tcPr>
          <w:p w14:paraId="734FD3B3">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信息公告指定媒体（以下简称：“指定媒体”）：</w:t>
            </w:r>
          </w:p>
          <w:p w14:paraId="43279493">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(1)中国政府采购网，网址www.ccgp.gov.cn</w:t>
            </w:r>
            <w:r>
              <w:rPr>
                <w:color w:val="000000" w:themeColor="text1"/>
                <w:highlight w:val="none"/>
                <w14:textFill>
                  <w14:solidFill>
                    <w14:schemeClr w14:val="tx1"/>
                  </w14:solidFill>
                </w14:textFill>
              </w:rPr>
              <w:t>。</w:t>
            </w:r>
          </w:p>
          <w:p w14:paraId="6323D842">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w:t>
            </w:r>
            <w:r>
              <w:rPr>
                <w:rFonts w:hint="eastAsia" w:ascii="宋体" w:hAnsi="宋体" w:eastAsia="宋体" w:cs="宋体"/>
                <w:color w:val="000000" w:themeColor="text1"/>
                <w:spacing w:val="0"/>
                <w:sz w:val="24"/>
                <w:szCs w:val="24"/>
                <w:highlight w:val="none"/>
                <w:lang w:eastAsia="zh-CN"/>
                <w14:textFill>
                  <w14:solidFill>
                    <w14:schemeClr w14:val="tx1"/>
                  </w14:solidFill>
                </w14:textFill>
              </w:rPr>
              <w:t>湄洲湾职业技术学院</w:t>
            </w:r>
            <w:r>
              <w:rPr>
                <w:rFonts w:hint="eastAsia" w:ascii="宋体" w:hAnsi="宋体" w:cs="宋体"/>
                <w:color w:val="000000" w:themeColor="text1"/>
                <w:spacing w:val="0"/>
                <w:sz w:val="24"/>
                <w:szCs w:val="24"/>
                <w:highlight w:val="none"/>
                <w:lang w:val="en-US" w:eastAsia="zh-CN"/>
                <w14:textFill>
                  <w14:solidFill>
                    <w14:schemeClr w14:val="tx1"/>
                  </w14:solidFill>
                </w14:textFill>
              </w:rPr>
              <w:t>后勤管理处网站，网址https://hq.mzwu.edu.cn/1199/list.htm</w:t>
            </w:r>
            <w:r>
              <w:rPr>
                <w:color w:val="000000" w:themeColor="text1"/>
                <w:highlight w:val="none"/>
                <w14:textFill>
                  <w14:solidFill>
                    <w14:schemeClr w14:val="tx1"/>
                  </w14:solidFill>
                </w14:textFill>
              </w:rPr>
              <w:t>。</w:t>
            </w:r>
          </w:p>
          <w:p w14:paraId="5D662179">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※上述指定媒体的有关信息若不一致，应以中国政府采购网发布的为准。</w:t>
            </w:r>
          </w:p>
        </w:tc>
      </w:tr>
      <w:tr w14:paraId="63F3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9" w:hRule="atLeast"/>
          <w:jc w:val="center"/>
        </w:trPr>
        <w:tc>
          <w:tcPr>
            <w:tcW w:w="488" w:type="dxa"/>
            <w:noWrap w:val="0"/>
            <w:tcMar>
              <w:top w:w="0" w:type="dxa"/>
              <w:left w:w="105" w:type="dxa"/>
              <w:bottom w:w="0" w:type="dxa"/>
              <w:right w:w="105" w:type="dxa"/>
            </w:tcMar>
            <w:vAlign w:val="center"/>
          </w:tcPr>
          <w:p w14:paraId="472D3D8D">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13</w:t>
            </w:r>
          </w:p>
        </w:tc>
        <w:tc>
          <w:tcPr>
            <w:tcW w:w="930" w:type="dxa"/>
            <w:noWrap w:val="0"/>
            <w:tcMar>
              <w:top w:w="0" w:type="dxa"/>
              <w:left w:w="105" w:type="dxa"/>
              <w:bottom w:w="0" w:type="dxa"/>
              <w:right w:w="105" w:type="dxa"/>
            </w:tcMar>
            <w:vAlign w:val="center"/>
          </w:tcPr>
          <w:p w14:paraId="779D0E06">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23.1</w:t>
            </w:r>
          </w:p>
        </w:tc>
        <w:tc>
          <w:tcPr>
            <w:tcW w:w="9512" w:type="dxa"/>
            <w:noWrap w:val="0"/>
            <w:tcMar>
              <w:top w:w="0" w:type="dxa"/>
              <w:left w:w="105" w:type="dxa"/>
              <w:bottom w:w="0" w:type="dxa"/>
              <w:right w:w="105" w:type="dxa"/>
            </w:tcMar>
            <w:vAlign w:val="center"/>
          </w:tcPr>
          <w:p w14:paraId="49F95130">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本项目监督管理部门：</w:t>
            </w:r>
            <w:r>
              <w:rPr>
                <w:rStyle w:val="12"/>
                <w:rFonts w:hint="eastAsia" w:ascii="宋体" w:hAnsi="宋体" w:eastAsia="宋体" w:cs="宋体"/>
                <w:b w:val="0"/>
                <w:bCs w:val="0"/>
                <w:color w:val="000000" w:themeColor="text1"/>
                <w:spacing w:val="0"/>
                <w:sz w:val="24"/>
                <w:szCs w:val="24"/>
                <w:highlight w:val="none"/>
                <w:lang w:eastAsia="zh-CN"/>
                <w14:textFill>
                  <w14:solidFill>
                    <w14:schemeClr w14:val="tx1"/>
                  </w14:solidFill>
                </w14:textFill>
              </w:rPr>
              <w:t>湄洲湾职业技术学院</w:t>
            </w:r>
          </w:p>
        </w:tc>
      </w:tr>
      <w:tr w14:paraId="5B5C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7" w:hRule="atLeast"/>
          <w:jc w:val="center"/>
        </w:trPr>
        <w:tc>
          <w:tcPr>
            <w:tcW w:w="488" w:type="dxa"/>
            <w:noWrap w:val="0"/>
            <w:tcMar>
              <w:top w:w="0" w:type="dxa"/>
              <w:left w:w="105" w:type="dxa"/>
              <w:bottom w:w="0" w:type="dxa"/>
              <w:right w:w="105" w:type="dxa"/>
            </w:tcMar>
            <w:vAlign w:val="center"/>
          </w:tcPr>
          <w:p w14:paraId="370FD908">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14</w:t>
            </w:r>
          </w:p>
        </w:tc>
        <w:tc>
          <w:tcPr>
            <w:tcW w:w="930" w:type="dxa"/>
            <w:noWrap w:val="0"/>
            <w:tcMar>
              <w:top w:w="0" w:type="dxa"/>
              <w:left w:w="105" w:type="dxa"/>
              <w:bottom w:w="0" w:type="dxa"/>
              <w:right w:w="105" w:type="dxa"/>
            </w:tcMar>
            <w:vAlign w:val="center"/>
          </w:tcPr>
          <w:p w14:paraId="6D7942D7">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24.1</w:t>
            </w:r>
          </w:p>
        </w:tc>
        <w:tc>
          <w:tcPr>
            <w:tcW w:w="9512" w:type="dxa"/>
            <w:noWrap w:val="0"/>
            <w:tcMar>
              <w:top w:w="0" w:type="dxa"/>
              <w:left w:w="105" w:type="dxa"/>
              <w:bottom w:w="0" w:type="dxa"/>
              <w:right w:w="105" w:type="dxa"/>
            </w:tcMar>
            <w:vAlign w:val="center"/>
          </w:tcPr>
          <w:p w14:paraId="7E738D77">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textAlignment w:val="auto"/>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履约保证金：</w:t>
            </w:r>
            <w:r>
              <w:rPr>
                <w:color w:val="000000" w:themeColor="text1"/>
                <w:spacing w:val="0"/>
                <w:sz w:val="24"/>
                <w:szCs w:val="24"/>
                <w:highlight w:val="none"/>
                <w14:textFill>
                  <w14:solidFill>
                    <w14:schemeClr w14:val="tx1"/>
                  </w14:solidFill>
                </w14:textFill>
              </w:rPr>
              <w:t>不收取履约保证金</w:t>
            </w:r>
          </w:p>
        </w:tc>
      </w:tr>
      <w:tr w14:paraId="375C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 w:hRule="atLeast"/>
          <w:jc w:val="center"/>
        </w:trPr>
        <w:tc>
          <w:tcPr>
            <w:tcW w:w="488" w:type="dxa"/>
            <w:noWrap w:val="0"/>
            <w:tcMar>
              <w:top w:w="0" w:type="dxa"/>
              <w:left w:w="105" w:type="dxa"/>
              <w:bottom w:w="0" w:type="dxa"/>
              <w:right w:w="105" w:type="dxa"/>
            </w:tcMar>
            <w:vAlign w:val="center"/>
          </w:tcPr>
          <w:p w14:paraId="1393B869">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15</w:t>
            </w:r>
          </w:p>
        </w:tc>
        <w:tc>
          <w:tcPr>
            <w:tcW w:w="930" w:type="dxa"/>
            <w:noWrap w:val="0"/>
            <w:tcMar>
              <w:top w:w="0" w:type="dxa"/>
              <w:left w:w="105" w:type="dxa"/>
              <w:bottom w:w="0" w:type="dxa"/>
              <w:right w:w="105" w:type="dxa"/>
            </w:tcMar>
            <w:vAlign w:val="center"/>
          </w:tcPr>
          <w:p w14:paraId="06DDD31A">
            <w:pPr>
              <w:pStyle w:val="7"/>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25</w:t>
            </w:r>
          </w:p>
        </w:tc>
        <w:tc>
          <w:tcPr>
            <w:tcW w:w="9512" w:type="dxa"/>
            <w:noWrap w:val="0"/>
            <w:tcMar>
              <w:top w:w="0" w:type="dxa"/>
              <w:left w:w="105" w:type="dxa"/>
              <w:bottom w:w="0" w:type="dxa"/>
              <w:right w:w="105" w:type="dxa"/>
            </w:tcMar>
            <w:vAlign w:val="center"/>
          </w:tcPr>
          <w:p w14:paraId="3A56719A">
            <w:pPr>
              <w:pStyle w:val="7"/>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r>
              <w:rPr>
                <w:rStyle w:val="12"/>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b/>
                <w:bCs/>
                <w:color w:val="000000" w:themeColor="text1"/>
                <w:spacing w:val="0"/>
                <w:sz w:val="24"/>
                <w:szCs w:val="24"/>
                <w:highlight w:val="none"/>
                <w14:textFill>
                  <w14:solidFill>
                    <w14:schemeClr w14:val="tx1"/>
                  </w14:solidFill>
                </w14:textFill>
              </w:rPr>
              <w:t>采购代理服务费：</w:t>
            </w:r>
          </w:p>
          <w:p w14:paraId="09F5CA32">
            <w:pPr>
              <w:pStyle w:val="7"/>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pacing w:val="0"/>
                <w:sz w:val="24"/>
                <w:szCs w:val="24"/>
                <w:highlight w:val="none"/>
                <w:lang w:eastAsia="zh-CN"/>
                <w14:textFill>
                  <w14:solidFill>
                    <w14:schemeClr w14:val="tx1"/>
                  </w14:solidFill>
                </w14:textFill>
              </w:rPr>
              <w:t>）</w:t>
            </w:r>
            <w:r>
              <w:rPr>
                <w:rFonts w:hint="eastAsia" w:ascii="宋体" w:hAnsi="宋体" w:eastAsia="宋体" w:cs="宋体"/>
                <w:b/>
                <w:bCs/>
                <w:color w:val="000000" w:themeColor="text1"/>
                <w:spacing w:val="0"/>
                <w:sz w:val="24"/>
                <w:szCs w:val="24"/>
                <w:highlight w:val="none"/>
                <w14:textFill>
                  <w14:solidFill>
                    <w14:schemeClr w14:val="tx1"/>
                  </w14:solidFill>
                </w14:textFill>
              </w:rPr>
              <w:t>本项目代理服务费由成交供应商支付。</w:t>
            </w:r>
          </w:p>
          <w:p w14:paraId="0297A803">
            <w:pPr>
              <w:pStyle w:val="7"/>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b/>
                <w:bCs/>
                <w:color w:val="000000" w:themeColor="text1"/>
                <w:spacing w:val="0"/>
                <w:sz w:val="24"/>
                <w:szCs w:val="24"/>
                <w:highlight w:val="none"/>
                <w14:textFill>
                  <w14:solidFill>
                    <w14:schemeClr w14:val="tx1"/>
                  </w14:solidFill>
                </w14:textFill>
              </w:rPr>
            </w:pPr>
            <w:r>
              <w:rPr>
                <w:rFonts w:hint="eastAsia" w:ascii="宋体" w:hAnsi="宋体" w:eastAsia="宋体" w:cs="宋体"/>
                <w:b/>
                <w:bCs/>
                <w:color w:val="000000" w:themeColor="text1"/>
                <w:spacing w:val="0"/>
                <w:sz w:val="24"/>
                <w:szCs w:val="24"/>
                <w:highlight w:val="none"/>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代理服务费收取标准：1）以</w:t>
            </w:r>
            <w:r>
              <w:rPr>
                <w:rFonts w:hint="eastAsia" w:ascii="宋体" w:hAnsi="宋体" w:eastAsia="宋体" w:cs="宋体"/>
                <w:b/>
                <w:bCs/>
                <w:color w:val="000000" w:themeColor="text1"/>
                <w:sz w:val="24"/>
                <w:szCs w:val="24"/>
                <w:highlight w:val="none"/>
                <w:lang w:eastAsia="zh-CN"/>
                <w14:textFill>
                  <w14:solidFill>
                    <w14:schemeClr w14:val="tx1"/>
                  </w14:solidFill>
                </w14:textFill>
              </w:rPr>
              <w:t>成交</w:t>
            </w:r>
            <w:r>
              <w:rPr>
                <w:rFonts w:hint="eastAsia" w:ascii="宋体" w:hAnsi="宋体" w:eastAsia="宋体" w:cs="宋体"/>
                <w:b/>
                <w:bCs/>
                <w:color w:val="000000" w:themeColor="text1"/>
                <w:sz w:val="24"/>
                <w:szCs w:val="24"/>
                <w:highlight w:val="none"/>
                <w14:textFill>
                  <w14:solidFill>
                    <w14:schemeClr w14:val="tx1"/>
                  </w14:solidFill>
                </w14:textFill>
              </w:rPr>
              <w:t>通知书规定的</w:t>
            </w:r>
            <w:r>
              <w:rPr>
                <w:rFonts w:hint="eastAsia" w:ascii="宋体" w:hAnsi="宋体" w:eastAsia="宋体" w:cs="宋体"/>
                <w:b/>
                <w:bCs/>
                <w:color w:val="000000" w:themeColor="text1"/>
                <w:sz w:val="24"/>
                <w:szCs w:val="24"/>
                <w:highlight w:val="none"/>
                <w:lang w:eastAsia="zh-CN"/>
                <w14:textFill>
                  <w14:solidFill>
                    <w14:schemeClr w14:val="tx1"/>
                  </w14:solidFill>
                </w14:textFill>
              </w:rPr>
              <w:t>成交</w:t>
            </w:r>
            <w:r>
              <w:rPr>
                <w:rFonts w:hint="eastAsia" w:ascii="宋体" w:hAnsi="宋体" w:eastAsia="宋体" w:cs="宋体"/>
                <w:b/>
                <w:bCs/>
                <w:color w:val="000000" w:themeColor="text1"/>
                <w:sz w:val="24"/>
                <w:szCs w:val="24"/>
                <w:highlight w:val="none"/>
                <w14:textFill>
                  <w14:solidFill>
                    <w14:schemeClr w14:val="tx1"/>
                  </w14:solidFill>
                </w14:textFill>
              </w:rPr>
              <w:t>金额作为收费的计算基数,按差额定率累进法计算</w:t>
            </w:r>
            <w:r>
              <w:rPr>
                <w:rFonts w:hint="eastAsia" w:ascii="宋体" w:hAnsi="宋体" w:eastAsia="宋体" w:cs="宋体"/>
                <w:b/>
                <w:bCs/>
                <w:color w:val="000000" w:themeColor="text1"/>
                <w:spacing w:val="0"/>
                <w:sz w:val="24"/>
                <w:szCs w:val="24"/>
                <w:highlight w:val="none"/>
                <w:lang w:val="en-US" w:eastAsia="zh-CN"/>
                <w14:textFill>
                  <w14:solidFill>
                    <w14:schemeClr w14:val="tx1"/>
                  </w14:solidFill>
                </w14:textFill>
              </w:rPr>
              <w:t>后收取</w:t>
            </w:r>
            <w:r>
              <w:rPr>
                <w:rFonts w:hint="eastAsia" w:ascii="宋体" w:hAnsi="宋体" w:eastAsia="宋体" w:cs="宋体"/>
                <w:b/>
                <w:bCs/>
                <w:color w:val="000000" w:themeColor="text1"/>
                <w:sz w:val="24"/>
                <w:szCs w:val="24"/>
                <w:highlight w:val="none"/>
                <w14:textFill>
                  <w14:solidFill>
                    <w14:schemeClr w14:val="tx1"/>
                  </w14:solidFill>
                </w14:textFill>
              </w:rPr>
              <w:t>。2）收费费率标准：</w:t>
            </w:r>
            <w:r>
              <w:rPr>
                <w:rFonts w:hint="eastAsia" w:ascii="宋体" w:hAnsi="宋体" w:eastAsia="宋体" w:cs="宋体"/>
                <w:b/>
                <w:bCs/>
                <w:color w:val="000000" w:themeColor="text1"/>
                <w:sz w:val="24"/>
                <w:szCs w:val="24"/>
                <w:highlight w:val="none"/>
                <w:lang w:eastAsia="zh-CN"/>
                <w14:textFill>
                  <w14:solidFill>
                    <w14:schemeClr w14:val="tx1"/>
                  </w14:solidFill>
                </w14:textFill>
              </w:rPr>
              <w:t>成交</w:t>
            </w:r>
            <w:r>
              <w:rPr>
                <w:rFonts w:hint="eastAsia" w:ascii="宋体" w:hAnsi="宋体" w:eastAsia="宋体" w:cs="宋体"/>
                <w:b/>
                <w:bCs/>
                <w:color w:val="000000" w:themeColor="text1"/>
                <w:sz w:val="24"/>
                <w:szCs w:val="24"/>
                <w:highlight w:val="none"/>
                <w14:textFill>
                  <w14:solidFill>
                    <w14:schemeClr w14:val="tx1"/>
                  </w14:solidFill>
                </w14:textFill>
              </w:rPr>
              <w:t>金额（万元）</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0以下</w:t>
            </w:r>
            <w:r>
              <w:rPr>
                <w:rFonts w:hint="eastAsia" w:ascii="宋体" w:hAnsi="宋体" w:eastAsia="宋体" w:cs="宋体"/>
                <w:b/>
                <w:bCs/>
                <w:color w:val="000000" w:themeColor="text1"/>
                <w:sz w:val="24"/>
                <w:szCs w:val="24"/>
                <w:highlight w:val="none"/>
                <w:lang w:eastAsia="zh-CN"/>
                <w14:textFill>
                  <w14:solidFill>
                    <w14:schemeClr w14:val="tx1"/>
                  </w14:solidFill>
                </w14:textFill>
              </w:rPr>
              <w:t>，代理服务费按包干2000元；成交</w:t>
            </w:r>
            <w:r>
              <w:rPr>
                <w:rFonts w:hint="eastAsia" w:ascii="宋体" w:hAnsi="宋体" w:eastAsia="宋体" w:cs="宋体"/>
                <w:b/>
                <w:bCs/>
                <w:color w:val="000000" w:themeColor="text1"/>
                <w:sz w:val="24"/>
                <w:szCs w:val="24"/>
                <w:highlight w:val="none"/>
                <w14:textFill>
                  <w14:solidFill>
                    <w14:schemeClr w14:val="tx1"/>
                  </w14:solidFill>
                </w14:textFill>
              </w:rPr>
              <w:t>金额（万元）</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20-50，</w:t>
            </w:r>
            <w:r>
              <w:rPr>
                <w:rFonts w:hint="eastAsia" w:ascii="宋体" w:hAnsi="宋体" w:eastAsia="宋体" w:cs="宋体"/>
                <w:b/>
                <w:bCs/>
                <w:color w:val="000000" w:themeColor="text1"/>
                <w:sz w:val="24"/>
                <w:szCs w:val="24"/>
                <w:highlight w:val="none"/>
                <w14:textFill>
                  <w14:solidFill>
                    <w14:schemeClr w14:val="tx1"/>
                  </w14:solidFill>
                </w14:textFill>
              </w:rPr>
              <w:t>收费费率标准1.50％；3）</w:t>
            </w:r>
            <w:r>
              <w:rPr>
                <w:rFonts w:hint="eastAsia" w:ascii="宋体" w:hAnsi="宋体" w:eastAsia="宋体" w:cs="宋体"/>
                <w:b/>
                <w:bCs/>
                <w:color w:val="000000" w:themeColor="text1"/>
                <w:spacing w:val="0"/>
                <w:sz w:val="24"/>
                <w:szCs w:val="24"/>
                <w:highlight w:val="none"/>
                <w14:textFill>
                  <w14:solidFill>
                    <w14:schemeClr w14:val="tx1"/>
                  </w14:solidFill>
                </w14:textFill>
              </w:rPr>
              <w:t>代理服务费支付至以下账户：开户名：</w:t>
            </w:r>
            <w:r>
              <w:rPr>
                <w:rFonts w:hint="eastAsia" w:ascii="宋体" w:hAnsi="宋体" w:eastAsia="宋体" w:cs="宋体"/>
                <w:b/>
                <w:bCs/>
                <w:color w:val="000000" w:themeColor="text1"/>
                <w:spacing w:val="0"/>
                <w:sz w:val="24"/>
                <w:szCs w:val="24"/>
                <w:highlight w:val="none"/>
                <w:lang w:eastAsia="zh-CN"/>
                <w14:textFill>
                  <w14:solidFill>
                    <w14:schemeClr w14:val="tx1"/>
                  </w14:solidFill>
                </w14:textFill>
              </w:rPr>
              <w:t>福建省港城项目管理有限公司</w:t>
            </w:r>
            <w:r>
              <w:rPr>
                <w:rFonts w:hint="eastAsia" w:ascii="宋体" w:hAnsi="宋体" w:eastAsia="宋体" w:cs="宋体"/>
                <w:b/>
                <w:bCs/>
                <w:color w:val="000000" w:themeColor="text1"/>
                <w:spacing w:val="0"/>
                <w:sz w:val="24"/>
                <w:szCs w:val="24"/>
                <w:highlight w:val="none"/>
                <w14:textFill>
                  <w14:solidFill>
                    <w14:schemeClr w14:val="tx1"/>
                  </w14:solidFill>
                </w14:textFill>
              </w:rPr>
              <w:t>；开户行：</w:t>
            </w:r>
            <w:r>
              <w:rPr>
                <w:rFonts w:hint="eastAsia" w:ascii="宋体" w:hAnsi="宋体" w:eastAsia="宋体" w:cs="宋体"/>
                <w:b/>
                <w:bCs/>
                <w:color w:val="000000" w:themeColor="text1"/>
                <w:spacing w:val="0"/>
                <w:sz w:val="24"/>
                <w:szCs w:val="24"/>
                <w:highlight w:val="none"/>
                <w:lang w:val="en-US" w:eastAsia="zh-CN"/>
                <w14:textFill>
                  <w14:solidFill>
                    <w14:schemeClr w14:val="tx1"/>
                  </w14:solidFill>
                </w14:textFill>
              </w:rPr>
              <w:t>福建莆田农村商业银行股份有限公司行政服务中心支行；账  号：9040210030010000032002</w:t>
            </w:r>
            <w:r>
              <w:rPr>
                <w:rFonts w:hint="eastAsia" w:ascii="宋体" w:hAnsi="宋体" w:eastAsia="宋体" w:cs="宋体"/>
                <w:b/>
                <w:bCs/>
                <w:color w:val="000000" w:themeColor="text1"/>
                <w:spacing w:val="0"/>
                <w:sz w:val="24"/>
                <w:szCs w:val="24"/>
                <w:highlight w:val="none"/>
                <w14:textFill>
                  <w14:solidFill>
                    <w14:schemeClr w14:val="tx1"/>
                  </w14:solidFill>
                </w14:textFill>
              </w:rPr>
              <w:t>。</w:t>
            </w:r>
          </w:p>
          <w:p w14:paraId="7F682CFE">
            <w:pPr>
              <w:pStyle w:val="7"/>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b/>
                <w:bCs/>
                <w:color w:val="000000" w:themeColor="text1"/>
                <w:spacing w:val="0"/>
                <w:sz w:val="24"/>
                <w:szCs w:val="24"/>
                <w:highlight w:val="none"/>
                <w14:textFill>
                  <w14:solidFill>
                    <w14:schemeClr w14:val="tx1"/>
                  </w14:solidFill>
                </w14:textFill>
              </w:rPr>
            </w:pPr>
          </w:p>
          <w:p w14:paraId="307FFF7C">
            <w:pPr>
              <w:pStyle w:val="7"/>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kern w:val="0"/>
                <w:sz w:val="24"/>
                <w:szCs w:val="24"/>
                <w:highlight w:val="none"/>
                <w:lang w:val="en-US" w:eastAsia="zh-CN" w:bidi="ar"/>
                <w14:textFill>
                  <w14:solidFill>
                    <w14:schemeClr w14:val="tx1"/>
                  </w14:solidFill>
                </w14:textFill>
              </w:rPr>
              <w:t>2.</w:t>
            </w:r>
            <w:r>
              <w:rPr>
                <w:rStyle w:val="12"/>
                <w:rFonts w:hint="eastAsia" w:ascii="宋体" w:hAnsi="宋体" w:eastAsia="宋体" w:cs="宋体"/>
                <w:b/>
                <w:bCs w:val="0"/>
                <w:color w:val="000000" w:themeColor="text1"/>
                <w:kern w:val="0"/>
                <w:sz w:val="24"/>
                <w:szCs w:val="24"/>
                <w:highlight w:val="none"/>
                <w:lang w:val="en-US" w:eastAsia="zh-CN" w:bidi="ar"/>
                <w14:textFill>
                  <w14:solidFill>
                    <w14:schemeClr w14:val="tx1"/>
                  </w14:solidFill>
                </w14:textFill>
              </w:rPr>
              <w:t>供应商须带空白报价函加盖单位公章以备现场二次报价，供应商最终报价不能高于首次报价，若高于首次报价为无效报价。</w:t>
            </w:r>
            <w:r>
              <w:rPr>
                <w:rFonts w:hint="eastAsia" w:ascii="宋体" w:hAnsi="宋体" w:eastAsia="宋体" w:cs="宋体"/>
                <w:color w:val="000000" w:themeColor="text1"/>
                <w:spacing w:val="0"/>
                <w:sz w:val="24"/>
                <w:szCs w:val="24"/>
                <w:highlight w:val="none"/>
                <w14:textFill>
                  <w14:solidFill>
                    <w14:schemeClr w14:val="tx1"/>
                  </w14:solidFill>
                </w14:textFill>
              </w:rPr>
              <w:t xml:space="preserve"> </w:t>
            </w:r>
          </w:p>
          <w:p w14:paraId="0D6BD8E6">
            <w:pPr>
              <w:pStyle w:val="7"/>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p>
          <w:p w14:paraId="22EC6E7B">
            <w:pPr>
              <w:pStyle w:val="7"/>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textAlignment w:val="auto"/>
              <w:rPr>
                <w:rFonts w:hint="eastAsia" w:ascii="宋体" w:hAnsi="宋体" w:eastAsia="宋体" w:cs="宋体"/>
                <w:color w:val="000000" w:themeColor="text1"/>
                <w:spacing w:val="0"/>
                <w:sz w:val="24"/>
                <w:szCs w:val="24"/>
                <w:highlight w:val="none"/>
                <w:lang w:eastAsia="zh-CN"/>
                <w14:textFill>
                  <w14:solidFill>
                    <w14:schemeClr w14:val="tx1"/>
                  </w14:solidFill>
                </w14:textFill>
              </w:rPr>
            </w:pPr>
            <w:r>
              <w:rPr>
                <w:rFonts w:hint="eastAsia" w:ascii="宋体" w:hAnsi="宋体" w:cs="宋体"/>
                <w:color w:val="000000" w:themeColor="text1"/>
                <w:spacing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pacing w:val="0"/>
                <w:sz w:val="24"/>
                <w:szCs w:val="24"/>
                <w:highlight w:val="none"/>
                <w14:textFill>
                  <w14:solidFill>
                    <w14:schemeClr w14:val="tx1"/>
                  </w14:solidFill>
                </w14:textFill>
              </w:rPr>
              <w:t>其他：</w:t>
            </w:r>
          </w:p>
          <w:p w14:paraId="6E85264E">
            <w:pPr>
              <w:pStyle w:val="7"/>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right="0" w:rightChars="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xml:space="preserve">（1）本项目预算价为最高限价，具体金额见本磋商文件第一章《采购邀请书》4.采购内容及要求，报价人的首次报价或最后报价超过最高限价的，均被视为未实质性响应竞争性磋商文件规定，其响应文件将被否决。（2）磋商供应商未按要求提交最后报价或供应商的最后报价超过其首次报价的，将被视为未实质性响应竞争性磋商文件规定，其响应文件将被否决。（3）除响应文件的装订、纸张、文件排序等非实质性的格式、形式问题以及磋商文件另有规定以外，纸质首次响应文件应符合第二章第2节竞争性磋商须知“8.首次响应文件的组成”、“11.响应文件基本编制要求”规定，否则将被视为未实质性响应竞争性磋商文件规定 ，其响应文件将被否决。 （4）报价人的技术部分F2实际得分少于本竞争性磋商文件设定的技术部分总分50%的，将被视为未实质性响应竞争性磋商文件规定 ，其响应文件将被否决。 （5）响应文件将被拒收、响应文件将被否决、无效报价及废标条款：具体内容详见竞争性磋商文件各章节，请各报价人认真查看对照。 </w:t>
            </w:r>
          </w:p>
        </w:tc>
      </w:tr>
    </w:tbl>
    <w:p w14:paraId="0F7AF1BC">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r>
        <w:rPr>
          <w:rFonts w:hint="eastAsia" w:ascii="宋体" w:hAnsi="宋体" w:eastAsia="宋体" w:cs="宋体"/>
          <w:color w:val="000000" w:themeColor="text1"/>
          <w:spacing w:val="0"/>
          <w:sz w:val="28"/>
          <w:szCs w:val="28"/>
          <w:highlight w:val="none"/>
          <w14:textFill>
            <w14:solidFill>
              <w14:schemeClr w14:val="tx1"/>
            </w14:solidFill>
          </w14:textFill>
        </w:rPr>
        <w:t> </w:t>
      </w:r>
    </w:p>
    <w:p w14:paraId="540B7B5B">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31"/>
          <w:szCs w:val="31"/>
          <w:highlight w:val="none"/>
          <w14:textFill>
            <w14:solidFill>
              <w14:schemeClr w14:val="tx1"/>
            </w14:solidFill>
          </w14:textFill>
        </w:rPr>
        <w:t>专项附件：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r>
        <w:rPr>
          <w:rStyle w:val="12"/>
          <w:rFonts w:hint="eastAsia" w:ascii="宋体" w:hAnsi="宋体" w:cs="宋体"/>
          <w:b/>
          <w:bCs/>
          <w:color w:val="000000" w:themeColor="text1"/>
          <w:spacing w:val="0"/>
          <w:sz w:val="24"/>
          <w:szCs w:val="24"/>
          <w:highlight w:val="none"/>
          <w:lang w:val="en-US" w:eastAsia="zh-CN"/>
          <w14:textFill>
            <w14:solidFill>
              <w14:schemeClr w14:val="tx1"/>
            </w14:solidFill>
          </w14:textFill>
        </w:rPr>
        <w:t xml:space="preserve">    </w:t>
      </w:r>
      <w:r>
        <w:rPr>
          <w:rStyle w:val="12"/>
          <w:rFonts w:hint="eastAsia" w:ascii="宋体" w:hAnsi="宋体" w:eastAsia="宋体" w:cs="宋体"/>
          <w:b/>
          <w:bCs/>
          <w:color w:val="000000" w:themeColor="text1"/>
          <w:spacing w:val="0"/>
          <w:sz w:val="31"/>
          <w:szCs w:val="31"/>
          <w:highlight w:val="none"/>
          <w14:textFill>
            <w14:solidFill>
              <w14:schemeClr w14:val="tx1"/>
            </w14:solidFill>
          </w14:textFill>
        </w:rPr>
        <w:t>评审的标准和方法</w:t>
      </w:r>
    </w:p>
    <w:p w14:paraId="279BDC30">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一、磋商小组</w:t>
      </w:r>
    </w:p>
    <w:p w14:paraId="0CA69946">
      <w:pPr>
        <w:pStyle w:val="7"/>
        <w:keepNext w:val="0"/>
        <w:keepLines w:val="0"/>
        <w:widowControl/>
        <w:suppressLineNumbers w:val="0"/>
        <w:spacing w:before="75" w:beforeAutospacing="0" w:after="75" w:afterAutospacing="0" w:line="42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651B8B7B">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24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1.1采购人根据项目的特点依法组建磋商小组。</w:t>
      </w:r>
    </w:p>
    <w:p w14:paraId="5F7FBD2C">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24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1.2磋商小组</w:t>
      </w:r>
    </w:p>
    <w:p w14:paraId="7CC5837F">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right="0" w:firstLine="240" w:firstLineChars="10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由采购人代表和评审专家两部分（以下简称“评委”）共</w:t>
      </w:r>
      <w:r>
        <w:rPr>
          <w:rFonts w:hint="eastAsia" w:ascii="宋体" w:hAnsi="宋体" w:eastAsia="宋体" w:cs="宋体"/>
          <w:color w:val="000000" w:themeColor="text1"/>
          <w:spacing w:val="0"/>
          <w:sz w:val="24"/>
          <w:szCs w:val="24"/>
          <w:highlight w:val="none"/>
          <w:u w:val="single"/>
          <w14:textFill>
            <w14:solidFill>
              <w14:schemeClr w14:val="tx1"/>
            </w14:solidFill>
          </w14:textFill>
        </w:rPr>
        <w:t>3</w:t>
      </w:r>
      <w:r>
        <w:rPr>
          <w:rFonts w:hint="eastAsia" w:ascii="宋体" w:hAnsi="宋体" w:eastAsia="宋体" w:cs="宋体"/>
          <w:color w:val="000000" w:themeColor="text1"/>
          <w:spacing w:val="0"/>
          <w:sz w:val="24"/>
          <w:szCs w:val="24"/>
          <w:highlight w:val="none"/>
          <w14:textFill>
            <w14:solidFill>
              <w14:schemeClr w14:val="tx1"/>
            </w14:solidFill>
          </w14:textFill>
        </w:rPr>
        <w:t>人组成，其中：采购人代表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1</w:t>
      </w:r>
      <w:r>
        <w:rPr>
          <w:rFonts w:hint="eastAsia" w:ascii="宋体" w:hAnsi="宋体" w:eastAsia="宋体" w:cs="宋体"/>
          <w:color w:val="000000" w:themeColor="text1"/>
          <w:spacing w:val="0"/>
          <w:sz w:val="24"/>
          <w:szCs w:val="24"/>
          <w:highlight w:val="none"/>
          <w14:textFill>
            <w14:solidFill>
              <w14:schemeClr w14:val="tx1"/>
            </w14:solidFill>
          </w14:textFill>
        </w:rPr>
        <w:t>人由采购人派出，评审专家</w:t>
      </w:r>
      <w:r>
        <w:rPr>
          <w:rFonts w:hint="eastAsia" w:ascii="宋体" w:hAnsi="宋体" w:eastAsia="宋体" w:cs="宋体"/>
          <w:color w:val="000000" w:themeColor="text1"/>
          <w:spacing w:val="0"/>
          <w:sz w:val="24"/>
          <w:szCs w:val="24"/>
          <w:highlight w:val="none"/>
          <w:u w:val="single"/>
          <w14:textFill>
            <w14:solidFill>
              <w14:schemeClr w14:val="tx1"/>
            </w14:solidFill>
          </w14:textFill>
        </w:rPr>
        <w:t>2</w:t>
      </w:r>
      <w:r>
        <w:rPr>
          <w:rFonts w:hint="eastAsia" w:ascii="宋体" w:hAnsi="宋体" w:eastAsia="宋体" w:cs="宋体"/>
          <w:color w:val="000000" w:themeColor="text1"/>
          <w:spacing w:val="0"/>
          <w:sz w:val="24"/>
          <w:szCs w:val="24"/>
          <w:highlight w:val="none"/>
          <w14:textFill>
            <w14:solidFill>
              <w14:schemeClr w14:val="tx1"/>
            </w14:solidFill>
          </w14:textFill>
        </w:rPr>
        <w:t>人由福建省政府采购评审专家库产生。技术复杂、专业性强的采购项目，评审专家中应当包含1名法律专家。</w:t>
      </w:r>
    </w:p>
    <w:p w14:paraId="199199B3">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24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1.3磋商小组负责具体磋商和评审事务，并按照下列原则依法独立履行有关职责：</w:t>
      </w:r>
    </w:p>
    <w:p w14:paraId="5EC57F7A">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48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1.3.1评审应保护国家利益、社会公共利益和各方当事人合法权益，提高采购效益，保证项目质量。</w:t>
      </w:r>
    </w:p>
    <w:p w14:paraId="0F564389">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48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1.3.2评审应遵循公平、公正、科学、严谨和择优原则。</w:t>
      </w:r>
    </w:p>
    <w:p w14:paraId="6F010A55">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48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1.3.3评审的依据是磋商文件和响应文件，磋商文件中没有规定的评审标准不得作为评审依据。</w:t>
      </w:r>
    </w:p>
    <w:p w14:paraId="489F8C48">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48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1.3.4磋商小组应按照磋商文件规定推荐成交候选供应商或根据采购人的授权确定成交人。</w:t>
      </w:r>
    </w:p>
    <w:p w14:paraId="7631E46B">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48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1.3.5评审应遵守下列评审纪律：</w:t>
      </w:r>
    </w:p>
    <w:p w14:paraId="7E18965C">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48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①评审情况不得私自外泄，有关信息由采购人或其委托的代理机构统一对外发布。</w:t>
      </w:r>
    </w:p>
    <w:p w14:paraId="6D2E0C7C">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48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②对采购人或供应商提供的要求保密的资料，不得摘记翻印和外传。</w:t>
      </w:r>
    </w:p>
    <w:p w14:paraId="1333540B">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48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③不得收受供应商或有关人员的任何礼物，不得串联鼓动其他人袒护某供应商。若与供应商存在利害关系，则应主动声明并回避。</w:t>
      </w:r>
    </w:p>
    <w:p w14:paraId="2937708D">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48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④全体磋商小组成员应按照磋商文件规定进行评审，一切认定事项应查有实据且不得弄虚作假。</w:t>
      </w:r>
    </w:p>
    <w:p w14:paraId="573FE03E">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48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⑤评审中应充分发扬民主，推荐成交人候选人或根据采购人授权确定成交人后要服从评审报告。</w:t>
      </w:r>
    </w:p>
    <w:p w14:paraId="4740A4A0">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480"/>
        <w:textAlignment w:val="auto"/>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※对违反评审纪律的评委，将取消其评委资格，对评审工作造成严重损失者将予以通报批评乃至追究法律责任。</w:t>
      </w:r>
    </w:p>
    <w:p w14:paraId="5A76F504">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0"/>
        <w:jc w:val="center"/>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二、</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磋商程序</w:t>
      </w:r>
    </w:p>
    <w:p w14:paraId="4DD4E645">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65306B70">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24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2.1磋商程序按照磋商文件第二章第2节“竞争性磋商须知”第14 条“磋商程序以及评审标准和方法”的相关条款规定执行。</w:t>
      </w:r>
    </w:p>
    <w:p w14:paraId="3F094972">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24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14:paraId="60EF4F7C">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240"/>
        <w:textAlignment w:val="auto"/>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无。</w:t>
      </w:r>
    </w:p>
    <w:p w14:paraId="6417164F">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24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2.3只有资格审查和实质性响应审查均合格且按规定提交最后报价的合格供应商才能参加综合评分。</w:t>
      </w:r>
    </w:p>
    <w:p w14:paraId="6DAD0D6B">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58B7BF0D">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0"/>
        <w:jc w:val="center"/>
        <w:textAlignment w:val="auto"/>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三、综合评分的标准和方法</w:t>
      </w:r>
    </w:p>
    <w:p w14:paraId="492B79AF">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58AD1B8F">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24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3.1磋商小组将采用综合评分法对提交最后报价的合格供应商的响应文件和最后报价进行综合评分。如果磋商项目有多个合同包，则按相应合同包分别进行，具体综合评分的标准和方法如下：</w:t>
      </w:r>
    </w:p>
    <w:p w14:paraId="3EA177B4">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465"/>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3.3.1磋商小组将对相应合同包提交最后报价的合格供应商从技术、商务及报价部分分别进行评议并评分，并汇总出技术、商务及报价部分的综合得分。各合同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14:paraId="6E9BC02A">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465"/>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3.3.2具体评审标准和方法：</w:t>
      </w:r>
    </w:p>
    <w:p w14:paraId="78465E47">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48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（1）响应文件满足磋商文件全部实质性要求，且按照评审因素的量化指标综合评审总得分从高到低顺序推荐3名以上成交候选人供应商，其中评审总得分最高的供应商为第一成交候选供应商。</w:t>
      </w:r>
    </w:p>
    <w:p w14:paraId="7FA458E6">
      <w:pPr>
        <w:pStyle w:val="7"/>
        <w:keepNext w:val="0"/>
        <w:keepLines w:val="0"/>
        <w:pageBreakBefore w:val="0"/>
        <w:widowControl/>
        <w:suppressLineNumbers w:val="0"/>
        <w:kinsoku/>
        <w:wordWrap/>
        <w:overflowPunct/>
        <w:topLinePunct w:val="0"/>
        <w:autoSpaceDE/>
        <w:autoSpaceDN/>
        <w:bidi w:val="0"/>
        <w:adjustRightInd/>
        <w:snapToGrid/>
        <w:spacing w:before="32" w:beforeLines="10" w:beforeAutospacing="0" w:after="32" w:afterLines="10" w:afterAutospacing="0" w:line="240" w:lineRule="auto"/>
        <w:ind w:left="0" w:right="0" w:firstLine="48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64F89A38">
      <w:pPr>
        <w:pStyle w:val="7"/>
        <w:keepNext w:val="0"/>
        <w:keepLines w:val="0"/>
        <w:widowControl/>
        <w:suppressLineNumbers w:val="0"/>
        <w:spacing w:before="75" w:beforeAutospacing="0" w:after="75" w:afterAutospacing="0" w:line="405" w:lineRule="atLeast"/>
        <w:ind w:left="0" w:right="0" w:firstLine="480"/>
        <w:rPr>
          <w:rFonts w:ascii="宋体" w:hAnsi="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（3）各项评审因素的设置如下：</w:t>
      </w:r>
    </w:p>
    <w:p w14:paraId="06CCA441">
      <w:pPr>
        <w:pStyle w:val="7"/>
        <w:widowControl/>
        <w:spacing w:before="75" w:beforeAutospacing="0" w:after="75" w:afterAutospacing="0"/>
        <w:ind w:firstLine="48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包1</w:t>
      </w:r>
    </w:p>
    <w:p w14:paraId="1214BE84">
      <w:pPr>
        <w:pStyle w:val="7"/>
        <w:widowControl/>
        <w:numPr>
          <w:ilvl w:val="0"/>
          <w:numId w:val="1"/>
        </w:numPr>
        <w:spacing w:before="0" w:beforeAutospacing="0" w:after="150" w:afterAutospacing="0"/>
        <w:ind w:firstLine="480"/>
        <w:rPr>
          <w:rStyle w:val="12"/>
          <w:rFonts w:hint="eastAsia" w:ascii="宋体" w:hAnsi="宋体" w:cs="宋体"/>
          <w:bCs/>
          <w:color w:val="000000" w:themeColor="text1"/>
          <w:sz w:val="21"/>
          <w:szCs w:val="21"/>
          <w:highlight w:val="none"/>
          <w14:textFill>
            <w14:solidFill>
              <w14:schemeClr w14:val="tx1"/>
            </w14:solidFill>
          </w14:textFill>
        </w:rPr>
      </w:pPr>
      <w:r>
        <w:rPr>
          <w:rStyle w:val="12"/>
          <w:rFonts w:hint="eastAsia" w:ascii="宋体" w:hAnsi="宋体" w:cs="宋体"/>
          <w:bCs/>
          <w:color w:val="000000" w:themeColor="text1"/>
          <w:sz w:val="21"/>
          <w:szCs w:val="21"/>
          <w:highlight w:val="none"/>
          <w14:textFill>
            <w14:solidFill>
              <w14:schemeClr w14:val="tx1"/>
            </w14:solidFill>
          </w14:textFill>
        </w:rPr>
        <w:t>技术部分评分PT     满分</w:t>
      </w:r>
      <w:r>
        <w:rPr>
          <w:rStyle w:val="12"/>
          <w:rFonts w:hint="eastAsia" w:ascii="宋体" w:hAnsi="宋体" w:cs="宋体"/>
          <w:bCs/>
          <w:color w:val="000000" w:themeColor="text1"/>
          <w:sz w:val="21"/>
          <w:szCs w:val="21"/>
          <w:highlight w:val="none"/>
          <w:u w:val="single"/>
          <w:lang w:val="en-US" w:eastAsia="zh-CN"/>
          <w14:textFill>
            <w14:solidFill>
              <w14:schemeClr w14:val="tx1"/>
            </w14:solidFill>
          </w14:textFill>
        </w:rPr>
        <w:t>75</w:t>
      </w:r>
      <w:r>
        <w:rPr>
          <w:rStyle w:val="12"/>
          <w:rFonts w:hint="eastAsia" w:ascii="宋体" w:hAnsi="宋体" w:cs="宋体"/>
          <w:bCs/>
          <w:color w:val="000000" w:themeColor="text1"/>
          <w:sz w:val="21"/>
          <w:szCs w:val="21"/>
          <w:highlight w:val="none"/>
          <w14:textFill>
            <w14:solidFill>
              <w14:schemeClr w14:val="tx1"/>
            </w14:solidFill>
          </w14:textFill>
        </w:rPr>
        <w:t>分（备注：★技术部分所有评委平均得分低于该部分总分的50%的，视为无效投标。 ）</w:t>
      </w:r>
    </w:p>
    <w:tbl>
      <w:tblPr>
        <w:tblStyle w:val="10"/>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1"/>
        <w:gridCol w:w="563"/>
        <w:gridCol w:w="8193"/>
      </w:tblGrid>
      <w:tr w14:paraId="42B6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541" w:type="dxa"/>
            <w:shd w:val="clear" w:color="auto" w:fill="FFFFFF"/>
            <w:noWrap w:val="0"/>
            <w:vAlign w:val="center"/>
          </w:tcPr>
          <w:p w14:paraId="58CAB2E5">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lang w:bidi="ar"/>
                <w14:textFill>
                  <w14:solidFill>
                    <w14:schemeClr w14:val="tx1"/>
                  </w14:solidFill>
                </w14:textFill>
              </w:rPr>
              <w:t>评审项目</w:t>
            </w:r>
          </w:p>
        </w:tc>
        <w:tc>
          <w:tcPr>
            <w:tcW w:w="563" w:type="dxa"/>
            <w:shd w:val="clear" w:color="auto" w:fill="FFFFFF"/>
            <w:noWrap w:val="0"/>
            <w:vAlign w:val="center"/>
          </w:tcPr>
          <w:p w14:paraId="60886283">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lang w:bidi="ar"/>
                <w14:textFill>
                  <w14:solidFill>
                    <w14:schemeClr w14:val="tx1"/>
                  </w14:solidFill>
                </w14:textFill>
              </w:rPr>
              <w:t>评审分值</w:t>
            </w:r>
          </w:p>
        </w:tc>
        <w:tc>
          <w:tcPr>
            <w:tcW w:w="8193" w:type="dxa"/>
            <w:shd w:val="clear" w:color="auto" w:fill="FFFFFF"/>
            <w:noWrap w:val="0"/>
            <w:vAlign w:val="center"/>
          </w:tcPr>
          <w:p w14:paraId="6DA95737">
            <w:pPr>
              <w:spacing w:line="360" w:lineRule="auto"/>
              <w:rPr>
                <w:color w:val="000000" w:themeColor="text1"/>
                <w:highlight w:val="none"/>
                <w14:textFill>
                  <w14:solidFill>
                    <w14:schemeClr w14:val="tx1"/>
                  </w14:solidFill>
                </w14:textFill>
              </w:rPr>
            </w:pPr>
            <w:r>
              <w:rPr>
                <w:rFonts w:hint="eastAsia"/>
                <w:color w:val="000000" w:themeColor="text1"/>
                <w:highlight w:val="none"/>
                <w:lang w:bidi="ar"/>
                <w14:textFill>
                  <w14:solidFill>
                    <w14:schemeClr w14:val="tx1"/>
                  </w14:solidFill>
                </w14:textFill>
              </w:rPr>
              <w:t>评审方法描述</w:t>
            </w:r>
          </w:p>
        </w:tc>
      </w:tr>
      <w:tr w14:paraId="7E38A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1" w:type="dxa"/>
            <w:shd w:val="clear" w:color="auto" w:fill="FFFFFF"/>
            <w:noWrap w:val="0"/>
            <w:vAlign w:val="center"/>
          </w:tcPr>
          <w:p w14:paraId="5B04D456">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T1</w:t>
            </w:r>
          </w:p>
        </w:tc>
        <w:tc>
          <w:tcPr>
            <w:tcW w:w="563" w:type="dxa"/>
            <w:shd w:val="clear" w:color="auto" w:fill="FFFFFF"/>
            <w:noWrap w:val="0"/>
            <w:vAlign w:val="center"/>
          </w:tcPr>
          <w:p w14:paraId="0953AB33">
            <w:pPr>
              <w:spacing w:line="360" w:lineRule="auto"/>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40</w:t>
            </w:r>
          </w:p>
        </w:tc>
        <w:tc>
          <w:tcPr>
            <w:tcW w:w="8193" w:type="dxa"/>
            <w:shd w:val="clear" w:color="auto" w:fill="FFFFFF"/>
            <w:noWrap w:val="0"/>
            <w:vAlign w:val="center"/>
          </w:tcPr>
          <w:p w14:paraId="085DC268">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根据投标人在技术参数中标注“▲”标识的参数的响应情况，并结合提供的相关佐证材料，由磋商小组进行评分，共计40项：</w:t>
            </w:r>
          </w:p>
          <w:p w14:paraId="00D0414E">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 若完全按照要求提供了证明材料且满足磋商文件的要求，则每一项得1分，最高可得40分。</w:t>
            </w:r>
          </w:p>
          <w:p w14:paraId="1EF4460C">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 若提供的材料不完整，则每一项得0.5分，最高可得20分。</w:t>
            </w:r>
          </w:p>
          <w:p w14:paraId="1A358794">
            <w:pPr>
              <w:spacing w:line="360" w:lineRule="auto"/>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 未能提供相关证明材料的，则该项不得分。</w:t>
            </w:r>
          </w:p>
        </w:tc>
      </w:tr>
      <w:tr w14:paraId="272F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1" w:type="dxa"/>
            <w:shd w:val="clear" w:color="auto" w:fill="FFFFFF"/>
            <w:noWrap w:val="0"/>
            <w:vAlign w:val="center"/>
          </w:tcPr>
          <w:p w14:paraId="70EC9F82">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T2</w:t>
            </w:r>
          </w:p>
        </w:tc>
        <w:tc>
          <w:tcPr>
            <w:tcW w:w="563" w:type="dxa"/>
            <w:shd w:val="clear" w:color="auto" w:fill="FFFFFF"/>
            <w:noWrap w:val="0"/>
            <w:vAlign w:val="center"/>
          </w:tcPr>
          <w:p w14:paraId="0AF09BC1">
            <w:pPr>
              <w:spacing w:line="360" w:lineRule="auto"/>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5</w:t>
            </w:r>
          </w:p>
        </w:tc>
        <w:tc>
          <w:tcPr>
            <w:tcW w:w="8193" w:type="dxa"/>
            <w:shd w:val="clear" w:color="auto" w:fill="FFFFFF"/>
            <w:noWrap w:val="0"/>
            <w:vAlign w:val="center"/>
          </w:tcPr>
          <w:p w14:paraId="6FFDC186">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投标人需对“</w:t>
            </w:r>
            <w:r>
              <w:rPr>
                <w:rFonts w:hint="eastAsia"/>
                <w:color w:val="000000" w:themeColor="text1"/>
                <w:highlight w:val="none"/>
                <w14:textFill>
                  <w14:solidFill>
                    <w14:schemeClr w14:val="tx1"/>
                  </w14:solidFill>
                </w14:textFill>
              </w:rPr>
              <w:t>技术和服务要求</w:t>
            </w:r>
            <w:r>
              <w:rPr>
                <w:rFonts w:hint="eastAsia"/>
                <w:color w:val="000000" w:themeColor="text1"/>
                <w:highlight w:val="none"/>
                <w:lang w:val="en-US" w:eastAsia="zh-CN"/>
                <w14:textFill>
                  <w14:solidFill>
                    <w14:schemeClr w14:val="tx1"/>
                  </w14:solidFill>
                </w14:textFill>
              </w:rPr>
              <w:t>中”标注“</w:t>
            </w:r>
            <w:r>
              <w:rPr>
                <w:rFonts w:hint="eastAsia" w:hAnsi="宋体"/>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”的功能点进行点对点演示</w:t>
            </w:r>
            <w:r>
              <w:rPr>
                <w:rFonts w:hint="eastAsia"/>
                <w:color w:val="000000" w:themeColor="text1"/>
                <w:highlight w:val="none"/>
                <w14:textFill>
                  <w14:solidFill>
                    <w14:schemeClr w14:val="tx1"/>
                  </w14:solidFill>
                </w14:textFill>
              </w:rPr>
              <w:t>（按照功能描述逐条演示）。</w:t>
            </w:r>
          </w:p>
          <w:p w14:paraId="32C9177D">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共计</w:t>
            </w:r>
            <w:r>
              <w:rPr>
                <w:rFonts w:hint="eastAsia"/>
                <w:color w:val="000000" w:themeColor="text1"/>
                <w:highlight w:val="none"/>
                <w:lang w:val="en-US" w:eastAsia="zh-CN"/>
                <w14:textFill>
                  <w14:solidFill>
                    <w14:schemeClr w14:val="tx1"/>
                  </w14:solidFill>
                </w14:textFill>
              </w:rPr>
              <w:t>15</w:t>
            </w:r>
            <w:r>
              <w:rPr>
                <w:rFonts w:hint="eastAsia"/>
                <w:color w:val="000000" w:themeColor="text1"/>
                <w:highlight w:val="none"/>
                <w14:textFill>
                  <w14:solidFill>
                    <w14:schemeClr w14:val="tx1"/>
                  </w14:solidFill>
                </w14:textFill>
              </w:rPr>
              <w:t>项，完全演示出全部业务功能的，得</w:t>
            </w:r>
            <w:r>
              <w:rPr>
                <w:rFonts w:hint="eastAsia"/>
                <w:color w:val="000000" w:themeColor="text1"/>
                <w:highlight w:val="none"/>
                <w:lang w:val="en-US" w:eastAsia="zh-CN"/>
                <w14:textFill>
                  <w14:solidFill>
                    <w14:schemeClr w14:val="tx1"/>
                  </w14:solidFill>
                </w14:textFill>
              </w:rPr>
              <w:t>15</w:t>
            </w:r>
            <w:r>
              <w:rPr>
                <w:rFonts w:hint="eastAsia"/>
                <w:color w:val="000000" w:themeColor="text1"/>
                <w:highlight w:val="none"/>
                <w14:textFill>
                  <w14:solidFill>
                    <w14:schemeClr w14:val="tx1"/>
                  </w14:solidFill>
                </w14:textFill>
              </w:rPr>
              <w:t>分，每有一条要求没有完整演示或未演示的扣</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分，扣完即止。</w:t>
            </w:r>
          </w:p>
          <w:p w14:paraId="4310CFA6">
            <w:pPr>
              <w:spacing w:line="360" w:lineRule="auto"/>
              <w:rPr>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注：需进行演示的条款，供应商自行携带设备现场显示</w:t>
            </w:r>
            <w:r>
              <w:rPr>
                <w:rFonts w:hint="eastAsia"/>
                <w:b/>
                <w:bCs/>
                <w:color w:val="000000" w:themeColor="text1"/>
                <w:highlight w:val="none"/>
                <w:lang w:eastAsia="zh-CN"/>
                <w14:textFill>
                  <w14:solidFill>
                    <w14:schemeClr w14:val="tx1"/>
                  </w14:solidFill>
                </w14:textFill>
              </w:rPr>
              <w:t>，</w:t>
            </w:r>
            <w:r>
              <w:rPr>
                <w:rFonts w:hint="eastAsia"/>
                <w:b/>
                <w:bCs/>
                <w:color w:val="000000" w:themeColor="text1"/>
                <w:highlight w:val="none"/>
                <w14:textFill>
                  <w14:solidFill>
                    <w14:schemeClr w14:val="tx1"/>
                  </w14:solidFill>
                </w14:textFill>
              </w:rPr>
              <w:t>不接受demo、视频动画、PPT、图像、图片等静态功能演示</w:t>
            </w:r>
            <w:r>
              <w:rPr>
                <w:rFonts w:hint="eastAsia"/>
                <w:b/>
                <w:bCs/>
                <w:color w:val="000000" w:themeColor="text1"/>
                <w:highlight w:val="none"/>
                <w:lang w:eastAsia="zh-CN"/>
                <w14:textFill>
                  <w14:solidFill>
                    <w14:schemeClr w14:val="tx1"/>
                  </w14:solidFill>
                </w14:textFill>
              </w:rPr>
              <w:t>，</w:t>
            </w:r>
            <w:r>
              <w:rPr>
                <w:rFonts w:hint="eastAsia"/>
                <w:b/>
                <w:bCs/>
                <w:color w:val="000000" w:themeColor="text1"/>
                <w:highlight w:val="none"/>
                <w14:textFill>
                  <w14:solidFill>
                    <w14:schemeClr w14:val="tx1"/>
                  </w14:solidFill>
                </w14:textFill>
              </w:rPr>
              <w:t>演示时间不超过15分钟。</w:t>
            </w:r>
          </w:p>
        </w:tc>
      </w:tr>
      <w:tr w14:paraId="2D9A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1" w:type="dxa"/>
            <w:shd w:val="clear" w:color="auto" w:fill="FFFFFF"/>
            <w:noWrap w:val="0"/>
            <w:vAlign w:val="center"/>
          </w:tcPr>
          <w:p w14:paraId="379E554E">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T3</w:t>
            </w:r>
          </w:p>
        </w:tc>
        <w:tc>
          <w:tcPr>
            <w:tcW w:w="563" w:type="dxa"/>
            <w:shd w:val="clear" w:color="auto" w:fill="FFFFFF"/>
            <w:noWrap w:val="0"/>
            <w:vAlign w:val="center"/>
          </w:tcPr>
          <w:p w14:paraId="372793FA">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8193" w:type="dxa"/>
            <w:shd w:val="clear" w:color="auto" w:fill="FFFFFF"/>
            <w:noWrap w:val="0"/>
            <w:vAlign w:val="center"/>
          </w:tcPr>
          <w:p w14:paraId="2FDF2DBF">
            <w:pPr>
              <w:spacing w:line="360" w:lineRule="auto"/>
              <w:rPr>
                <w:rFonts w:hint="eastAsia" w:ascii="宋体" w:hAnsi="宋体"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w:t>
            </w:r>
            <w:r>
              <w:rPr>
                <w:rFonts w:hint="eastAsia" w:ascii="宋体" w:hAnsi="宋体" w:cs="宋体"/>
                <w:color w:val="000000" w:themeColor="text1"/>
                <w:highlight w:val="none"/>
                <w14:textFill>
                  <w14:solidFill>
                    <w14:schemeClr w14:val="tx1"/>
                  </w14:solidFill>
                </w14:textFill>
              </w:rPr>
              <w:t>标人应根据采购文件内容及要求，提供系统顶层设计方案。磋商小组根据供应商提供的系统顶层设计方案中体现的①建设思路、②总体架构、③数据标准规范、④实现目标等熟悉和理解情况进行评分：</w:t>
            </w:r>
          </w:p>
          <w:p w14:paraId="4DE4E6C6">
            <w:pPr>
              <w:numPr>
                <w:ilvl w:val="0"/>
                <w:numId w:val="2"/>
              </w:numPr>
              <w:spacing w:line="360" w:lineRule="auto"/>
              <w:rPr>
                <w:rFonts w:hint="eastAsia" w:ascii="宋体" w:hAnsi="宋体" w:cs="宋体"/>
                <w:color w:val="000000" w:themeColor="text1"/>
                <w:kern w:val="0"/>
                <w:szCs w:val="24"/>
                <w:highlight w:val="none"/>
                <w:lang w:bidi="ar"/>
                <w14:textFill>
                  <w14:solidFill>
                    <w14:schemeClr w14:val="tx1"/>
                  </w14:solidFill>
                </w14:textFill>
              </w:rPr>
            </w:pPr>
            <w:r>
              <w:rPr>
                <w:rFonts w:hint="eastAsia" w:ascii="宋体" w:hAnsi="宋体" w:cs="宋体"/>
                <w:color w:val="000000" w:themeColor="text1"/>
                <w:kern w:val="0"/>
                <w:szCs w:val="24"/>
                <w:highlight w:val="none"/>
                <w:lang w:bidi="ar"/>
                <w14:textFill>
                  <w14:solidFill>
                    <w14:schemeClr w14:val="tx1"/>
                  </w14:solidFill>
                </w14:textFill>
              </w:rPr>
              <w:t>有提供系统顶层设计方案，基本符合本项目需求的得</w:t>
            </w:r>
            <w:r>
              <w:rPr>
                <w:rFonts w:ascii="宋体" w:hAnsi="宋体" w:cs="宋体"/>
                <w:color w:val="000000" w:themeColor="text1"/>
                <w:kern w:val="0"/>
                <w:szCs w:val="24"/>
                <w:highlight w:val="none"/>
                <w:lang w:bidi="ar"/>
                <w14:textFill>
                  <w14:solidFill>
                    <w14:schemeClr w14:val="tx1"/>
                  </w14:solidFill>
                </w14:textFill>
              </w:rPr>
              <w:t>1</w:t>
            </w:r>
            <w:r>
              <w:rPr>
                <w:rFonts w:hint="eastAsia" w:ascii="宋体" w:hAnsi="宋体" w:cs="宋体"/>
                <w:color w:val="000000" w:themeColor="text1"/>
                <w:kern w:val="0"/>
                <w:szCs w:val="24"/>
                <w:highlight w:val="none"/>
                <w:lang w:bidi="ar"/>
                <w14:textFill>
                  <w14:solidFill>
                    <w14:schemeClr w14:val="tx1"/>
                  </w14:solidFill>
                </w14:textFill>
              </w:rPr>
              <w:t>分；</w:t>
            </w:r>
          </w:p>
          <w:p w14:paraId="1487A776">
            <w:pPr>
              <w:numPr>
                <w:ilvl w:val="0"/>
                <w:numId w:val="2"/>
              </w:numPr>
              <w:spacing w:line="360" w:lineRule="auto"/>
              <w:rPr>
                <w:rFonts w:hint="eastAsia" w:ascii="宋体" w:hAnsi="宋体" w:cs="宋体"/>
                <w:color w:val="000000" w:themeColor="text1"/>
                <w:kern w:val="0"/>
                <w:szCs w:val="24"/>
                <w:highlight w:val="none"/>
                <w:lang w:bidi="ar"/>
                <w14:textFill>
                  <w14:solidFill>
                    <w14:schemeClr w14:val="tx1"/>
                  </w14:solidFill>
                </w14:textFill>
              </w:rPr>
            </w:pPr>
            <w:r>
              <w:rPr>
                <w:rFonts w:hint="eastAsia" w:ascii="宋体" w:hAnsi="宋体" w:cs="宋体"/>
                <w:color w:val="000000" w:themeColor="text1"/>
                <w:kern w:val="0"/>
                <w:szCs w:val="24"/>
                <w:highlight w:val="none"/>
                <w:lang w:bidi="ar"/>
                <w14:textFill>
                  <w14:solidFill>
                    <w14:schemeClr w14:val="tx1"/>
                  </w14:solidFill>
                </w14:textFill>
              </w:rPr>
              <w:t>在满足“1）”的基础上，方案有展开描述且详尽，条理清晰的得</w:t>
            </w:r>
            <w:r>
              <w:rPr>
                <w:rFonts w:ascii="宋体" w:hAnsi="宋体" w:cs="宋体"/>
                <w:color w:val="000000" w:themeColor="text1"/>
                <w:kern w:val="0"/>
                <w:szCs w:val="24"/>
                <w:highlight w:val="none"/>
                <w:lang w:bidi="ar"/>
                <w14:textFill>
                  <w14:solidFill>
                    <w14:schemeClr w14:val="tx1"/>
                  </w14:solidFill>
                </w14:textFill>
              </w:rPr>
              <w:t>2</w:t>
            </w:r>
            <w:r>
              <w:rPr>
                <w:rFonts w:hint="eastAsia" w:ascii="宋体" w:hAnsi="宋体" w:cs="宋体"/>
                <w:color w:val="000000" w:themeColor="text1"/>
                <w:kern w:val="0"/>
                <w:szCs w:val="24"/>
                <w:highlight w:val="none"/>
                <w:lang w:bidi="ar"/>
                <w14:textFill>
                  <w14:solidFill>
                    <w14:schemeClr w14:val="tx1"/>
                  </w14:solidFill>
                </w14:textFill>
              </w:rPr>
              <w:t>分；</w:t>
            </w:r>
          </w:p>
          <w:p w14:paraId="596ACCC1">
            <w:pPr>
              <w:numPr>
                <w:ilvl w:val="0"/>
                <w:numId w:val="2"/>
              </w:numPr>
              <w:spacing w:line="360" w:lineRule="auto"/>
              <w:rPr>
                <w:rFonts w:hint="eastAsia" w:ascii="宋体" w:hAnsi="宋体" w:cs="宋体"/>
                <w:color w:val="000000" w:themeColor="text1"/>
                <w:kern w:val="0"/>
                <w:szCs w:val="24"/>
                <w:highlight w:val="none"/>
                <w:lang w:bidi="ar"/>
                <w14:textFill>
                  <w14:solidFill>
                    <w14:schemeClr w14:val="tx1"/>
                  </w14:solidFill>
                </w14:textFill>
              </w:rPr>
            </w:pPr>
            <w:r>
              <w:rPr>
                <w:rFonts w:hint="eastAsia" w:ascii="宋体" w:hAnsi="宋体" w:cs="宋体"/>
                <w:color w:val="000000" w:themeColor="text1"/>
                <w:kern w:val="0"/>
                <w:szCs w:val="24"/>
                <w:highlight w:val="none"/>
                <w:lang w:bidi="ar"/>
                <w14:textFill>
                  <w14:solidFill>
                    <w14:schemeClr w14:val="tx1"/>
                  </w14:solidFill>
                </w14:textFill>
              </w:rPr>
              <w:t>在满足“2）”的基础上，方案有根据本项目特点，</w:t>
            </w:r>
            <w:r>
              <w:rPr>
                <w:rFonts w:hint="eastAsia" w:ascii="宋体" w:hAnsi="宋体" w:cs="宋体"/>
                <w:color w:val="000000" w:themeColor="text1"/>
                <w:highlight w:val="none"/>
                <w14:textFill>
                  <w14:solidFill>
                    <w14:schemeClr w14:val="tx1"/>
                  </w14:solidFill>
                </w14:textFill>
              </w:rPr>
              <w:t>内容全面、完整、设计合理性强</w:t>
            </w:r>
            <w:r>
              <w:rPr>
                <w:rFonts w:hint="eastAsia" w:ascii="宋体" w:hAnsi="宋体" w:cs="宋体"/>
                <w:color w:val="000000" w:themeColor="text1"/>
                <w:kern w:val="0"/>
                <w:szCs w:val="24"/>
                <w:highlight w:val="none"/>
                <w:lang w:bidi="ar"/>
                <w14:textFill>
                  <w14:solidFill>
                    <w14:schemeClr w14:val="tx1"/>
                  </w14:solidFill>
                </w14:textFill>
              </w:rPr>
              <w:t>、突出要点的得</w:t>
            </w:r>
            <w:r>
              <w:rPr>
                <w:rFonts w:ascii="宋体" w:hAnsi="宋体" w:cs="宋体"/>
                <w:color w:val="000000" w:themeColor="text1"/>
                <w:kern w:val="0"/>
                <w:szCs w:val="24"/>
                <w:highlight w:val="none"/>
                <w:lang w:bidi="ar"/>
                <w14:textFill>
                  <w14:solidFill>
                    <w14:schemeClr w14:val="tx1"/>
                  </w14:solidFill>
                </w14:textFill>
              </w:rPr>
              <w:t>3</w:t>
            </w:r>
            <w:r>
              <w:rPr>
                <w:rFonts w:hint="eastAsia" w:ascii="宋体" w:hAnsi="宋体" w:cs="宋体"/>
                <w:color w:val="000000" w:themeColor="text1"/>
                <w:kern w:val="0"/>
                <w:szCs w:val="24"/>
                <w:highlight w:val="none"/>
                <w:lang w:bidi="ar"/>
                <w14:textFill>
                  <w14:solidFill>
                    <w14:schemeClr w14:val="tx1"/>
                  </w14:solidFill>
                </w14:textFill>
              </w:rPr>
              <w:t>分；</w:t>
            </w:r>
          </w:p>
          <w:p w14:paraId="492ACEB7">
            <w:pPr>
              <w:spacing w:line="360" w:lineRule="auto"/>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r>
              <w:rPr>
                <w:rFonts w:hint="eastAsia" w:ascii="宋体" w:hAnsi="宋体" w:cs="宋体"/>
                <w:color w:val="000000" w:themeColor="text1"/>
                <w:kern w:val="0"/>
                <w:szCs w:val="24"/>
                <w:highlight w:val="none"/>
                <w:lang w:bidi="ar"/>
                <w14:textFill>
                  <w14:solidFill>
                    <w14:schemeClr w14:val="tx1"/>
                  </w14:solidFill>
                </w14:textFill>
              </w:rPr>
              <w:t>未提供或不符合项目需求的不得分。</w:t>
            </w:r>
          </w:p>
        </w:tc>
      </w:tr>
      <w:tr w14:paraId="2B85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1" w:type="dxa"/>
            <w:shd w:val="clear" w:color="auto" w:fill="FFFFFF"/>
            <w:noWrap w:val="0"/>
            <w:vAlign w:val="center"/>
          </w:tcPr>
          <w:p w14:paraId="4227F6AE">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T</w:t>
            </w:r>
            <w:r>
              <w:rPr>
                <w:color w:val="000000" w:themeColor="text1"/>
                <w:highlight w:val="none"/>
                <w14:textFill>
                  <w14:solidFill>
                    <w14:schemeClr w14:val="tx1"/>
                  </w14:solidFill>
                </w14:textFill>
              </w:rPr>
              <w:t>4</w:t>
            </w:r>
          </w:p>
        </w:tc>
        <w:tc>
          <w:tcPr>
            <w:tcW w:w="563" w:type="dxa"/>
            <w:shd w:val="clear" w:color="auto" w:fill="FFFFFF"/>
            <w:noWrap w:val="0"/>
            <w:vAlign w:val="center"/>
          </w:tcPr>
          <w:p w14:paraId="463CA407">
            <w:pPr>
              <w:spacing w:line="360" w:lineRule="auto"/>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8193" w:type="dxa"/>
            <w:shd w:val="clear" w:color="auto" w:fill="FFFFFF"/>
            <w:noWrap w:val="0"/>
            <w:vAlign w:val="center"/>
          </w:tcPr>
          <w:p w14:paraId="60CBD09F">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应根据采购文件内容及要求提供系统功能设计方案。磋商小组根据供应商提供的系统功能设计方案中体现的①功能设计的依据、②功能设计实现的目标、③功能设计解决的实际问题、④功能设计的业务流程、⑤系统功能在易用性、先进性方面的设计等方面进行评分：</w:t>
            </w:r>
          </w:p>
          <w:p w14:paraId="25F7779B">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1）有提供系统功能设计方案，基本符合本项目需求的得</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分；</w:t>
            </w:r>
          </w:p>
          <w:p w14:paraId="2662A4E3">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2）在满足“1）”的基础上，方案有展开描述且详尽，条理清晰的得</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分；</w:t>
            </w:r>
          </w:p>
          <w:p w14:paraId="5BA76E0F">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3）在满足“2）”的基础上，方案有根据本项目特点，功能设计完整、全面、合理、完全满足用户需求的得</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分；</w:t>
            </w:r>
          </w:p>
          <w:p w14:paraId="2045A73A">
            <w:pPr>
              <w:spacing w:line="360" w:lineRule="auto"/>
              <w:rPr>
                <w:rFonts w:ascii="Verdana" w:hAnsi="Verdana" w:eastAsia="仿宋_GB2312" w:cs="Verdan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4）未提供或不符合项目需求的不得分。</w:t>
            </w:r>
          </w:p>
        </w:tc>
      </w:tr>
      <w:tr w14:paraId="59CB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1" w:type="dxa"/>
            <w:shd w:val="clear" w:color="auto" w:fill="FFFFFF"/>
            <w:noWrap w:val="0"/>
            <w:vAlign w:val="center"/>
          </w:tcPr>
          <w:p w14:paraId="6F5D33A4">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T</w:t>
            </w:r>
            <w:r>
              <w:rPr>
                <w:color w:val="000000" w:themeColor="text1"/>
                <w:highlight w:val="none"/>
                <w14:textFill>
                  <w14:solidFill>
                    <w14:schemeClr w14:val="tx1"/>
                  </w14:solidFill>
                </w14:textFill>
              </w:rPr>
              <w:t>5</w:t>
            </w:r>
          </w:p>
        </w:tc>
        <w:tc>
          <w:tcPr>
            <w:tcW w:w="563" w:type="dxa"/>
            <w:shd w:val="clear" w:color="auto" w:fill="FFFFFF"/>
            <w:noWrap w:val="0"/>
            <w:vAlign w:val="center"/>
          </w:tcPr>
          <w:p w14:paraId="2A56BD63">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8193" w:type="dxa"/>
            <w:shd w:val="clear" w:color="auto" w:fill="FFFFFF"/>
            <w:noWrap w:val="0"/>
            <w:vAlign w:val="center"/>
          </w:tcPr>
          <w:p w14:paraId="3863448A">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投标人应根据采购文件内容及要求，提供项目实施方案。磋商小组根据供应商提供的项目实施方案（包括实施计划、保障措施等）进行评分：</w:t>
            </w:r>
          </w:p>
          <w:p w14:paraId="4936A1DD">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1）方案包含的要点齐全无缺漏项、内容与要点相符、内容完善且能够适用于本项目的得3分；</w:t>
            </w:r>
          </w:p>
          <w:p w14:paraId="508A26C6">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2）方案所包含的要点齐全、内容与要点相符，但方案内容简略、可执行性不强的，得2分；</w:t>
            </w:r>
          </w:p>
          <w:p w14:paraId="12F9F2AE">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3）方案所包含的要点有缺漏的得1分；</w:t>
            </w:r>
          </w:p>
          <w:p w14:paraId="72D20F2D">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4）未提供不得分。</w:t>
            </w:r>
          </w:p>
        </w:tc>
      </w:tr>
      <w:tr w14:paraId="4F4A4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1" w:type="dxa"/>
            <w:shd w:val="clear" w:color="auto" w:fill="FFFFFF"/>
            <w:noWrap w:val="0"/>
            <w:vAlign w:val="center"/>
          </w:tcPr>
          <w:p w14:paraId="199CA023">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T</w:t>
            </w:r>
            <w:r>
              <w:rPr>
                <w:color w:val="000000" w:themeColor="text1"/>
                <w:highlight w:val="none"/>
                <w14:textFill>
                  <w14:solidFill>
                    <w14:schemeClr w14:val="tx1"/>
                  </w14:solidFill>
                </w14:textFill>
              </w:rPr>
              <w:t>6</w:t>
            </w:r>
          </w:p>
        </w:tc>
        <w:tc>
          <w:tcPr>
            <w:tcW w:w="563" w:type="dxa"/>
            <w:shd w:val="clear" w:color="auto" w:fill="FFFFFF"/>
            <w:noWrap w:val="0"/>
            <w:vAlign w:val="center"/>
          </w:tcPr>
          <w:p w14:paraId="6BC7235C">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8193" w:type="dxa"/>
            <w:shd w:val="clear" w:color="auto" w:fill="FFFFFF"/>
            <w:noWrap w:val="0"/>
            <w:vAlign w:val="center"/>
          </w:tcPr>
          <w:p w14:paraId="54B412BA">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投标人应根据本采购文件内容及要求，提供项目</w:t>
            </w:r>
            <w:r>
              <w:rPr>
                <w:rFonts w:hint="eastAsia"/>
                <w:color w:val="000000" w:themeColor="text1"/>
                <w:highlight w:val="none"/>
                <w:lang w:bidi="ar"/>
                <w14:textFill>
                  <w14:solidFill>
                    <w14:schemeClr w14:val="tx1"/>
                  </w14:solidFill>
                </w14:textFill>
              </w:rPr>
              <w:t>系统安全及稳定性服务方案</w:t>
            </w:r>
            <w:r>
              <w:rPr>
                <w:rFonts w:hint="eastAsia"/>
                <w:color w:val="000000" w:themeColor="text1"/>
                <w:highlight w:val="none"/>
                <w14:textFill>
                  <w14:solidFill>
                    <w14:schemeClr w14:val="tx1"/>
                  </w14:solidFill>
                </w14:textFill>
              </w:rPr>
              <w:t>。磋商小组根据供应商提供的</w:t>
            </w:r>
            <w:r>
              <w:rPr>
                <w:rFonts w:hint="eastAsia"/>
                <w:color w:val="000000" w:themeColor="text1"/>
                <w:highlight w:val="none"/>
                <w:lang w:bidi="ar"/>
                <w14:textFill>
                  <w14:solidFill>
                    <w14:schemeClr w14:val="tx1"/>
                  </w14:solidFill>
                </w14:textFill>
              </w:rPr>
              <w:t>系统安全及稳定性服务方案</w:t>
            </w:r>
            <w:r>
              <w:rPr>
                <w:rFonts w:hint="eastAsia"/>
                <w:color w:val="000000" w:themeColor="text1"/>
                <w:highlight w:val="none"/>
                <w14:textFill>
                  <w14:solidFill>
                    <w14:schemeClr w14:val="tx1"/>
                  </w14:solidFill>
                </w14:textFill>
              </w:rPr>
              <w:t>（对保障系统硬件安全、数据安全、网络安全、稳定性、容错性、数据备份和恢复方案）进行评分：</w:t>
            </w:r>
          </w:p>
          <w:p w14:paraId="63F866EE">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1）方案包含的要点齐全无缺漏项、内容与要点相符、内容完善且能够适用于本项目的得3分；</w:t>
            </w:r>
          </w:p>
          <w:p w14:paraId="7088DDB9">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2）方案所包含的要点齐全、内容与要点相符，但方案内容简略、可执行性不强的，得2分；</w:t>
            </w:r>
          </w:p>
          <w:p w14:paraId="7162A804">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3）方案所包含的要点有缺漏的得1分；</w:t>
            </w:r>
          </w:p>
          <w:p w14:paraId="63A22B4A">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4）未提供不得分。</w:t>
            </w:r>
          </w:p>
        </w:tc>
      </w:tr>
      <w:tr w14:paraId="6F17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8" w:hRule="atLeast"/>
          <w:jc w:val="center"/>
        </w:trPr>
        <w:tc>
          <w:tcPr>
            <w:tcW w:w="541" w:type="dxa"/>
            <w:shd w:val="clear" w:color="auto" w:fill="FFFFFF"/>
            <w:noWrap w:val="0"/>
            <w:vAlign w:val="center"/>
          </w:tcPr>
          <w:p w14:paraId="294C8FF7">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T</w:t>
            </w:r>
            <w:r>
              <w:rPr>
                <w:color w:val="000000" w:themeColor="text1"/>
                <w:highlight w:val="none"/>
                <w14:textFill>
                  <w14:solidFill>
                    <w14:schemeClr w14:val="tx1"/>
                  </w14:solidFill>
                </w14:textFill>
              </w:rPr>
              <w:t>7</w:t>
            </w:r>
          </w:p>
        </w:tc>
        <w:tc>
          <w:tcPr>
            <w:tcW w:w="563" w:type="dxa"/>
            <w:shd w:val="clear" w:color="auto" w:fill="FFFFFF"/>
            <w:noWrap w:val="0"/>
            <w:vAlign w:val="center"/>
          </w:tcPr>
          <w:p w14:paraId="6977952A">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8193" w:type="dxa"/>
            <w:shd w:val="clear" w:color="auto" w:fill="FFFFFF"/>
            <w:noWrap w:val="0"/>
            <w:vAlign w:val="center"/>
          </w:tcPr>
          <w:p w14:paraId="2951B99D">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应根据采购文件内容及要求，提供项目售后服务体系。磋商小组根据供应商提供的项目售后服务体系（包括服务内容、服务方式、遇到问题迅速响应、解决问题的流程、人员售后服务保障、其他资源保障）进行评分：</w:t>
            </w:r>
          </w:p>
          <w:p w14:paraId="7649A0CB">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1）方案包含的要点齐全无缺漏项、内容与要点相符、内容完善且能够适用于本项目的得3分；</w:t>
            </w:r>
          </w:p>
          <w:p w14:paraId="009B8286">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2）方案所包含的要点齐全、内容与要点相符，但方案内容简略、可执行性不强的，得2分；</w:t>
            </w:r>
          </w:p>
          <w:p w14:paraId="3BE0C620">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3）方案所包含的要点有缺漏的得1分；</w:t>
            </w:r>
          </w:p>
          <w:p w14:paraId="1A27E2CF">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4）未提供不得分。</w:t>
            </w:r>
          </w:p>
        </w:tc>
      </w:tr>
      <w:tr w14:paraId="4F21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1" w:type="dxa"/>
            <w:shd w:val="clear" w:color="auto" w:fill="FFFFFF"/>
            <w:noWrap w:val="0"/>
            <w:vAlign w:val="center"/>
          </w:tcPr>
          <w:p w14:paraId="2914EB5B">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T</w:t>
            </w:r>
            <w:r>
              <w:rPr>
                <w:color w:val="000000" w:themeColor="text1"/>
                <w:highlight w:val="none"/>
                <w14:textFill>
                  <w14:solidFill>
                    <w14:schemeClr w14:val="tx1"/>
                  </w14:solidFill>
                </w14:textFill>
              </w:rPr>
              <w:t>8</w:t>
            </w:r>
          </w:p>
        </w:tc>
        <w:tc>
          <w:tcPr>
            <w:tcW w:w="563" w:type="dxa"/>
            <w:shd w:val="clear" w:color="auto" w:fill="FFFFFF"/>
            <w:noWrap w:val="0"/>
            <w:vAlign w:val="center"/>
          </w:tcPr>
          <w:p w14:paraId="6308B4D4">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8193" w:type="dxa"/>
            <w:shd w:val="clear" w:color="auto" w:fill="FFFFFF"/>
            <w:noWrap w:val="0"/>
            <w:vAlign w:val="center"/>
          </w:tcPr>
          <w:p w14:paraId="09133C84">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投标人应根据采购文件内容及要求，提供产品紧急突发事件处理预案从产品性质特点及安全使用方面，供应商提供在遇到紧急突发事件可以迅速处置的应急预案，根据供应商提供的内容全面详细情况综合评分：</w:t>
            </w:r>
          </w:p>
          <w:p w14:paraId="1C79839A">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1）有提供应急预案，基本符合本项目需求的得1分；</w:t>
            </w:r>
          </w:p>
          <w:p w14:paraId="21FC79DB">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2）在满足“1）”的基础上，方案有展开描述且详尽，条理清晰的得2分；</w:t>
            </w:r>
          </w:p>
          <w:p w14:paraId="5FF2DE11">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3）在满足“2）”的基础上，方案有根据本项目特点，全面、详实、完全满足用户需求的得3分；</w:t>
            </w:r>
          </w:p>
          <w:p w14:paraId="27AAD545">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4）未提供不得分。</w:t>
            </w:r>
          </w:p>
        </w:tc>
      </w:tr>
      <w:tr w14:paraId="7B9D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1" w:type="dxa"/>
            <w:shd w:val="clear" w:color="auto" w:fill="FFFFFF"/>
            <w:noWrap w:val="0"/>
            <w:vAlign w:val="center"/>
          </w:tcPr>
          <w:p w14:paraId="7D264F07">
            <w:pPr>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T</w:t>
            </w:r>
            <w:r>
              <w:rPr>
                <w:color w:val="000000" w:themeColor="text1"/>
                <w:highlight w:val="none"/>
                <w14:textFill>
                  <w14:solidFill>
                    <w14:schemeClr w14:val="tx1"/>
                  </w14:solidFill>
                </w14:textFill>
              </w:rPr>
              <w:t>9</w:t>
            </w:r>
          </w:p>
        </w:tc>
        <w:tc>
          <w:tcPr>
            <w:tcW w:w="563" w:type="dxa"/>
            <w:shd w:val="clear" w:color="auto" w:fill="FFFFFF"/>
            <w:noWrap w:val="0"/>
            <w:vAlign w:val="center"/>
          </w:tcPr>
          <w:p w14:paraId="0F82F412">
            <w:pPr>
              <w:spacing w:line="360" w:lineRule="auto"/>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8193" w:type="dxa"/>
            <w:shd w:val="clear" w:color="auto" w:fill="FFFFFF"/>
            <w:noWrap w:val="0"/>
            <w:vAlign w:val="center"/>
          </w:tcPr>
          <w:p w14:paraId="6394FCFA">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投标人应根据采购文件内容及要求，提供项目培训方案。磋商小组根据供应商提供的项目培训方案（包括培训计划、培训内容、培训讲师、培训材料、培训次数和培训人数的说明等）进行评分：</w:t>
            </w:r>
          </w:p>
          <w:p w14:paraId="48DDDD69">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1）方案包含的要点齐全无缺漏项、内容与要点相符、内容完善且能够适用于本项目的得</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分；</w:t>
            </w:r>
          </w:p>
          <w:p w14:paraId="041F1D43">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2）方案所包含的要点齐全、内容与要点相符，但方案内容简略、可执行性不强的，得</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分；</w:t>
            </w:r>
          </w:p>
          <w:p w14:paraId="7ED855B4">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3）方案所包含的要点有缺漏的得</w:t>
            </w:r>
            <w:r>
              <w:rPr>
                <w:rFonts w:hint="eastAsia"/>
                <w:color w:val="000000" w:themeColor="text1"/>
                <w:highlight w:val="none"/>
                <w:lang w:val="en-US" w:eastAsia="zh-CN"/>
                <w14:textFill>
                  <w14:solidFill>
                    <w14:schemeClr w14:val="tx1"/>
                  </w14:solidFill>
                </w14:textFill>
              </w:rPr>
              <w:t>0.5</w:t>
            </w:r>
            <w:r>
              <w:rPr>
                <w:rFonts w:hint="eastAsia"/>
                <w:color w:val="000000" w:themeColor="text1"/>
                <w:highlight w:val="none"/>
                <w14:textFill>
                  <w14:solidFill>
                    <w14:schemeClr w14:val="tx1"/>
                  </w14:solidFill>
                </w14:textFill>
              </w:rPr>
              <w:t>分；</w:t>
            </w:r>
          </w:p>
        </w:tc>
      </w:tr>
    </w:tbl>
    <w:p w14:paraId="2E2A5A6F">
      <w:pPr>
        <w:pStyle w:val="7"/>
        <w:widowControl/>
        <w:numPr>
          <w:ilvl w:val="0"/>
          <w:numId w:val="0"/>
        </w:numPr>
        <w:spacing w:before="0" w:beforeAutospacing="0" w:after="150" w:afterAutospacing="0"/>
        <w:ind w:right="0" w:rightChars="0"/>
        <w:jc w:val="left"/>
        <w:rPr>
          <w:rStyle w:val="12"/>
          <w:rFonts w:hint="eastAsia" w:ascii="宋体" w:hAnsi="宋体" w:cs="宋体"/>
          <w:bCs/>
          <w:color w:val="000000" w:themeColor="text1"/>
          <w:sz w:val="21"/>
          <w:szCs w:val="21"/>
          <w:highlight w:val="none"/>
          <w14:textFill>
            <w14:solidFill>
              <w14:schemeClr w14:val="tx1"/>
            </w14:solidFill>
          </w14:textFill>
        </w:rPr>
      </w:pPr>
    </w:p>
    <w:p w14:paraId="0F84328C">
      <w:pPr>
        <w:pStyle w:val="7"/>
        <w:widowControl/>
        <w:numPr>
          <w:ilvl w:val="0"/>
          <w:numId w:val="0"/>
        </w:numPr>
        <w:spacing w:before="0" w:beforeAutospacing="0" w:after="150" w:afterAutospacing="0"/>
        <w:ind w:right="0" w:rightChars="0"/>
        <w:jc w:val="left"/>
        <w:rPr>
          <w:rStyle w:val="12"/>
          <w:rFonts w:hint="eastAsia" w:ascii="宋体" w:hAnsi="宋体" w:cs="宋体"/>
          <w:bCs/>
          <w:color w:val="000000" w:themeColor="text1"/>
          <w:sz w:val="21"/>
          <w:szCs w:val="21"/>
          <w:highlight w:val="none"/>
          <w14:textFill>
            <w14:solidFill>
              <w14:schemeClr w14:val="tx1"/>
            </w14:solidFill>
          </w14:textFill>
        </w:rPr>
      </w:pPr>
    </w:p>
    <w:p w14:paraId="2CC050D0">
      <w:pPr>
        <w:pStyle w:val="7"/>
        <w:widowControl/>
        <w:numPr>
          <w:ilvl w:val="0"/>
          <w:numId w:val="0"/>
        </w:numPr>
        <w:spacing w:before="0" w:beforeAutospacing="0" w:after="150" w:afterAutospacing="0"/>
        <w:ind w:right="0" w:rightChars="0"/>
        <w:jc w:val="left"/>
        <w:rPr>
          <w:rStyle w:val="12"/>
          <w:rFonts w:hint="eastAsia" w:ascii="宋体" w:hAnsi="宋体" w:cs="宋体"/>
          <w:bCs/>
          <w:color w:val="000000" w:themeColor="text1"/>
          <w:sz w:val="21"/>
          <w:szCs w:val="21"/>
          <w:highlight w:val="none"/>
          <w14:textFill>
            <w14:solidFill>
              <w14:schemeClr w14:val="tx1"/>
            </w14:solidFill>
          </w14:textFill>
        </w:rPr>
      </w:pPr>
    </w:p>
    <w:p w14:paraId="68BC6B91">
      <w:pPr>
        <w:pStyle w:val="7"/>
        <w:widowControl/>
        <w:numPr>
          <w:ilvl w:val="0"/>
          <w:numId w:val="0"/>
        </w:numPr>
        <w:spacing w:before="0" w:beforeAutospacing="0" w:after="150" w:afterAutospacing="0"/>
        <w:ind w:right="0" w:rightChars="0"/>
        <w:jc w:val="left"/>
        <w:rPr>
          <w:rStyle w:val="12"/>
          <w:rFonts w:hint="eastAsia" w:ascii="宋体" w:hAnsi="宋体" w:cs="宋体"/>
          <w:bCs/>
          <w:color w:val="000000" w:themeColor="text1"/>
          <w:sz w:val="21"/>
          <w:szCs w:val="21"/>
          <w:highlight w:val="none"/>
          <w14:textFill>
            <w14:solidFill>
              <w14:schemeClr w14:val="tx1"/>
            </w14:solidFill>
          </w14:textFill>
        </w:rPr>
      </w:pPr>
    </w:p>
    <w:p w14:paraId="2A7B7FA4">
      <w:pPr>
        <w:pStyle w:val="7"/>
        <w:widowControl/>
        <w:numPr>
          <w:ilvl w:val="0"/>
          <w:numId w:val="0"/>
        </w:numPr>
        <w:spacing w:before="0" w:beforeAutospacing="0" w:after="150" w:afterAutospacing="0"/>
        <w:ind w:right="0" w:rightChars="0"/>
        <w:jc w:val="left"/>
        <w:rPr>
          <w:rStyle w:val="12"/>
          <w:rFonts w:hint="eastAsia" w:ascii="宋体" w:hAnsi="宋体" w:cs="宋体"/>
          <w:bCs/>
          <w:color w:val="000000" w:themeColor="text1"/>
          <w:sz w:val="21"/>
          <w:szCs w:val="21"/>
          <w:highlight w:val="none"/>
          <w14:textFill>
            <w14:solidFill>
              <w14:schemeClr w14:val="tx1"/>
            </w14:solidFill>
          </w14:textFill>
        </w:rPr>
      </w:pPr>
    </w:p>
    <w:p w14:paraId="11992951">
      <w:pPr>
        <w:pStyle w:val="7"/>
        <w:widowControl/>
        <w:numPr>
          <w:ilvl w:val="0"/>
          <w:numId w:val="0"/>
        </w:numPr>
        <w:spacing w:before="0" w:beforeAutospacing="0" w:after="150" w:afterAutospacing="0"/>
        <w:ind w:right="0" w:rightChars="0"/>
        <w:jc w:val="left"/>
        <w:rPr>
          <w:rStyle w:val="12"/>
          <w:rFonts w:hint="eastAsia" w:ascii="宋体" w:hAnsi="宋体" w:cs="宋体"/>
          <w:bCs/>
          <w:color w:val="000000" w:themeColor="text1"/>
          <w:sz w:val="21"/>
          <w:szCs w:val="21"/>
          <w:highlight w:val="none"/>
          <w14:textFill>
            <w14:solidFill>
              <w14:schemeClr w14:val="tx1"/>
            </w14:solidFill>
          </w14:textFill>
        </w:rPr>
      </w:pPr>
    </w:p>
    <w:p w14:paraId="32C7ADF1">
      <w:pPr>
        <w:pStyle w:val="7"/>
        <w:widowControl/>
        <w:spacing w:before="0" w:beforeAutospacing="0" w:after="150" w:afterAutospacing="0"/>
        <w:ind w:firstLine="480"/>
        <w:rPr>
          <w:rFonts w:hint="eastAsia"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（二）商务部分评分PB   </w:t>
      </w:r>
      <w:r>
        <w:rPr>
          <w:rStyle w:val="12"/>
          <w:rFonts w:hint="eastAsia" w:ascii="宋体" w:hAnsi="宋体" w:cs="宋体"/>
          <w:bCs/>
          <w:color w:val="000000" w:themeColor="text1"/>
          <w:sz w:val="21"/>
          <w:szCs w:val="21"/>
          <w:highlight w:val="none"/>
          <w14:textFill>
            <w14:solidFill>
              <w14:schemeClr w14:val="tx1"/>
            </w14:solidFill>
          </w14:textFill>
        </w:rPr>
        <w:t>       满分</w:t>
      </w:r>
      <w:r>
        <w:rPr>
          <w:rStyle w:val="12"/>
          <w:rFonts w:hint="eastAsia" w:ascii="宋体" w:hAnsi="宋体" w:cs="宋体"/>
          <w:bCs/>
          <w:color w:val="000000" w:themeColor="text1"/>
          <w:sz w:val="21"/>
          <w:szCs w:val="21"/>
          <w:highlight w:val="none"/>
          <w:u w:val="single"/>
          <w:lang w:val="en-US" w:eastAsia="zh-CN"/>
          <w14:textFill>
            <w14:solidFill>
              <w14:schemeClr w14:val="tx1"/>
            </w14:solidFill>
          </w14:textFill>
        </w:rPr>
        <w:t>10</w:t>
      </w:r>
      <w:r>
        <w:rPr>
          <w:rStyle w:val="12"/>
          <w:rFonts w:hint="eastAsia" w:ascii="宋体" w:hAnsi="宋体" w:cs="宋体"/>
          <w:bCs/>
          <w:color w:val="000000" w:themeColor="text1"/>
          <w:sz w:val="21"/>
          <w:szCs w:val="21"/>
          <w:highlight w:val="none"/>
          <w14:textFill>
            <w14:solidFill>
              <w14:schemeClr w14:val="tx1"/>
            </w14:solidFill>
          </w14:textFill>
        </w:rPr>
        <w:t>分</w:t>
      </w:r>
    </w:p>
    <w:tbl>
      <w:tblPr>
        <w:tblStyle w:val="10"/>
        <w:tblpPr w:leftFromText="180" w:rightFromText="180" w:vertAnchor="text" w:horzAnchor="page" w:tblpX="1296" w:tblpY="450"/>
        <w:tblOverlap w:val="never"/>
        <w:tblW w:w="9357"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3"/>
        <w:gridCol w:w="562"/>
        <w:gridCol w:w="8232"/>
      </w:tblGrid>
      <w:tr w14:paraId="03EB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trPr>
        <w:tc>
          <w:tcPr>
            <w:tcW w:w="563" w:type="dxa"/>
            <w:noWrap w:val="0"/>
            <w:vAlign w:val="center"/>
          </w:tcPr>
          <w:p w14:paraId="0C5B98B9">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评标项目</w:t>
            </w:r>
          </w:p>
        </w:tc>
        <w:tc>
          <w:tcPr>
            <w:tcW w:w="562" w:type="dxa"/>
            <w:noWrap w:val="0"/>
            <w:vAlign w:val="center"/>
          </w:tcPr>
          <w:p w14:paraId="16107CA0">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评标分值</w:t>
            </w:r>
          </w:p>
        </w:tc>
        <w:tc>
          <w:tcPr>
            <w:tcW w:w="8232" w:type="dxa"/>
            <w:noWrap w:val="0"/>
            <w:vAlign w:val="center"/>
          </w:tcPr>
          <w:p w14:paraId="3BF978C8">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评标方法描述</w:t>
            </w:r>
          </w:p>
        </w:tc>
      </w:tr>
      <w:tr w14:paraId="030D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3" w:type="dxa"/>
            <w:noWrap w:val="0"/>
            <w:vAlign w:val="center"/>
          </w:tcPr>
          <w:p w14:paraId="50948EC8">
            <w:pPr>
              <w:jc w:val="center"/>
              <w:rPr>
                <w:color w:val="000000" w:themeColor="text1"/>
                <w:kern w:val="28"/>
                <w:highlight w:val="none"/>
                <w14:textFill>
                  <w14:solidFill>
                    <w14:schemeClr w14:val="tx1"/>
                  </w14:solidFill>
                </w14:textFill>
              </w:rPr>
            </w:pPr>
            <w:r>
              <w:rPr>
                <w:rFonts w:hint="eastAsia"/>
                <w:color w:val="000000" w:themeColor="text1"/>
                <w:highlight w:val="none"/>
                <w14:textFill>
                  <w14:solidFill>
                    <w14:schemeClr w14:val="tx1"/>
                  </w14:solidFill>
                </w14:textFill>
              </w:rPr>
              <w:t>B1</w:t>
            </w:r>
          </w:p>
        </w:tc>
        <w:tc>
          <w:tcPr>
            <w:tcW w:w="562" w:type="dxa"/>
            <w:noWrap w:val="0"/>
            <w:vAlign w:val="center"/>
          </w:tcPr>
          <w:p w14:paraId="42F30534">
            <w:pPr>
              <w:jc w:val="center"/>
              <w:rPr>
                <w:color w:val="000000" w:themeColor="text1"/>
                <w:kern w:val="28"/>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8232" w:type="dxa"/>
            <w:noWrap w:val="0"/>
            <w:vAlign w:val="center"/>
          </w:tcPr>
          <w:p w14:paraId="5052967C">
            <w:pPr>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投标人或所投产品原厂商具备以下认证证书：        </w:t>
            </w:r>
          </w:p>
          <w:p w14:paraId="3A54AB46">
            <w:pPr>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质量管理体系认证证书、信息安全管理体系认证证书、信息技术服务管理体系认证证书。每提供1个得</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highlight w:val="none"/>
                <w14:textFill>
                  <w14:solidFill>
                    <w14:schemeClr w14:val="tx1"/>
                  </w14:solidFill>
                </w14:textFill>
              </w:rPr>
              <w:t>分，满分</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highlight w:val="none"/>
                <w14:textFill>
                  <w14:solidFill>
                    <w14:schemeClr w14:val="tx1"/>
                  </w14:solidFill>
                </w14:textFill>
              </w:rPr>
              <w:t xml:space="preserve">分。                                                          </w:t>
            </w:r>
          </w:p>
          <w:p w14:paraId="681E7F2F">
            <w:pPr>
              <w:rPr>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（认证证书除证书复印件加盖供应商公章外，须提供证书在中国认证认可委员会认证认可业务信息统一查询平台（http://cx.cnca.cn）查询结果打印件，并加盖供应商公章。未提供或材料不齐全</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不得分</w:t>
            </w:r>
            <w:r>
              <w:rPr>
                <w:rFonts w:hint="eastAsia" w:ascii="Times New Roman" w:hAnsi="Times New Roman" w:eastAsia="宋体" w:cs="Times New Roman"/>
                <w:color w:val="000000" w:themeColor="text1"/>
                <w:highlight w:val="none"/>
                <w14:textFill>
                  <w14:solidFill>
                    <w14:schemeClr w14:val="tx1"/>
                  </w14:solidFill>
                </w14:textFill>
              </w:rPr>
              <w:t>。）</w:t>
            </w:r>
          </w:p>
        </w:tc>
      </w:tr>
      <w:tr w14:paraId="71C8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3" w:type="dxa"/>
            <w:noWrap w:val="0"/>
            <w:vAlign w:val="center"/>
          </w:tcPr>
          <w:p w14:paraId="1F700CBF">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B</w:t>
            </w:r>
            <w:r>
              <w:rPr>
                <w:color w:val="000000" w:themeColor="text1"/>
                <w:highlight w:val="none"/>
                <w14:textFill>
                  <w14:solidFill>
                    <w14:schemeClr w14:val="tx1"/>
                  </w14:solidFill>
                </w14:textFill>
              </w:rPr>
              <w:t>2</w:t>
            </w:r>
          </w:p>
        </w:tc>
        <w:tc>
          <w:tcPr>
            <w:tcW w:w="562" w:type="dxa"/>
            <w:noWrap w:val="0"/>
            <w:vAlign w:val="center"/>
          </w:tcPr>
          <w:p w14:paraId="117D5B83">
            <w:pPr>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8232" w:type="dxa"/>
            <w:noWrap w:val="0"/>
            <w:vAlign w:val="center"/>
          </w:tcPr>
          <w:p w14:paraId="4A4FA3FE">
            <w:pP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供应商拟投入的项目</w:t>
            </w:r>
            <w:r>
              <w:rPr>
                <w:rFonts w:hint="eastAsia" w:ascii="Times New Roman" w:hAnsi="Times New Roman" w:eastAsia="宋体" w:cs="Times New Roman"/>
                <w:color w:val="000000" w:themeColor="text1"/>
                <w:highlight w:val="none"/>
                <w:lang w:eastAsia="zh-CN"/>
                <w14:textFill>
                  <w14:solidFill>
                    <w14:schemeClr w14:val="tx1"/>
                  </w14:solidFill>
                </w14:textFill>
              </w:rPr>
              <w:t>负责人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具有IT服务</w:t>
            </w:r>
            <w:r>
              <w:rPr>
                <w:rFonts w:hint="eastAsia" w:ascii="Times New Roman" w:hAnsi="Times New Roman" w:eastAsia="宋体" w:cs="Times New Roman"/>
                <w:color w:val="000000" w:themeColor="text1"/>
                <w:highlight w:val="none"/>
                <w:lang w:eastAsia="zh-CN"/>
                <w14:textFill>
                  <w14:solidFill>
                    <w14:schemeClr w14:val="tx1"/>
                  </w14:solidFill>
                </w14:textFill>
              </w:rPr>
              <w:t>项目</w:t>
            </w:r>
            <w:r>
              <w:rPr>
                <w:rFonts w:hint="eastAsia" w:ascii="Times New Roman" w:hAnsi="Times New Roman" w:eastAsia="宋体" w:cs="Times New Roman"/>
                <w:color w:val="000000" w:themeColor="text1"/>
                <w:highlight w:val="none"/>
                <w:lang w:val="en-US" w:eastAsia="zh-CN"/>
                <w14:textFill>
                  <w14:solidFill>
                    <w14:schemeClr w14:val="tx1"/>
                  </w14:solidFill>
                </w14:textFill>
              </w:rPr>
              <w:t>经理</w:t>
            </w:r>
            <w:r>
              <w:rPr>
                <w:rFonts w:hint="eastAsia" w:ascii="Times New Roman" w:hAnsi="Times New Roman" w:eastAsia="宋体" w:cs="Times New Roman"/>
                <w:color w:val="000000" w:themeColor="text1"/>
                <w:highlight w:val="none"/>
                <w:lang w:eastAsia="zh-CN"/>
                <w14:textFill>
                  <w14:solidFill>
                    <w14:schemeClr w14:val="tx1"/>
                  </w14:solidFill>
                </w14:textFill>
              </w:rPr>
              <w:t>及</w:t>
            </w:r>
            <w:r>
              <w:rPr>
                <w:rFonts w:hint="eastAsia" w:ascii="Times New Roman" w:hAnsi="Times New Roman" w:eastAsia="宋体" w:cs="Times New Roman"/>
                <w:color w:val="000000" w:themeColor="text1"/>
                <w:highlight w:val="none"/>
                <w:lang w:val="en-US" w:eastAsia="zh-CN"/>
                <w14:textFill>
                  <w14:solidFill>
                    <w14:schemeClr w14:val="tx1"/>
                  </w14:solidFill>
                </w14:textFill>
              </w:rPr>
              <w:t>IT服务工程师证书的，提供一个得1分，满分2分。</w:t>
            </w:r>
          </w:p>
          <w:p w14:paraId="1EB214CB">
            <w:pPr>
              <w:rPr>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提供证明扫描件及中国电子技术标准化研究院“ITSS”平台查询截图及全部人员</w:t>
            </w:r>
            <w:r>
              <w:rPr>
                <w:rFonts w:hint="eastAsia" w:ascii="Times New Roman" w:hAnsi="Times New Roman" w:eastAsia="宋体" w:cs="Times New Roman"/>
                <w:color w:val="000000" w:themeColor="text1"/>
                <w:highlight w:val="none"/>
                <w:lang w:eastAsia="zh-CN"/>
                <w14:textFill>
                  <w14:solidFill>
                    <w14:schemeClr w14:val="tx1"/>
                  </w14:solidFill>
                </w14:textFill>
              </w:rPr>
              <w:t>近6个月在投标人单位缴纳社保证明，未提供或提供不全不得分</w:t>
            </w:r>
            <w:r>
              <w:rPr>
                <w:rFonts w:hint="eastAsia" w:ascii="Times New Roman" w:hAnsi="Times New Roman" w:eastAsia="宋体" w:cs="Times New Roman"/>
                <w:color w:val="000000" w:themeColor="text1"/>
                <w:highlight w:val="none"/>
                <w14:textFill>
                  <w14:solidFill>
                    <w14:schemeClr w14:val="tx1"/>
                  </w14:solidFill>
                </w14:textFill>
              </w:rPr>
              <w:t>）。</w:t>
            </w:r>
          </w:p>
        </w:tc>
      </w:tr>
      <w:tr w14:paraId="1E444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63" w:type="dxa"/>
            <w:noWrap w:val="0"/>
            <w:vAlign w:val="center"/>
          </w:tcPr>
          <w:p w14:paraId="4A397DE6">
            <w:pPr>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B</w:t>
            </w:r>
            <w:r>
              <w:rPr>
                <w:rFonts w:hint="eastAsia"/>
                <w:color w:val="000000" w:themeColor="text1"/>
                <w:highlight w:val="none"/>
                <w:lang w:val="en-US" w:eastAsia="zh-CN"/>
                <w14:textFill>
                  <w14:solidFill>
                    <w14:schemeClr w14:val="tx1"/>
                  </w14:solidFill>
                </w14:textFill>
              </w:rPr>
              <w:t>3</w:t>
            </w:r>
          </w:p>
        </w:tc>
        <w:tc>
          <w:tcPr>
            <w:tcW w:w="562" w:type="dxa"/>
            <w:noWrap w:val="0"/>
            <w:vAlign w:val="center"/>
          </w:tcPr>
          <w:p w14:paraId="4129E3B1">
            <w:pPr>
              <w:jc w:val="center"/>
              <w:rPr>
                <w:rFonts w:hint="default"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3</w:t>
            </w:r>
          </w:p>
        </w:tc>
        <w:tc>
          <w:tcPr>
            <w:tcW w:w="8232" w:type="dxa"/>
            <w:noWrap w:val="0"/>
            <w:vAlign w:val="center"/>
          </w:tcPr>
          <w:p w14:paraId="522707E4">
            <w:pP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投标人或所投产品原厂商提供具有本项目同类或类似的信息化系统业绩的成功项目案例：1）每提供一份成功项目案例得0.5分，不超过1.5分。  </w:t>
            </w:r>
          </w:p>
          <w:p w14:paraId="57D87592">
            <w:pP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（须提供中标通知书、提供合同，并加盖供应商公章，合同内容至少包含合同首页、清单页、签字页，不提供或所提供的业绩不符合要求的不得分。）</w:t>
            </w:r>
          </w:p>
          <w:p w14:paraId="56EB2682">
            <w:pPr>
              <w:numPr>
                <w:ilvl w:val="0"/>
                <w:numId w:val="3"/>
              </w:numPr>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每提供一份对应成交案例获得采购单位（包括使用部门）的好评、满意评价或优秀评价，则每获得一次此类评价可得0.5分，最高可累计得到1.5分。</w:t>
            </w:r>
          </w:p>
          <w:p w14:paraId="1918599E">
            <w:pPr>
              <w:numPr>
                <w:ilvl w:val="0"/>
                <w:numId w:val="0"/>
              </w:numP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（须提供评价意见或其他证明材料，并加盖采购单位公章）</w:t>
            </w:r>
          </w:p>
        </w:tc>
      </w:tr>
      <w:tr w14:paraId="669F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1" w:hRule="atLeast"/>
          <w:tblCellSpacing w:w="0" w:type="dxa"/>
        </w:trPr>
        <w:tc>
          <w:tcPr>
            <w:tcW w:w="563" w:type="dxa"/>
            <w:noWrap w:val="0"/>
            <w:vAlign w:val="center"/>
          </w:tcPr>
          <w:p w14:paraId="319F9BED">
            <w:pPr>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B</w:t>
            </w:r>
            <w:r>
              <w:rPr>
                <w:rFonts w:hint="eastAsia"/>
                <w:color w:val="000000" w:themeColor="text1"/>
                <w:highlight w:val="none"/>
                <w:lang w:val="en-US" w:eastAsia="zh-CN"/>
                <w14:textFill>
                  <w14:solidFill>
                    <w14:schemeClr w14:val="tx1"/>
                  </w14:solidFill>
                </w14:textFill>
              </w:rPr>
              <w:t>4</w:t>
            </w:r>
          </w:p>
        </w:tc>
        <w:tc>
          <w:tcPr>
            <w:tcW w:w="562" w:type="dxa"/>
            <w:noWrap w:val="0"/>
            <w:vAlign w:val="center"/>
          </w:tcPr>
          <w:p w14:paraId="279C68F6">
            <w:pPr>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8232" w:type="dxa"/>
            <w:noWrap w:val="0"/>
            <w:vAlign w:val="center"/>
          </w:tcPr>
          <w:p w14:paraId="602F250B">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若遇到系统严重故障不能通过远程解决时，根据供应商承诺人员到达平台使用现场提供服务的时间情况进行评价：到达现场时间≤2小时以内的得</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分；2小时＜到达时间≤4小时的得</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分，其他情况不得分。</w:t>
            </w:r>
          </w:p>
          <w:p w14:paraId="6775AC54">
            <w:pPr>
              <w:rPr>
                <w:rFonts w:hint="eastAsia" w:eastAsia="宋体"/>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须提供承诺函</w:t>
            </w:r>
            <w:r>
              <w:rPr>
                <w:rFonts w:hint="eastAsia"/>
                <w:color w:val="000000" w:themeColor="text1"/>
                <w:highlight w:val="none"/>
                <w:lang w:val="en-US" w:eastAsia="zh-CN"/>
                <w14:textFill>
                  <w14:solidFill>
                    <w14:schemeClr w14:val="tx1"/>
                  </w14:solidFill>
                </w14:textFill>
              </w:rPr>
              <w:t>并加盖公章</w:t>
            </w:r>
            <w:r>
              <w:rPr>
                <w:rFonts w:hint="eastAsia"/>
                <w:color w:val="000000" w:themeColor="text1"/>
                <w:highlight w:val="none"/>
                <w14:textFill>
                  <w14:solidFill>
                    <w14:schemeClr w14:val="tx1"/>
                  </w14:solidFill>
                </w14:textFill>
              </w:rPr>
              <w:t>，否则不得分</w:t>
            </w:r>
            <w:r>
              <w:rPr>
                <w:rFonts w:hint="eastAsia"/>
                <w:color w:val="000000" w:themeColor="text1"/>
                <w:highlight w:val="none"/>
                <w:lang w:val="en-US" w:eastAsia="zh-CN"/>
                <w14:textFill>
                  <w14:solidFill>
                    <w14:schemeClr w14:val="tx1"/>
                  </w14:solidFill>
                </w14:textFill>
              </w:rPr>
              <w:t>)</w:t>
            </w:r>
          </w:p>
        </w:tc>
      </w:tr>
    </w:tbl>
    <w:p w14:paraId="15DB9938">
      <w:pPr>
        <w:pStyle w:val="7"/>
        <w:keepNext w:val="0"/>
        <w:keepLines w:val="0"/>
        <w:widowControl/>
        <w:suppressLineNumbers w:val="0"/>
        <w:spacing w:line="420" w:lineRule="atLeast"/>
        <w:rPr>
          <w:rFonts w:hint="eastAsia" w:ascii="宋体" w:hAnsi="宋体" w:eastAsia="宋体" w:cs="宋体"/>
          <w:b/>
          <w:bCs/>
          <w:color w:val="000000" w:themeColor="text1"/>
          <w:sz w:val="21"/>
          <w:szCs w:val="21"/>
          <w:highlight w:val="none"/>
          <w14:textFill>
            <w14:solidFill>
              <w14:schemeClr w14:val="tx1"/>
            </w14:solidFill>
          </w14:textFill>
        </w:rPr>
      </w:pPr>
    </w:p>
    <w:p w14:paraId="086A904E">
      <w:pPr>
        <w:pStyle w:val="7"/>
        <w:keepNext w:val="0"/>
        <w:keepLines w:val="0"/>
        <w:widowControl/>
        <w:suppressLineNumbers w:val="0"/>
        <w:spacing w:line="420" w:lineRule="atLeast"/>
        <w:ind w:left="0" w:firstLine="48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（三）报价部分评分PF            满分</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b/>
          <w:bCs/>
          <w:color w:val="000000" w:themeColor="text1"/>
          <w:sz w:val="21"/>
          <w:szCs w:val="21"/>
          <w:highlight w:val="none"/>
          <w14:textFill>
            <w14:solidFill>
              <w14:schemeClr w14:val="tx1"/>
            </w14:solidFill>
          </w14:textFill>
        </w:rPr>
        <w:t>分</w:t>
      </w:r>
    </w:p>
    <w:p w14:paraId="4E4726B5">
      <w:pPr>
        <w:pStyle w:val="7"/>
        <w:keepNext w:val="0"/>
        <w:keepLines w:val="0"/>
        <w:widowControl/>
        <w:suppressLineNumbers w:val="0"/>
        <w:spacing w:before="0" w:beforeAutospacing="0" w:after="150" w:afterAutospacing="0" w:line="420" w:lineRule="atLeast"/>
        <w:ind w:left="0" w:right="0"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a.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p>
    <w:p w14:paraId="074FD5B5">
      <w:pPr>
        <w:pStyle w:val="7"/>
        <w:keepNext w:val="0"/>
        <w:keepLines w:val="0"/>
        <w:widowControl/>
        <w:suppressLineNumbers w:val="0"/>
        <w:spacing w:line="420" w:lineRule="atLeast"/>
        <w:ind w:left="0" w:firstLine="480"/>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（四）根据政府采购政策可享有的加分优惠评分PE</w:t>
      </w:r>
    </w:p>
    <w:p w14:paraId="402E1661">
      <w:pPr>
        <w:pStyle w:val="7"/>
        <w:keepNext w:val="0"/>
        <w:keepLines w:val="0"/>
        <w:widowControl/>
        <w:suppressLineNumbers w:val="0"/>
        <w:spacing w:line="420" w:lineRule="atLeast"/>
        <w:ind w:left="0" w:firstLine="480"/>
        <w:rPr>
          <w:color w:val="000000" w:themeColor="text1"/>
          <w:highlight w:val="none"/>
          <w14:textFill>
            <w14:solidFill>
              <w14:schemeClr w14:val="tx1"/>
            </w14:solidFill>
          </w14:textFill>
        </w:rPr>
      </w:pPr>
      <w:r>
        <w:rPr>
          <w:rStyle w:val="12"/>
          <w:color w:val="000000" w:themeColor="text1"/>
          <w:sz w:val="24"/>
          <w:szCs w:val="24"/>
          <w:highlight w:val="none"/>
          <w14:textFill>
            <w14:solidFill>
              <w14:schemeClr w14:val="tx1"/>
            </w14:solidFill>
          </w14:textFill>
        </w:rPr>
        <w:t>        </w:t>
      </w:r>
      <w:r>
        <w:rPr>
          <w:rFonts w:hint="eastAsia" w:ascii="宋体" w:hAnsi="宋体" w:eastAsia="宋体" w:cs="宋体"/>
          <w:color w:val="000000" w:themeColor="text1"/>
          <w:highlight w:val="none"/>
          <w14:textFill>
            <w14:solidFill>
              <w14:schemeClr w14:val="tx1"/>
            </w14:solidFill>
          </w14:textFill>
        </w:rPr>
        <w:t> 无</w:t>
      </w:r>
    </w:p>
    <w:p w14:paraId="20994A93">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（4）成交候选供应商排列规则顺序和并列相同时的处理约定如下：</w:t>
      </w:r>
    </w:p>
    <w:p w14:paraId="7B14AFE1">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a.成交候选供应商按照综合评审总得分（FA）由高到低顺序排列推荐。</w:t>
      </w:r>
    </w:p>
    <w:p w14:paraId="7C6BF953">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b.综合评审总得分（FA）相同的，按照经评审最后磋商报价（即经政府采购优惠政策进行价格扣除后的最后报价）由低到高顺序推荐。</w:t>
      </w:r>
    </w:p>
    <w:p w14:paraId="22037676">
      <w:pPr>
        <w:pStyle w:val="7"/>
        <w:keepNext w:val="0"/>
        <w:keepLines w:val="0"/>
        <w:widowControl/>
        <w:suppressLineNumbers w:val="0"/>
        <w:spacing w:before="0" w:beforeAutospacing="0" w:after="0" w:afterAutospacing="0" w:line="240" w:lineRule="auto"/>
        <w:ind w:left="0" w:right="0" w:firstLine="465"/>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c.综合评审总得分（FA）且经评审最后磋商报价（即经政府采购优惠政策进行价格扣除后的最后报价）仍然相同的，按照技术指标优劣顺序推荐。</w:t>
      </w:r>
    </w:p>
    <w:p w14:paraId="6A7F4545">
      <w:pPr>
        <w:pStyle w:val="7"/>
        <w:keepNext w:val="0"/>
        <w:keepLines w:val="0"/>
        <w:widowControl/>
        <w:suppressLineNumbers w:val="0"/>
        <w:spacing w:before="0" w:beforeAutospacing="0" w:after="0" w:afterAutospacing="0" w:line="240" w:lineRule="auto"/>
        <w:ind w:left="0" w:right="0" w:firstLine="465"/>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d.经前述顺序处理仍然并列相同的，则通过随机抽取方式确定优先顺序推荐。</w:t>
      </w:r>
    </w:p>
    <w:p w14:paraId="1B736AC5">
      <w:pPr>
        <w:pStyle w:val="7"/>
        <w:keepNext w:val="0"/>
        <w:keepLines w:val="0"/>
        <w:widowControl/>
        <w:suppressLineNumbers w:val="0"/>
        <w:spacing w:before="0" w:beforeAutospacing="0" w:after="0" w:afterAutospacing="0" w:line="240" w:lineRule="auto"/>
        <w:ind w:left="0" w:right="0" w:firstLine="465"/>
        <w:rPr>
          <w:color w:val="000000" w:themeColor="text1"/>
          <w:highlight w:val="none"/>
          <w14:textFill>
            <w14:solidFill>
              <w14:schemeClr w14:val="tx1"/>
            </w14:solidFill>
          </w14:textFill>
        </w:rPr>
      </w:pPr>
    </w:p>
    <w:p w14:paraId="14A8D6B4">
      <w:pPr>
        <w:pStyle w:val="7"/>
        <w:keepNext w:val="0"/>
        <w:keepLines w:val="0"/>
        <w:widowControl/>
        <w:suppressLineNumbers w:val="0"/>
        <w:spacing w:before="75" w:beforeAutospacing="0" w:after="75" w:afterAutospacing="0" w:line="240" w:lineRule="auto"/>
        <w:ind w:left="0" w:right="0" w:firstLine="465"/>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612B0EFB">
      <w:pPr>
        <w:pStyle w:val="7"/>
        <w:keepNext w:val="0"/>
        <w:keepLines w:val="0"/>
        <w:widowControl/>
        <w:suppressLineNumbers w:val="0"/>
        <w:spacing w:before="75" w:beforeAutospacing="0" w:after="75" w:afterAutospacing="0" w:line="240" w:lineRule="auto"/>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四、评审报告</w:t>
      </w:r>
    </w:p>
    <w:p w14:paraId="3515F20F">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27F240BD">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4.1磋商小组完成评审后，应当编写评审报告并提交给采购人。</w:t>
      </w:r>
    </w:p>
    <w:p w14:paraId="6881993C">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4.2评审报告应当包括以下主要内容：</w:t>
      </w:r>
    </w:p>
    <w:p w14:paraId="76D7EE57">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（一）邀请供应商参加采购活动的具体方式和相关情况；</w:t>
      </w:r>
    </w:p>
    <w:p w14:paraId="16BD681C">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（二）响应文件开启日期和地点；</w:t>
      </w:r>
    </w:p>
    <w:p w14:paraId="5CC22928">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（三）获取磋商文件的供应商名单和磋商小组成员名单；</w:t>
      </w:r>
    </w:p>
    <w:p w14:paraId="6030028D">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（四）评审情况记录和说明，包括对供应商的资格审查情况、供应商响应文件评审情况、磋商情况、报价情况等；</w:t>
      </w:r>
    </w:p>
    <w:p w14:paraId="6092BE9E">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（五）提出的成交候选供应商的排序名单及理由。</w:t>
      </w:r>
    </w:p>
    <w:p w14:paraId="5634A228">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5502FDA">
      <w:pPr>
        <w:pStyle w:val="3"/>
        <w:rPr>
          <w:rFonts w:hint="eastAsia" w:ascii="宋体" w:hAnsi="宋体" w:eastAsia="宋体" w:cs="宋体"/>
          <w:color w:val="000000" w:themeColor="text1"/>
          <w:spacing w:val="0"/>
          <w:sz w:val="24"/>
          <w:szCs w:val="24"/>
          <w:highlight w:val="none"/>
          <w14:textFill>
            <w14:solidFill>
              <w14:schemeClr w14:val="tx1"/>
            </w14:solidFill>
          </w14:textFill>
        </w:rPr>
      </w:pPr>
    </w:p>
    <w:p w14:paraId="4E687A24">
      <w:pPr>
        <w:pStyle w:val="7"/>
        <w:keepNext w:val="0"/>
        <w:keepLines w:val="0"/>
        <w:widowControl/>
        <w:suppressLineNumbers w:val="0"/>
        <w:spacing w:before="75" w:beforeAutospacing="0" w:after="75" w:afterAutospacing="0" w:line="240" w:lineRule="auto"/>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五、其他规定</w:t>
      </w:r>
    </w:p>
    <w:p w14:paraId="7C172084">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3583ABC2">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5.1其他规定</w:t>
      </w:r>
    </w:p>
    <w:p w14:paraId="41C95563">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5.1.1评审应全程保密且不得透露给任一供应商或与评审工作无关的人员。</w:t>
      </w:r>
    </w:p>
    <w:p w14:paraId="7A8B247A">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5.1.2评审将进行全程实时录音录像，录音录像资料随采购文件一并存档。</w:t>
      </w:r>
    </w:p>
    <w:p w14:paraId="0E3132B6">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5.1.3若供应商有任何试图干扰具体评审事务，影响磋商小组独立履行职责的行为，其响应无效且不予退还磋商保证金。情节严重的，由财政部门列入不良行为记录。</w:t>
      </w:r>
    </w:p>
    <w:p w14:paraId="6B205319">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5.1.4根据采购项目的特点和需要，需要加以详细说明的其他磋商程序规定、要求等内容：</w:t>
      </w:r>
    </w:p>
    <w:p w14:paraId="6A91924A">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无。</w:t>
      </w:r>
    </w:p>
    <w:p w14:paraId="03823163">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 </w:t>
      </w:r>
    </w:p>
    <w:p w14:paraId="2F5CCF68">
      <w:pPr>
        <w:pStyle w:val="7"/>
        <w:keepNext w:val="0"/>
        <w:keepLines w:val="0"/>
        <w:widowControl/>
        <w:suppressLineNumbers w:val="0"/>
        <w:spacing w:before="75" w:beforeAutospacing="0" w:after="75" w:afterAutospacing="0" w:line="240" w:lineRule="auto"/>
        <w:ind w:left="0" w:right="0" w:firstLine="0"/>
        <w:jc w:val="center"/>
        <w:rPr>
          <w:rStyle w:val="12"/>
          <w:rFonts w:hint="eastAsia" w:ascii="宋体" w:hAnsi="宋体" w:eastAsia="宋体" w:cs="宋体"/>
          <w:b/>
          <w:bCs/>
          <w:color w:val="000000" w:themeColor="text1"/>
          <w:spacing w:val="0"/>
          <w:sz w:val="31"/>
          <w:szCs w:val="31"/>
          <w:highlight w:val="none"/>
          <w:lang w:eastAsia="zh-CN"/>
          <w14:textFill>
            <w14:solidFill>
              <w14:schemeClr w14:val="tx1"/>
            </w14:solidFill>
          </w14:textFill>
        </w:rPr>
      </w:pPr>
    </w:p>
    <w:p w14:paraId="6899F5EB">
      <w:pPr>
        <w:pStyle w:val="7"/>
        <w:keepNext w:val="0"/>
        <w:keepLines w:val="0"/>
        <w:widowControl/>
        <w:suppressLineNumbers w:val="0"/>
        <w:spacing w:before="75" w:beforeAutospacing="0" w:after="75" w:afterAutospacing="0" w:line="240" w:lineRule="auto"/>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31"/>
          <w:szCs w:val="31"/>
          <w:highlight w:val="none"/>
          <w14:textFill>
            <w14:solidFill>
              <w14:schemeClr w14:val="tx1"/>
            </w14:solidFill>
          </w14:textFill>
        </w:rPr>
        <w:t>第2节 竞争性磋商须知</w:t>
      </w: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 </w:t>
      </w:r>
    </w:p>
    <w:p w14:paraId="1E8B0425">
      <w:pPr>
        <w:pStyle w:val="7"/>
        <w:keepNext w:val="0"/>
        <w:keepLines w:val="0"/>
        <w:widowControl/>
        <w:suppressLineNumbers w:val="0"/>
        <w:spacing w:before="75" w:beforeAutospacing="0" w:after="75" w:afterAutospacing="0" w:line="240" w:lineRule="auto"/>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一、总则</w:t>
      </w:r>
    </w:p>
    <w:p w14:paraId="06E7E4E6">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4D8E3AAD">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1.适用范围：</w:t>
      </w:r>
    </w:p>
    <w:p w14:paraId="153BB700">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1.1适用于磋商文件载明项目的采购活动（以下简称：“本次采购活动”）。</w:t>
      </w:r>
    </w:p>
    <w:p w14:paraId="75FDE66E">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2.定义及要求：</w:t>
      </w:r>
    </w:p>
    <w:p w14:paraId="0F2F4E8C">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2.1“采购标的”指磋商文件载明的需要采购的货物、服务、工程。</w:t>
      </w:r>
    </w:p>
    <w:p w14:paraId="2964AB05">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2.2“采购人”指本次采购项目的买方、或业主方、或甲方，具体见磋商文件第一章；“采购代理机构”系指接受采购人委托，组织开展竞争性磋商采购活动的代理机构，具体见磋商文件第一章。</w:t>
      </w:r>
    </w:p>
    <w:p w14:paraId="09733A39">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2.3“潜在供应商”按照磋商文件第一章规定进行报名，且有意向参加本项目响应磋商的供应商。</w:t>
      </w:r>
    </w:p>
    <w:p w14:paraId="293FD5E3">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2.4“供应商”指按照磋商文件第一章规定进行报名，且已经提交响应文件的法人或其他组织或自然人。只有适合自然人参与和承接的政府采购项目，供应商才可以是自然人。</w:t>
      </w:r>
    </w:p>
    <w:p w14:paraId="22D8FA17">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2.5“单位负责人”指单位法定代表人（供应商为法人的）或法律、法规规定代表单位行使职权的主要负责人（供应商为其他组织的）。</w:t>
      </w:r>
    </w:p>
    <w:p w14:paraId="5B887B4B">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2.6“供应商代表”指供应商（为法人或其他组织的）的单位负责人或由其授权的委托代理人，即单位负责人授权书中载明的接受授权方。供应商为自然人的，由本人签字并附身份证明。</w:t>
      </w:r>
    </w:p>
    <w:p w14:paraId="6B7F4CEC">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3.合格的</w:t>
      </w:r>
      <w:r>
        <w:rPr>
          <w:color w:val="000000" w:themeColor="text1"/>
          <w:spacing w:val="0"/>
          <w:sz w:val="24"/>
          <w:szCs w:val="24"/>
          <w:highlight w:val="none"/>
          <w14:textFill>
            <w14:solidFill>
              <w14:schemeClr w14:val="tx1"/>
            </w14:solidFill>
          </w14:textFill>
        </w:rPr>
        <w:t>供应商</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w:t>
      </w:r>
    </w:p>
    <w:p w14:paraId="72D85A8D">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3.1一般规定</w:t>
      </w:r>
    </w:p>
    <w:p w14:paraId="5D01ED07">
      <w:pPr>
        <w:pStyle w:val="7"/>
        <w:keepNext w:val="0"/>
        <w:keepLines w:val="0"/>
        <w:widowControl/>
        <w:suppressLineNumbers w:val="0"/>
        <w:spacing w:before="75" w:beforeAutospacing="0" w:after="75" w:afterAutospacing="0" w:line="240" w:lineRule="auto"/>
        <w:ind w:left="0" w:right="0" w:firstLine="48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3.1.1供应商除了应遵守政府采购法及实施条例、政府采购非招标采购方式管理办法及财政部、福建省财政厅有关政府采购文件的规定外，还应遵守有关法律、法规和规章的强制性规定。</w:t>
      </w:r>
    </w:p>
    <w:p w14:paraId="52294154">
      <w:pPr>
        <w:pStyle w:val="7"/>
        <w:keepNext w:val="0"/>
        <w:keepLines w:val="0"/>
        <w:widowControl/>
        <w:suppressLineNumbers w:val="0"/>
        <w:spacing w:before="75" w:beforeAutospacing="0" w:after="75" w:afterAutospacing="0" w:line="240" w:lineRule="auto"/>
        <w:ind w:left="0" w:right="0" w:firstLine="48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3.1.2为采购项目提供整体设计、规范编制或项目管理、监理、检测等服务的供应商，不得再参加该采购项目除整体设计、规范编制和项目管理、监理、检测等服务之外的其他采购活动。</w:t>
      </w:r>
    </w:p>
    <w:p w14:paraId="79F2F726">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3.1.3列入失信被执行人、重大税收违法案件当事人名单、政府采购严重违法失信行为记录名单及其他不符合《中华人民共和国政府采购法》第二十二条规定条件的供应商，不得参加政府采购活动。</w:t>
      </w:r>
    </w:p>
    <w:p w14:paraId="4A05750D">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供应商有责任检查自身情况，在响应文件中对是否违反以上一般规定做出如实声明，否则其响应文件将被否决。</w:t>
      </w:r>
    </w:p>
    <w:p w14:paraId="5342A857">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3.2特别规定</w:t>
      </w:r>
    </w:p>
    <w:p w14:paraId="3ECEE67E">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3.2.1供应商的资格要求：详见竞争性磋商须知前附表第</w:t>
      </w:r>
      <w:r>
        <w:rPr>
          <w:rFonts w:hint="eastAsia" w:ascii="宋体" w:hAnsi="宋体" w:eastAsia="宋体" w:cs="宋体"/>
          <w:color w:val="000000" w:themeColor="text1"/>
          <w:spacing w:val="0"/>
          <w:sz w:val="24"/>
          <w:szCs w:val="24"/>
          <w:highlight w:val="none"/>
          <w:u w:val="single"/>
          <w14:textFill>
            <w14:solidFill>
              <w14:schemeClr w14:val="tx1"/>
            </w14:solidFill>
          </w14:textFill>
        </w:rPr>
        <w:t>1</w:t>
      </w:r>
      <w:r>
        <w:rPr>
          <w:rFonts w:hint="eastAsia" w:ascii="宋体" w:hAnsi="宋体" w:eastAsia="宋体" w:cs="宋体"/>
          <w:color w:val="000000" w:themeColor="text1"/>
          <w:spacing w:val="0"/>
          <w:sz w:val="24"/>
          <w:szCs w:val="24"/>
          <w:highlight w:val="none"/>
          <w14:textFill>
            <w14:solidFill>
              <w14:schemeClr w14:val="tx1"/>
            </w14:solidFill>
          </w14:textFill>
        </w:rPr>
        <w:t>项。</w:t>
      </w:r>
    </w:p>
    <w:p w14:paraId="0072B895">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3.2.2是否接受联合体形式的响应磋商：详见竞争性磋商须知前附表第</w:t>
      </w:r>
      <w:r>
        <w:rPr>
          <w:rFonts w:hint="eastAsia" w:ascii="宋体" w:hAnsi="宋体" w:eastAsia="宋体" w:cs="宋体"/>
          <w:color w:val="000000" w:themeColor="text1"/>
          <w:spacing w:val="0"/>
          <w:sz w:val="24"/>
          <w:szCs w:val="24"/>
          <w:highlight w:val="none"/>
          <w:u w:val="single"/>
          <w14:textFill>
            <w14:solidFill>
              <w14:schemeClr w14:val="tx1"/>
            </w14:solidFill>
          </w14:textFill>
        </w:rPr>
        <w:t>2</w:t>
      </w:r>
      <w:r>
        <w:rPr>
          <w:rFonts w:hint="eastAsia" w:ascii="宋体" w:hAnsi="宋体" w:eastAsia="宋体" w:cs="宋体"/>
          <w:color w:val="000000" w:themeColor="text1"/>
          <w:spacing w:val="0"/>
          <w:sz w:val="24"/>
          <w:szCs w:val="24"/>
          <w:highlight w:val="none"/>
          <w14:textFill>
            <w14:solidFill>
              <w14:schemeClr w14:val="tx1"/>
            </w14:solidFill>
          </w14:textFill>
        </w:rPr>
        <w:t>项。若接受联合体形式且供应商为联合体，则联合体各方除了应遵守本章第3.1条规定外，还应遵守下列规定：</w:t>
      </w:r>
    </w:p>
    <w:p w14:paraId="66882553">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（1）联合体各方应提交联合体协议，联合体协议应符合磋商文件规定。</w:t>
      </w:r>
    </w:p>
    <w:p w14:paraId="53DE9984">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（2）联合体各方不得再单独参加或与其他供应商另外组成联合体参加同一合同项下的响应磋商。</w:t>
      </w:r>
    </w:p>
    <w:p w14:paraId="408C614A">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（3）联合体各方应共同与采购人签订政府采购合同，就政府采购合同约定的事项对采购人承担连带责任。</w:t>
      </w:r>
    </w:p>
    <w:p w14:paraId="63F321B8">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2BAA256A">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4.参与竞争性磋商费用：</w:t>
      </w:r>
    </w:p>
    <w:p w14:paraId="572668C5">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4.1除法律法规或采购文件另有规定之外，供应商应自行承担其准备与参加竞争性磋商所涉及的一切费用。</w:t>
      </w:r>
    </w:p>
    <w:p w14:paraId="50443D74">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41A303A5">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二、竞争性磋商文件</w:t>
      </w:r>
    </w:p>
    <w:p w14:paraId="046A74A3">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p>
    <w:p w14:paraId="2A1CA734">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5.竞争性磋商文件的组成：</w:t>
      </w:r>
    </w:p>
    <w:p w14:paraId="4B1A49C3">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5.1竞争性磋商文件由下述部分组成：</w:t>
      </w:r>
    </w:p>
    <w:p w14:paraId="60954012">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第一章 采购公告（或采购邀请书）</w:t>
      </w:r>
    </w:p>
    <w:p w14:paraId="341F5210">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第二章 竞争性磋商须知</w:t>
      </w:r>
    </w:p>
    <w:p w14:paraId="33BF7F54">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第三章 采购内容及要求</w:t>
      </w:r>
    </w:p>
    <w:p w14:paraId="519DBB53">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第四章 合同主要条款及格式</w:t>
      </w:r>
    </w:p>
    <w:p w14:paraId="5599D916">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第五章 首次响应文件格式</w:t>
      </w:r>
    </w:p>
    <w:p w14:paraId="79E538A4">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5.2除上述内容以外，采购人、采购代理机构或者磋商小组在采购过程期间对磋商文件所作的澄清、修改或补充，均构成磋商文件的组成部分，对采购人和供应商具有约束力。</w:t>
      </w:r>
    </w:p>
    <w:p w14:paraId="7E677B83">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6.竞争性磋商文件的澄清、补充、修改及现场考察等：</w:t>
      </w:r>
    </w:p>
    <w:p w14:paraId="71CE8E65">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14:paraId="1E4414D1">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14:paraId="393447E6">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6.3采购人、采购代理机构可以视采购项目的具体情况，组织供应商进行现场考察或召开磋商前答疑会，是否组织现场考察或召开磋商前答疑会详见竞争性磋商须知前附表第</w:t>
      </w:r>
      <w:r>
        <w:rPr>
          <w:rFonts w:hint="eastAsia" w:ascii="宋体" w:hAnsi="宋体" w:eastAsia="宋体" w:cs="宋体"/>
          <w:color w:val="000000" w:themeColor="text1"/>
          <w:spacing w:val="0"/>
          <w:sz w:val="24"/>
          <w:szCs w:val="24"/>
          <w:highlight w:val="none"/>
          <w:u w:val="single"/>
          <w14:textFill>
            <w14:solidFill>
              <w14:schemeClr w14:val="tx1"/>
            </w14:solidFill>
          </w14:textFill>
        </w:rPr>
        <w:t>3</w:t>
      </w:r>
      <w:r>
        <w:rPr>
          <w:rFonts w:hint="eastAsia" w:ascii="宋体" w:hAnsi="宋体" w:eastAsia="宋体" w:cs="宋体"/>
          <w:color w:val="000000" w:themeColor="text1"/>
          <w:spacing w:val="0"/>
          <w:sz w:val="24"/>
          <w:szCs w:val="24"/>
          <w:highlight w:val="none"/>
          <w14:textFill>
            <w14:solidFill>
              <w14:schemeClr w14:val="tx1"/>
            </w14:solidFill>
          </w14:textFill>
        </w:rPr>
        <w:t>项。</w:t>
      </w:r>
    </w:p>
    <w:p w14:paraId="4E158A75">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三、响应文件编制</w:t>
      </w:r>
    </w:p>
    <w:p w14:paraId="3FB3B120">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5CAFA1FA">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7.应标要求</w:t>
      </w:r>
    </w:p>
    <w:p w14:paraId="6988F24D">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7.1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14:paraId="1B96A9F6">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7.2供应商代表在同一个合同项下只能接受一个供应商的委托参加响应磋商，否则其响应文件将被否决。</w:t>
      </w:r>
    </w:p>
    <w:p w14:paraId="47B0F9B8">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7.3供应商应仔细阅读磋商文件的所有内容和要求，按磋商文件的规定提供响应文件，并对其所提供的全部资料、承诺和声明的真实性、合法性和准确性负责。</w:t>
      </w:r>
    </w:p>
    <w:p w14:paraId="0294ACC3">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7.4除非竞争性磋商须知前附表另有规定外，供应商提供的响应文件应使用中文文本，若有不同文字文本，以中文文本为准。</w:t>
      </w:r>
    </w:p>
    <w:p w14:paraId="0337D8AB">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12BD0FB3">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7.6除非竞争性磋商须知前附表另有规定外，供应商承诺的报价应以人民币进行报价，合同实施结算时亦以人民币支付；所有计量均采用中华人民共和国法定计量单位。</w:t>
      </w:r>
    </w:p>
    <w:p w14:paraId="217E6484">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8.首次响应文件的组成：</w:t>
      </w:r>
    </w:p>
    <w:p w14:paraId="2202964F">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8.1首次响应文件包括但不限于下列部分：</w:t>
      </w:r>
    </w:p>
    <w:p w14:paraId="54BCA6A4">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（1）响应函</w:t>
      </w:r>
    </w:p>
    <w:p w14:paraId="528FAA76">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（2）报价一览表（含详细报价书）</w:t>
      </w:r>
    </w:p>
    <w:p w14:paraId="194F05E6">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（3）资格证明文件</w:t>
      </w:r>
    </w:p>
    <w:p w14:paraId="31186515">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（4）磋商保证金凭证</w:t>
      </w:r>
    </w:p>
    <w:p w14:paraId="64ADBF70">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（5）技术和商务偏离表</w:t>
      </w:r>
    </w:p>
    <w:p w14:paraId="5569B65B">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（6）相关技术、商务、服务响应承诺及资料</w:t>
      </w:r>
    </w:p>
    <w:p w14:paraId="46E67A1E">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（7）供应商提交的其他资料</w:t>
      </w:r>
    </w:p>
    <w:p w14:paraId="5AA7B6AF">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（8）要求作为响应文件组成部分的其他内容（若有）</w:t>
      </w:r>
    </w:p>
    <w:p w14:paraId="2D3F4C6E">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9.响应文件有效期：</w:t>
      </w:r>
    </w:p>
    <w:p w14:paraId="20608C35">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9.1响应文件有效期见竞争性磋商须知前附表第</w:t>
      </w:r>
      <w:r>
        <w:rPr>
          <w:rFonts w:hint="eastAsia" w:ascii="宋体" w:hAnsi="宋体" w:eastAsia="宋体" w:cs="宋体"/>
          <w:color w:val="000000" w:themeColor="text1"/>
          <w:spacing w:val="0"/>
          <w:sz w:val="24"/>
          <w:szCs w:val="24"/>
          <w:highlight w:val="none"/>
          <w:u w:val="single"/>
          <w14:textFill>
            <w14:solidFill>
              <w14:schemeClr w14:val="tx1"/>
            </w14:solidFill>
          </w14:textFill>
        </w:rPr>
        <w:t>4</w:t>
      </w:r>
      <w:r>
        <w:rPr>
          <w:rFonts w:hint="eastAsia" w:ascii="宋体" w:hAnsi="宋体" w:eastAsia="宋体" w:cs="宋体"/>
          <w:color w:val="000000" w:themeColor="text1"/>
          <w:spacing w:val="0"/>
          <w:sz w:val="24"/>
          <w:szCs w:val="24"/>
          <w:highlight w:val="none"/>
          <w14:textFill>
            <w14:solidFill>
              <w14:schemeClr w14:val="tx1"/>
            </w14:solidFill>
          </w14:textFill>
        </w:rPr>
        <w:t>项，响应文件承诺的有效期不得少于磋商文件载明的有效期，</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否则其响应文件将被否决。</w:t>
      </w:r>
    </w:p>
    <w:p w14:paraId="32C60161">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14:paraId="7BA4E7F6">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10.磋商保证金：</w:t>
      </w:r>
    </w:p>
    <w:p w14:paraId="5005EA83">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10.1供应商应在参加竞争性磋商之前按竞争性磋商须知前附表第</w:t>
      </w:r>
      <w:r>
        <w:rPr>
          <w:rFonts w:hint="eastAsia" w:ascii="宋体" w:hAnsi="宋体" w:eastAsia="宋体" w:cs="宋体"/>
          <w:color w:val="000000" w:themeColor="text1"/>
          <w:spacing w:val="0"/>
          <w:sz w:val="24"/>
          <w:szCs w:val="24"/>
          <w:highlight w:val="none"/>
          <w:u w:val="single"/>
          <w14:textFill>
            <w14:solidFill>
              <w14:schemeClr w14:val="tx1"/>
            </w14:solidFill>
          </w14:textFill>
        </w:rPr>
        <w:t>5</w:t>
      </w:r>
      <w:r>
        <w:rPr>
          <w:rFonts w:hint="eastAsia" w:ascii="宋体" w:hAnsi="宋体" w:eastAsia="宋体" w:cs="宋体"/>
          <w:color w:val="000000" w:themeColor="text1"/>
          <w:spacing w:val="0"/>
          <w:sz w:val="24"/>
          <w:szCs w:val="24"/>
          <w:highlight w:val="none"/>
          <w14:textFill>
            <w14:solidFill>
              <w14:schemeClr w14:val="tx1"/>
            </w14:solidFill>
          </w14:textFill>
        </w:rPr>
        <w:t>项规定的金额、形式等要求提交磋商保证金。磋商文件若接受联合体形式且供应商为联合体的，则可以由联合体中的牵头方提交磋商保证金，其提交的磋商保证金对联合体各方均具有约束力。</w:t>
      </w:r>
    </w:p>
    <w:p w14:paraId="0694E6B6">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10.2磋商保证金为响应文件的重要组成部分之一。磋商保证金用于保护本次磋商活动免受供应商的违约或失信行为而引起的风险。未按规定提交磋商保证金的，</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其响应文件将被否决。</w:t>
      </w:r>
    </w:p>
    <w:p w14:paraId="76045CAA">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10.3磋商保证金退还：</w:t>
      </w:r>
    </w:p>
    <w:p w14:paraId="7BEA1B73">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w:t>
      </w:r>
      <w:r>
        <w:rPr>
          <w:rFonts w:hint="eastAsia" w:ascii="宋体" w:hAnsi="宋体" w:eastAsia="宋体" w:cs="宋体"/>
          <w:color w:val="000000" w:themeColor="text1"/>
          <w:spacing w:val="0"/>
          <w:sz w:val="24"/>
          <w:szCs w:val="24"/>
          <w:highlight w:val="none"/>
          <w:u w:val="single"/>
          <w14:textFill>
            <w14:solidFill>
              <w14:schemeClr w14:val="tx1"/>
            </w14:solidFill>
          </w14:textFill>
        </w:rPr>
        <w:t>6</w:t>
      </w:r>
      <w:r>
        <w:rPr>
          <w:rFonts w:hint="eastAsia" w:ascii="宋体" w:hAnsi="宋体" w:eastAsia="宋体" w:cs="宋体"/>
          <w:color w:val="000000" w:themeColor="text1"/>
          <w:spacing w:val="0"/>
          <w:sz w:val="24"/>
          <w:szCs w:val="24"/>
          <w:highlight w:val="none"/>
          <w14:textFill>
            <w14:solidFill>
              <w14:schemeClr w14:val="tx1"/>
            </w14:solidFill>
          </w14:textFill>
        </w:rPr>
        <w:t>项。</w:t>
      </w:r>
    </w:p>
    <w:p w14:paraId="07AE2DFE">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10.3.2质疑或投诉涉及的供应商，若其磋商保证金尚未退还，则待质疑或投诉处理完毕后，且没有发生法律法规或者磋商文件规定的不予退还磋商保证金情形，则由采购人或采购代理机构给予及时退还。</w:t>
      </w:r>
    </w:p>
    <w:p w14:paraId="2D2C88DF">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10.4如果供应商发生以下任何一种情况时，其磋商保证金将被不予退还：</w:t>
      </w:r>
    </w:p>
    <w:p w14:paraId="7BC47D51">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(1)供应商在提交响应文件截止时间后撤回响应文件的；</w:t>
      </w:r>
    </w:p>
    <w:p w14:paraId="493E9F00">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(2)供应商在响应文件中提供虚假材料的；</w:t>
      </w:r>
    </w:p>
    <w:p w14:paraId="142FA97F">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(3)除因不可抗力或磋商文件认可的情形以外，成交人不与采购人签订合同的；</w:t>
      </w:r>
    </w:p>
    <w:p w14:paraId="7BB61FC5">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(4)供应商与采购人、其他供应商或者采购代理机构恶意串通的；</w:t>
      </w:r>
    </w:p>
    <w:p w14:paraId="65FDC12C">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(5)供应商在提交最后报价后要求退出磋商的；</w:t>
      </w:r>
    </w:p>
    <w:p w14:paraId="7665D628">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(6)供应商假借以他人名义参加磋商或者以其他方式弄虚作假，骗取成交；</w:t>
      </w:r>
    </w:p>
    <w:p w14:paraId="5BDC56DD">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(7)国家法律法规以及磋商文件中规定的其他磋商保证金不予退还的情形。</w:t>
      </w:r>
    </w:p>
    <w:p w14:paraId="3F2F9527">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上述不予退还磋商保证金的情况不能抵偿给采购人或采购代理机构造成损失的，供应商还要承担赔偿责任。</w:t>
      </w:r>
    </w:p>
    <w:p w14:paraId="31832E84">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11.响应文件基本编制要求：</w:t>
      </w:r>
    </w:p>
    <w:p w14:paraId="720987F1">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xml:space="preserve">  </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11.1供应商须编制由本须知规定组成的响应文件正副本份数详见竞争性磋商须知前附表第</w:t>
      </w:r>
      <w:r>
        <w:rPr>
          <w:rFonts w:hint="eastAsia" w:ascii="宋体" w:hAnsi="宋体" w:eastAsia="宋体" w:cs="宋体"/>
          <w:color w:val="000000" w:themeColor="text1"/>
          <w:spacing w:val="0"/>
          <w:sz w:val="24"/>
          <w:szCs w:val="24"/>
          <w:highlight w:val="none"/>
          <w:u w:val="single"/>
          <w14:textFill>
            <w14:solidFill>
              <w14:schemeClr w14:val="tx1"/>
            </w14:solidFill>
          </w14:textFill>
        </w:rPr>
        <w:t>7</w:t>
      </w:r>
      <w:r>
        <w:rPr>
          <w:rFonts w:hint="eastAsia" w:ascii="宋体" w:hAnsi="宋体" w:eastAsia="宋体" w:cs="宋体"/>
          <w:color w:val="000000" w:themeColor="text1"/>
          <w:spacing w:val="0"/>
          <w:sz w:val="24"/>
          <w:szCs w:val="24"/>
          <w:highlight w:val="none"/>
          <w14:textFill>
            <w14:solidFill>
              <w14:schemeClr w14:val="tx1"/>
            </w14:solidFill>
          </w14:textFill>
        </w:rPr>
        <w:t>项。响应文件正本和全部副本均应使用不能擦去的墨料或墨水打印、书写或复印，副本可以用正本的完整复印件。响应文件封面上应标明“正本”、“副本”字样。正本与副本内容如有不一致，则以正本为准。</w:t>
      </w:r>
    </w:p>
    <w:p w14:paraId="281AA40D">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11.2响应文件应由供应商代表签字并加盖公章。供应商代表如果不是竞争性磋商须知中定义的“单位负责人”，则其响应文件中还必须提供“单位负责人授权书”。</w:t>
      </w:r>
    </w:p>
    <w:p w14:paraId="50CF9319">
      <w:pPr>
        <w:pStyle w:val="7"/>
        <w:keepNext w:val="0"/>
        <w:keepLines w:val="0"/>
        <w:widowControl/>
        <w:suppressLineNumbers w:val="0"/>
        <w:spacing w:before="75" w:beforeAutospacing="0" w:after="75" w:afterAutospacing="0" w:line="240" w:lineRule="auto"/>
        <w:ind w:left="0" w:right="0" w:firstLine="48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11.3响应文件应尽量避免涂改、行间插字或删除。如果出现上述情况，改动之处应加盖供应商单位公章或由供应商代表签字确认。</w:t>
      </w:r>
    </w:p>
    <w:p w14:paraId="5DA7018D">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11.4供应商应提交证明其拟提供货物、服务或工程符合磋商文件要求的技术和商务响应文件，该文件可以是文字资料、图纸和数据，并对拟提供的货物、服务或工程的主要内容进行详细描述。</w:t>
      </w:r>
    </w:p>
    <w:p w14:paraId="391C1265">
      <w:pPr>
        <w:pStyle w:val="7"/>
        <w:keepNext w:val="0"/>
        <w:keepLines w:val="0"/>
        <w:widowControl/>
        <w:suppressLineNumbers w:val="0"/>
        <w:spacing w:before="75" w:beforeAutospacing="0" w:after="75" w:afterAutospacing="0" w:line="435" w:lineRule="atLeast"/>
        <w:ind w:left="0" w:right="0" w:firstLine="0"/>
        <w:rPr>
          <w:rFonts w:hint="eastAsia" w:eastAsia="宋体"/>
          <w:color w:val="000000" w:themeColor="text1"/>
          <w:highlight w:val="none"/>
          <w:lang w:eastAsia="zh-CN"/>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12.纸质响应文件的密封、标识、签署和提交</w:t>
      </w:r>
      <w:r>
        <w:rPr>
          <w:rStyle w:val="12"/>
          <w:rFonts w:hint="eastAsia" w:ascii="宋体" w:hAnsi="宋体" w:cs="宋体"/>
          <w:b/>
          <w:bCs/>
          <w:color w:val="000000" w:themeColor="text1"/>
          <w:spacing w:val="0"/>
          <w:sz w:val="24"/>
          <w:szCs w:val="24"/>
          <w:highlight w:val="none"/>
          <w:lang w:eastAsia="zh-CN"/>
          <w14:textFill>
            <w14:solidFill>
              <w14:schemeClr w14:val="tx1"/>
            </w14:solidFill>
          </w14:textFill>
        </w:rPr>
        <w:t>：</w:t>
      </w:r>
    </w:p>
    <w:p w14:paraId="7E125C13">
      <w:pPr>
        <w:pStyle w:val="7"/>
        <w:keepNext w:val="0"/>
        <w:keepLines w:val="0"/>
        <w:widowControl/>
        <w:suppressLineNumbers w:val="0"/>
        <w:spacing w:before="75" w:beforeAutospacing="0" w:after="75" w:afterAutospacing="0" w:line="240" w:lineRule="auto"/>
        <w:ind w:left="0" w:right="0" w:firstLine="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12.1供应商应当将响应文件密封包装提交，并在外封套上标识项目名称、项目编号、供应商单位名称以及“于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30F826B5">
      <w:pPr>
        <w:pStyle w:val="7"/>
        <w:keepNext w:val="0"/>
        <w:keepLines w:val="0"/>
        <w:widowControl/>
        <w:suppressLineNumbers w:val="0"/>
        <w:spacing w:before="75" w:beforeAutospacing="0" w:after="75" w:afterAutospacing="0" w:line="240" w:lineRule="auto"/>
        <w:ind w:right="0" w:firstLine="720" w:firstLineChars="30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12.2供应商应当在磋商文件规定的提交响应文件截止时间前，将首次响应文件密封送达磋商文件规定的指定地点。在截止时间后送达的首次响应文件为无效文件，采购人、采购代理机构或者磋商小组将不予接收。</w:t>
      </w:r>
    </w:p>
    <w:p w14:paraId="09B06FF6">
      <w:pPr>
        <w:pStyle w:val="7"/>
        <w:keepNext w:val="0"/>
        <w:keepLines w:val="0"/>
        <w:widowControl/>
        <w:suppressLineNumbers w:val="0"/>
        <w:spacing w:before="75" w:beforeAutospacing="0" w:after="75" w:afterAutospacing="0" w:line="240" w:lineRule="auto"/>
        <w:ind w:left="0" w:right="0" w:firstLine="720" w:firstLineChars="30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14:paraId="1D3E38F8">
      <w:pPr>
        <w:pStyle w:val="7"/>
        <w:keepNext w:val="0"/>
        <w:keepLines w:val="0"/>
        <w:widowControl/>
        <w:suppressLineNumbers w:val="0"/>
        <w:spacing w:before="75" w:beforeAutospacing="0" w:after="75" w:afterAutospacing="0" w:line="240" w:lineRule="auto"/>
        <w:ind w:left="0" w:right="0" w:firstLine="720" w:firstLineChars="30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14:paraId="08EA3668">
      <w:pPr>
        <w:pStyle w:val="7"/>
        <w:keepNext w:val="0"/>
        <w:keepLines w:val="0"/>
        <w:widowControl/>
        <w:suppressLineNumbers w:val="0"/>
        <w:spacing w:before="75" w:beforeAutospacing="0" w:after="75" w:afterAutospacing="0" w:line="240" w:lineRule="auto"/>
        <w:ind w:left="0" w:right="0" w:firstLine="720" w:firstLineChars="30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14:paraId="2392C1CA">
      <w:pPr>
        <w:pStyle w:val="7"/>
        <w:keepNext w:val="0"/>
        <w:keepLines w:val="0"/>
        <w:widowControl/>
        <w:suppressLineNumbers w:val="0"/>
        <w:spacing w:before="75" w:beforeAutospacing="0" w:after="75" w:afterAutospacing="0" w:line="240" w:lineRule="auto"/>
        <w:ind w:left="0" w:right="0" w:firstLine="720" w:firstLineChars="300"/>
        <w:rPr>
          <w:rFonts w:hint="eastAsia" w:ascii="宋体" w:hAnsi="宋体" w:eastAsia="宋体" w:cs="宋体"/>
          <w:color w:val="000000" w:themeColor="text1"/>
          <w:spacing w:val="0"/>
          <w:sz w:val="24"/>
          <w:szCs w:val="24"/>
          <w:highlight w:val="none"/>
          <w14:textFill>
            <w14:solidFill>
              <w14:schemeClr w14:val="tx1"/>
            </w14:solidFill>
          </w14:textFill>
        </w:rPr>
      </w:pPr>
    </w:p>
    <w:p w14:paraId="28D0E813">
      <w:pPr>
        <w:pStyle w:val="3"/>
        <w:rPr>
          <w:rFonts w:hint="eastAsia"/>
          <w:color w:val="000000" w:themeColor="text1"/>
          <w:highlight w:val="none"/>
          <w14:textFill>
            <w14:solidFill>
              <w14:schemeClr w14:val="tx1"/>
            </w14:solidFill>
          </w14:textFill>
        </w:rPr>
      </w:pPr>
    </w:p>
    <w:p w14:paraId="32135FB1">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4719794F">
      <w:pPr>
        <w:pStyle w:val="7"/>
        <w:keepNext w:val="0"/>
        <w:keepLines w:val="0"/>
        <w:widowControl/>
        <w:suppressLineNumbers w:val="0"/>
        <w:spacing w:before="75" w:beforeAutospacing="0" w:after="75" w:afterAutospacing="0" w:line="240" w:lineRule="auto"/>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四、竞争性磋商</w:t>
      </w:r>
    </w:p>
    <w:p w14:paraId="3610BC81">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p>
    <w:p w14:paraId="520D4602">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13.评审和磋商基本准则</w:t>
      </w:r>
    </w:p>
    <w:p w14:paraId="4B5084EF">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13.1对所有供应商的评审和磋商，都采用相同的程序和标准。</w:t>
      </w:r>
    </w:p>
    <w:p w14:paraId="502C2D84">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13.2磋商及评审过程将严格按照磋商文件的要求和条件进行，磋商小组将根据供应商的响应文件，按磋商文件规定的磋商程序及评审的标准和方法进行评审、磋商，并推荐成交候选人。</w:t>
      </w:r>
    </w:p>
    <w:p w14:paraId="31BB6637">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14.磋商程序以及评审标准和方法</w:t>
      </w:r>
    </w:p>
    <w:p w14:paraId="458C4D46">
      <w:pPr>
        <w:pStyle w:val="7"/>
        <w:keepNext w:val="0"/>
        <w:keepLines w:val="0"/>
        <w:widowControl/>
        <w:suppressLineNumbers w:val="0"/>
        <w:spacing w:before="75" w:beforeAutospacing="0" w:after="75" w:afterAutospacing="0" w:line="240" w:lineRule="auto"/>
        <w:ind w:left="0" w:right="0" w:firstLine="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14.1采购人将根据项目的特点依法组建磋商小组。磋商小组将根据磋商文件规定的程序、评审标准和方法等内容对供应商进行评审、磋商。</w:t>
      </w:r>
    </w:p>
    <w:p w14:paraId="7061D7C0">
      <w:pPr>
        <w:pStyle w:val="7"/>
        <w:keepNext w:val="0"/>
        <w:keepLines w:val="0"/>
        <w:widowControl/>
        <w:suppressLineNumbers w:val="0"/>
        <w:spacing w:before="75" w:beforeAutospacing="0" w:after="75" w:afterAutospacing="0" w:line="240" w:lineRule="auto"/>
        <w:ind w:right="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14:paraId="7945A7BF">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14.2.1供应商有下列情况之一者，其提交的响应文件将被视为未实质性响应磋商文件要求，磋商小组将否决其响应文件，按无效处理：</w:t>
      </w:r>
    </w:p>
    <w:p w14:paraId="5A8202CF">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(1)响应文件中提供的资格证明文件不全的；</w:t>
      </w:r>
    </w:p>
    <w:p w14:paraId="6984AD16">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(2)响应文件未按磋商文件规定由供应商代表签字，或未按磋商文件规定加盖供应商单位公章的；或供应商代表未获得有效授权的；</w:t>
      </w:r>
    </w:p>
    <w:p w14:paraId="7453A591">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(3)供应商未按磋商文件规定提交磋商保证金的；</w:t>
      </w:r>
    </w:p>
    <w:p w14:paraId="2DAF237B">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(4)响应文件有效期不满足磋商文件要求的；</w:t>
      </w:r>
    </w:p>
    <w:p w14:paraId="7079078C">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(5)响应内容与磋商采购内容及要求有重大偏离或保留的，限制了采购人的权利或者减少成交人合同项下的义务；（由于磋商项目本身特点，不能详细列明采购标的的技术、服务要求的除外）；</w:t>
      </w:r>
    </w:p>
    <w:p w14:paraId="588E08B2">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(6)响应文件中附有采购人无法接受的条件的；</w:t>
      </w:r>
    </w:p>
    <w:p w14:paraId="750C5868">
      <w:pPr>
        <w:pStyle w:val="7"/>
        <w:keepNext w:val="0"/>
        <w:keepLines w:val="0"/>
        <w:widowControl/>
        <w:suppressLineNumbers w:val="0"/>
        <w:spacing w:before="75" w:beforeAutospacing="0" w:after="75" w:afterAutospacing="0" w:line="240" w:lineRule="auto"/>
        <w:ind w:left="0" w:right="0" w:firstLine="480"/>
        <w:rPr>
          <w:rFonts w:hint="eastAsia" w:ascii="宋体" w:hAnsi="宋体" w:eastAsia="宋体" w:cs="宋体"/>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(7)不符合磋商文件中规定的其它实质性条款（比如：报价超过了磋商文件规定的最高限价）。</w:t>
      </w:r>
    </w:p>
    <w:p w14:paraId="2ABF2D2C">
      <w:pPr>
        <w:pStyle w:val="7"/>
        <w:keepNext w:val="0"/>
        <w:keepLines w:val="0"/>
        <w:widowControl/>
        <w:suppressLineNumbers w:val="0"/>
        <w:spacing w:before="75" w:beforeAutospacing="0" w:after="75" w:afterAutospacing="0" w:line="240" w:lineRule="auto"/>
        <w:ind w:left="0" w:right="0" w:firstLine="480"/>
        <w:rPr>
          <w:rFonts w:hint="eastAsia" w:ascii="宋体" w:hAnsi="宋体" w:eastAsia="宋体" w:cs="宋体"/>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14.2.2其他情形</w:t>
      </w:r>
    </w:p>
    <w:p w14:paraId="7275AC38">
      <w:pPr>
        <w:pStyle w:val="7"/>
        <w:keepNext w:val="0"/>
        <w:keepLines w:val="0"/>
        <w:widowControl/>
        <w:suppressLineNumbers w:val="0"/>
        <w:spacing w:before="75" w:beforeAutospacing="0" w:after="75" w:afterAutospacing="0" w:line="240" w:lineRule="auto"/>
        <w:ind w:left="0" w:right="0" w:firstLine="480"/>
        <w:rPr>
          <w:rFonts w:hint="eastAsia" w:ascii="宋体" w:hAnsi="宋体" w:eastAsia="宋体" w:cs="宋体"/>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包：1</w:t>
      </w:r>
    </w:p>
    <w:p w14:paraId="2A071D5C">
      <w:pPr>
        <w:pStyle w:val="7"/>
        <w:keepNext w:val="0"/>
        <w:keepLines w:val="0"/>
        <w:widowControl/>
        <w:suppressLineNumbers w:val="0"/>
        <w:spacing w:before="75" w:beforeAutospacing="0" w:after="75" w:afterAutospacing="0" w:line="240" w:lineRule="auto"/>
        <w:ind w:left="0" w:right="0" w:firstLine="48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5C9C131E">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技术符合性</w:t>
      </w:r>
    </w:p>
    <w:tbl>
      <w:tblPr>
        <w:tblStyle w:val="10"/>
        <w:tblW w:w="5016"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793"/>
      </w:tblGrid>
      <w:tr w14:paraId="1D0E6C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9777" w:type="dxa"/>
            <w:tcBorders>
              <w:top w:val="outset" w:color="auto" w:sz="6" w:space="0"/>
              <w:left w:val="outset" w:color="auto" w:sz="6" w:space="0"/>
              <w:bottom w:val="outset" w:color="auto" w:sz="6" w:space="0"/>
              <w:right w:val="outset" w:color="auto" w:sz="6" w:space="0"/>
            </w:tcBorders>
            <w:noWrap w:val="0"/>
            <w:vAlign w:val="center"/>
          </w:tcPr>
          <w:p w14:paraId="5C162780">
            <w:pPr>
              <w:keepNext w:val="0"/>
              <w:keepLines w:val="0"/>
              <w:widowControl/>
              <w:suppressLineNumbers w:val="0"/>
              <w:jc w:val="left"/>
              <w:rPr>
                <w:b/>
                <w:bCs/>
                <w:color w:val="000000" w:themeColor="text1"/>
                <w:highlight w:val="none"/>
                <w14:textFill>
                  <w14:solidFill>
                    <w14:schemeClr w14:val="tx1"/>
                  </w14:solidFill>
                </w14:textFill>
              </w:rPr>
            </w:pPr>
            <w:r>
              <w:rPr>
                <w:rFonts w:ascii="宋体" w:hAnsi="宋体" w:eastAsia="宋体" w:cs="宋体"/>
                <w:b/>
                <w:bCs/>
                <w:color w:val="000000" w:themeColor="text1"/>
                <w:kern w:val="0"/>
                <w:sz w:val="24"/>
                <w:szCs w:val="24"/>
                <w:highlight w:val="none"/>
                <w:lang w:val="en-US" w:eastAsia="zh-CN" w:bidi="ar"/>
                <w14:textFill>
                  <w14:solidFill>
                    <w14:schemeClr w14:val="tx1"/>
                  </w14:solidFill>
                </w14:textFill>
              </w:rPr>
              <w:t>明细</w:t>
            </w:r>
          </w:p>
        </w:tc>
      </w:tr>
      <w:tr w14:paraId="2D2488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777" w:type="dxa"/>
            <w:tcBorders>
              <w:top w:val="outset" w:color="auto" w:sz="6" w:space="0"/>
              <w:left w:val="outset" w:color="auto" w:sz="6" w:space="0"/>
              <w:bottom w:val="outset" w:color="auto" w:sz="6" w:space="0"/>
              <w:right w:val="outset" w:color="auto" w:sz="6" w:space="0"/>
            </w:tcBorders>
            <w:noWrap w:val="0"/>
            <w:vAlign w:val="center"/>
          </w:tcPr>
          <w:p w14:paraId="6CF11046">
            <w:pPr>
              <w:keepNext w:val="0"/>
              <w:keepLines w:val="0"/>
              <w:widowControl/>
              <w:suppressLineNumbers w:val="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供应商响应文件技术部分的实际得分少于磋商文件设定的技术部分总分的50%的，视为无效</w:t>
            </w:r>
          </w:p>
          <w:p w14:paraId="54AD238D">
            <w:pPr>
              <w:keepNext w:val="0"/>
              <w:keepLines w:val="0"/>
              <w:widowControl/>
              <w:suppressLineNumbers w:val="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响应；</w:t>
            </w:r>
          </w:p>
        </w:tc>
      </w:tr>
      <w:tr w14:paraId="373148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777" w:type="dxa"/>
            <w:tcBorders>
              <w:top w:val="outset" w:color="auto" w:sz="6" w:space="0"/>
              <w:left w:val="outset" w:color="auto" w:sz="6" w:space="0"/>
              <w:bottom w:val="outset" w:color="auto" w:sz="6" w:space="0"/>
              <w:right w:val="outset" w:color="auto" w:sz="6" w:space="0"/>
            </w:tcBorders>
            <w:noWrap w:val="0"/>
            <w:vAlign w:val="center"/>
          </w:tcPr>
          <w:p w14:paraId="56372670">
            <w:pPr>
              <w:keepNext w:val="0"/>
              <w:keepLines w:val="0"/>
              <w:widowControl/>
              <w:suppressLineNumbers w:val="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供应商响应文件的技术部分中出现负偏离的，视为无效响应；</w:t>
            </w:r>
          </w:p>
        </w:tc>
      </w:tr>
      <w:tr w14:paraId="362763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777" w:type="dxa"/>
            <w:tcBorders>
              <w:top w:val="outset" w:color="auto" w:sz="6" w:space="0"/>
              <w:left w:val="outset" w:color="auto" w:sz="6" w:space="0"/>
              <w:bottom w:val="outset" w:color="auto" w:sz="6" w:space="0"/>
              <w:right w:val="outset" w:color="auto" w:sz="6" w:space="0"/>
            </w:tcBorders>
            <w:noWrap w:val="0"/>
            <w:vAlign w:val="center"/>
          </w:tcPr>
          <w:p w14:paraId="4701D4AD">
            <w:pPr>
              <w:keepNext w:val="0"/>
              <w:keepLines w:val="0"/>
              <w:widowControl/>
              <w:suppressLineNumbers w:val="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不满足以“★”标示的内容。</w:t>
            </w:r>
          </w:p>
        </w:tc>
      </w:tr>
    </w:tbl>
    <w:p w14:paraId="03936330">
      <w:pPr>
        <w:keepNext w:val="0"/>
        <w:keepLines w:val="0"/>
        <w:widowControl/>
        <w:suppressLineNumbers w:val="0"/>
        <w:jc w:val="left"/>
        <w:rPr>
          <w:rFonts w:ascii="宋体" w:hAnsi="宋体" w:eastAsia="宋体" w:cs="宋体"/>
          <w:color w:val="000000" w:themeColor="text1"/>
          <w:kern w:val="0"/>
          <w:sz w:val="24"/>
          <w:szCs w:val="24"/>
          <w:highlight w:val="none"/>
          <w:lang w:val="en-US" w:eastAsia="zh-CN" w:bidi="ar"/>
          <w14:textFill>
            <w14:solidFill>
              <w14:schemeClr w14:val="tx1"/>
            </w14:solidFill>
          </w14:textFill>
        </w:rPr>
      </w:pPr>
    </w:p>
    <w:p w14:paraId="2A89C9E7">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商务符合性</w:t>
      </w:r>
    </w:p>
    <w:tbl>
      <w:tblPr>
        <w:tblStyle w:val="10"/>
        <w:tblW w:w="500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778"/>
      </w:tblGrid>
      <w:tr w14:paraId="522538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rPr>
        <w:tc>
          <w:tcPr>
            <w:tcW w:w="9746" w:type="dxa"/>
            <w:tcBorders>
              <w:top w:val="outset" w:color="auto" w:sz="6" w:space="0"/>
              <w:left w:val="outset" w:color="auto" w:sz="6" w:space="0"/>
              <w:bottom w:val="outset" w:color="auto" w:sz="6" w:space="0"/>
              <w:right w:val="outset" w:color="auto" w:sz="6" w:space="0"/>
            </w:tcBorders>
            <w:noWrap w:val="0"/>
            <w:vAlign w:val="center"/>
          </w:tcPr>
          <w:p w14:paraId="5A6DF81D">
            <w:pPr>
              <w:keepNext w:val="0"/>
              <w:keepLines w:val="0"/>
              <w:widowControl/>
              <w:suppressLineNumbers w:val="0"/>
              <w:jc w:val="left"/>
              <w:rPr>
                <w:b/>
                <w:bCs/>
                <w:color w:val="000000" w:themeColor="text1"/>
                <w:highlight w:val="none"/>
                <w14:textFill>
                  <w14:solidFill>
                    <w14:schemeClr w14:val="tx1"/>
                  </w14:solidFill>
                </w14:textFill>
              </w:rPr>
            </w:pPr>
            <w:r>
              <w:rPr>
                <w:rFonts w:ascii="宋体" w:hAnsi="宋体" w:eastAsia="宋体" w:cs="宋体"/>
                <w:b/>
                <w:bCs/>
                <w:color w:val="000000" w:themeColor="text1"/>
                <w:kern w:val="0"/>
                <w:sz w:val="24"/>
                <w:szCs w:val="24"/>
                <w:highlight w:val="none"/>
                <w:lang w:val="en-US" w:eastAsia="zh-CN" w:bidi="ar"/>
                <w14:textFill>
                  <w14:solidFill>
                    <w14:schemeClr w14:val="tx1"/>
                  </w14:solidFill>
                </w14:textFill>
              </w:rPr>
              <w:t>明细</w:t>
            </w:r>
          </w:p>
        </w:tc>
      </w:tr>
      <w:tr w14:paraId="0CDFDB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746" w:type="dxa"/>
            <w:tcBorders>
              <w:top w:val="outset" w:color="auto" w:sz="6" w:space="0"/>
              <w:left w:val="outset" w:color="auto" w:sz="6" w:space="0"/>
              <w:bottom w:val="outset" w:color="auto" w:sz="6" w:space="0"/>
              <w:right w:val="outset" w:color="auto" w:sz="6" w:space="0"/>
            </w:tcBorders>
            <w:noWrap w:val="0"/>
            <w:vAlign w:val="center"/>
          </w:tcPr>
          <w:p w14:paraId="2888A5CF">
            <w:pPr>
              <w:keepNext w:val="0"/>
              <w:keepLines w:val="0"/>
              <w:widowControl/>
              <w:suppressLineNumbers w:val="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供应商响应文件的商务条件响应出现负偏离的，视为无效响应；</w:t>
            </w:r>
          </w:p>
        </w:tc>
      </w:tr>
      <w:tr w14:paraId="6DA910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746" w:type="dxa"/>
            <w:tcBorders>
              <w:top w:val="outset" w:color="auto" w:sz="6" w:space="0"/>
              <w:left w:val="outset" w:color="auto" w:sz="6" w:space="0"/>
              <w:bottom w:val="outset" w:color="auto" w:sz="6" w:space="0"/>
              <w:right w:val="outset" w:color="auto" w:sz="6" w:space="0"/>
            </w:tcBorders>
            <w:noWrap w:val="0"/>
            <w:vAlign w:val="center"/>
          </w:tcPr>
          <w:p w14:paraId="549FFAF7">
            <w:pPr>
              <w:keepNext w:val="0"/>
              <w:keepLines w:val="0"/>
              <w:widowControl/>
              <w:suppressLineNumbers w:val="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不满足以“★”标示的内容。</w:t>
            </w:r>
          </w:p>
        </w:tc>
      </w:tr>
    </w:tbl>
    <w:p w14:paraId="283B3D11">
      <w:pPr>
        <w:keepNext w:val="0"/>
        <w:keepLines w:val="0"/>
        <w:widowControl/>
        <w:suppressLineNumbers w:val="0"/>
        <w:spacing w:line="240" w:lineRule="auto"/>
        <w:jc w:val="left"/>
        <w:rPr>
          <w:rFonts w:ascii="宋体" w:hAnsi="宋体" w:eastAsia="宋体" w:cs="宋体"/>
          <w:color w:val="000000" w:themeColor="text1"/>
          <w:kern w:val="0"/>
          <w:sz w:val="24"/>
          <w:szCs w:val="24"/>
          <w:highlight w:val="none"/>
          <w:lang w:val="en-US" w:eastAsia="zh-CN" w:bidi="ar"/>
          <w14:textFill>
            <w14:solidFill>
              <w14:schemeClr w14:val="tx1"/>
            </w14:solidFill>
          </w14:textFill>
        </w:rPr>
      </w:pPr>
    </w:p>
    <w:p w14:paraId="3A73CDEE">
      <w:pPr>
        <w:keepNext w:val="0"/>
        <w:keepLines w:val="0"/>
        <w:widowControl/>
        <w:suppressLineNumbers w:val="0"/>
        <w:spacing w:line="240" w:lineRule="auto"/>
        <w:jc w:val="left"/>
        <w:rPr>
          <w:rStyle w:val="12"/>
          <w:rFonts w:ascii="宋体" w:hAnsi="宋体" w:eastAsia="宋体" w:cs="宋体"/>
          <w:b/>
          <w:bCs/>
          <w:color w:val="000000" w:themeColor="text1"/>
          <w:kern w:val="0"/>
          <w:sz w:val="24"/>
          <w:szCs w:val="24"/>
          <w:highlight w:val="none"/>
          <w:lang w:val="en-US" w:eastAsia="zh-CN" w:bidi="ar"/>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附加符合性</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 xml:space="preserve">： </w:t>
      </w:r>
      <w:r>
        <w:rPr>
          <w:rStyle w:val="12"/>
          <w:rFonts w:ascii="宋体" w:hAnsi="宋体" w:eastAsia="宋体" w:cs="宋体"/>
          <w:b/>
          <w:bCs/>
          <w:color w:val="000000" w:themeColor="text1"/>
          <w:kern w:val="0"/>
          <w:sz w:val="24"/>
          <w:szCs w:val="24"/>
          <w:highlight w:val="none"/>
          <w:lang w:val="en-US" w:eastAsia="zh-CN" w:bidi="ar"/>
          <w14:textFill>
            <w14:solidFill>
              <w14:schemeClr w14:val="tx1"/>
            </w14:solidFill>
          </w14:textFill>
        </w:rPr>
        <w:t>无      </w:t>
      </w:r>
    </w:p>
    <w:p w14:paraId="4317C0DC">
      <w:pPr>
        <w:keepNext w:val="0"/>
        <w:keepLines w:val="0"/>
        <w:widowControl/>
        <w:suppressLineNumbers w:val="0"/>
        <w:spacing w:line="240" w:lineRule="auto"/>
        <w:jc w:val="left"/>
        <w:rPr>
          <w:rStyle w:val="12"/>
          <w:rFonts w:ascii="宋体" w:hAnsi="宋体" w:eastAsia="宋体" w:cs="宋体"/>
          <w:b/>
          <w:bCs/>
          <w:color w:val="000000" w:themeColor="text1"/>
          <w:kern w:val="0"/>
          <w:sz w:val="24"/>
          <w:szCs w:val="24"/>
          <w:highlight w:val="none"/>
          <w:lang w:val="en-US" w:eastAsia="zh-CN" w:bidi="ar"/>
          <w14:textFill>
            <w14:solidFill>
              <w14:schemeClr w14:val="tx1"/>
            </w14:solidFill>
          </w14:textFill>
        </w:rPr>
      </w:pPr>
    </w:p>
    <w:p w14:paraId="1CE0B718">
      <w:pPr>
        <w:keepNext w:val="0"/>
        <w:keepLines w:val="0"/>
        <w:widowControl/>
        <w:suppressLineNumbers w:val="0"/>
        <w:spacing w:line="240" w:lineRule="auto"/>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价格符合性</w:t>
      </w:r>
      <w:r>
        <w:rPr>
          <w:rFonts w:hint="eastAsia" w:ascii="宋体" w:hAnsi="宋体" w:cs="宋体"/>
          <w:color w:val="000000" w:themeColor="text1"/>
          <w:kern w:val="0"/>
          <w:sz w:val="24"/>
          <w:szCs w:val="24"/>
          <w:highlight w:val="none"/>
          <w:lang w:val="en-US" w:eastAsia="zh-CN" w:bidi="ar"/>
          <w14:textFill>
            <w14:solidFill>
              <w14:schemeClr w14:val="tx1"/>
            </w14:solidFill>
          </w14:textFill>
        </w:rPr>
        <w:t xml:space="preserve">： </w:t>
      </w:r>
      <w:r>
        <w:rPr>
          <w:rStyle w:val="12"/>
          <w:rFonts w:ascii="宋体" w:hAnsi="宋体" w:eastAsia="宋体" w:cs="宋体"/>
          <w:b/>
          <w:bCs/>
          <w:color w:val="000000" w:themeColor="text1"/>
          <w:kern w:val="0"/>
          <w:sz w:val="24"/>
          <w:szCs w:val="24"/>
          <w:highlight w:val="none"/>
          <w:lang w:val="en-US" w:eastAsia="zh-CN" w:bidi="ar"/>
          <w14:textFill>
            <w14:solidFill>
              <w14:schemeClr w14:val="tx1"/>
            </w14:solidFill>
          </w14:textFill>
        </w:rPr>
        <w:t>无</w:t>
      </w:r>
    </w:p>
    <w:p w14:paraId="27CC0F86">
      <w:pPr>
        <w:pStyle w:val="7"/>
        <w:keepNext w:val="0"/>
        <w:keepLines w:val="0"/>
        <w:widowControl/>
        <w:suppressLineNumbers w:val="0"/>
        <w:spacing w:before="75" w:beforeAutospacing="0" w:after="75" w:afterAutospacing="0" w:line="240" w:lineRule="auto"/>
        <w:ind w:right="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磋商小组决定供应商的响应性只根据响应文件本身的内容，而不寻求其他的外部证据。</w:t>
      </w:r>
    </w:p>
    <w:p w14:paraId="336F719E">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14:paraId="601A8656">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w:t>
      </w:r>
      <w:r>
        <w:rPr>
          <w:rFonts w:hint="eastAsia" w:ascii="宋体" w:hAnsi="宋体" w:eastAsia="宋体" w:cs="宋体"/>
          <w:color w:val="000000" w:themeColor="text1"/>
          <w:spacing w:val="0"/>
          <w:sz w:val="24"/>
          <w:szCs w:val="24"/>
          <w:highlight w:val="none"/>
          <w:u w:val="single"/>
          <w14:textFill>
            <w14:solidFill>
              <w14:schemeClr w14:val="tx1"/>
            </w14:solidFill>
          </w14:textFill>
        </w:rPr>
        <w:t>8</w:t>
      </w:r>
      <w:r>
        <w:rPr>
          <w:rFonts w:hint="eastAsia" w:ascii="宋体" w:hAnsi="宋体" w:eastAsia="宋体" w:cs="宋体"/>
          <w:color w:val="000000" w:themeColor="text1"/>
          <w:spacing w:val="0"/>
          <w:sz w:val="24"/>
          <w:szCs w:val="24"/>
          <w:highlight w:val="none"/>
          <w14:textFill>
            <w14:solidFill>
              <w14:schemeClr w14:val="tx1"/>
            </w14:solidFill>
          </w14:textFill>
        </w:rPr>
        <w:t>项。</w:t>
      </w:r>
    </w:p>
    <w:p w14:paraId="7826F6EB">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14:paraId="4E73A0B7">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14:paraId="28550200">
      <w:pPr>
        <w:pStyle w:val="7"/>
        <w:keepNext w:val="0"/>
        <w:keepLines w:val="0"/>
        <w:widowControl/>
        <w:suppressLineNumbers w:val="0"/>
        <w:spacing w:before="75" w:beforeAutospacing="0" w:after="75" w:afterAutospacing="0" w:line="240" w:lineRule="auto"/>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14:paraId="57801140">
      <w:pPr>
        <w:pStyle w:val="7"/>
        <w:keepNext w:val="0"/>
        <w:keepLines w:val="0"/>
        <w:widowControl/>
        <w:suppressLineNumbers w:val="0"/>
        <w:spacing w:before="75" w:beforeAutospacing="0" w:after="75" w:afterAutospacing="0" w:line="240" w:lineRule="auto"/>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14:paraId="3A8DEA8E">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14:paraId="7BF7BF37">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14.10供应商提交的响应文件和资料将给予保密，但不退回（有关证件或证照的原件除外）。</w:t>
      </w:r>
    </w:p>
    <w:p w14:paraId="1D60EC24">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五、合同授予</w:t>
      </w:r>
    </w:p>
    <w:p w14:paraId="31A51959">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p>
    <w:p w14:paraId="4C17623D">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15.授予合同的准则：</w:t>
      </w:r>
    </w:p>
    <w:p w14:paraId="4C7BA97D">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15.1除不可抗力等因素外，合同将授予响应文件符合竞争性磋商文件要求，能够圆满地履行合同，且被磋商小组推荐为第一成交候选人的供应商。</w:t>
      </w:r>
    </w:p>
    <w:p w14:paraId="5B218AFD">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14:paraId="30677C0E">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15.3为维护国家利益和社会公共利益，最低报价不是被授予合同的绝对保证。</w:t>
      </w:r>
    </w:p>
    <w:p w14:paraId="0C99BD12">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16.确定成交供应商：</w:t>
      </w:r>
    </w:p>
    <w:p w14:paraId="2AA98E10">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16.1采购人委托代理机构组织竞争性磋商采购活动的，采购代理机构在评审结束后2个工作日内将评审报告送采购人确认。</w:t>
      </w:r>
    </w:p>
    <w:p w14:paraId="3175E946">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14:paraId="3CF61C8F">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17.成交通知:</w:t>
      </w:r>
    </w:p>
    <w:p w14:paraId="281F4745">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14:paraId="74AB94B6">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66553272">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18.签订合同：</w:t>
      </w:r>
    </w:p>
    <w:p w14:paraId="53ACC17E">
      <w:pPr>
        <w:pStyle w:val="7"/>
        <w:keepNext w:val="0"/>
        <w:keepLines w:val="0"/>
        <w:widowControl/>
        <w:suppressLineNumbers w:val="0"/>
        <w:spacing w:before="75" w:beforeAutospacing="0" w:after="75" w:afterAutospacing="0" w:line="240" w:lineRule="auto"/>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18.1采购人与成交人应当自中标通知书发出之日起30个日历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14:paraId="17E81099">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18.2竞争性磋商文件、成交人的响应文件及其有关澄清承诺文件等，均为签订政府采购合同的依据和组成部分。</w:t>
      </w:r>
    </w:p>
    <w:p w14:paraId="074E4D41">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14:paraId="41B97744">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65166BAA">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六、询问、质疑与投诉</w:t>
      </w:r>
    </w:p>
    <w:p w14:paraId="6CCEFA6F">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3EFB29E6">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19.询问</w:t>
      </w:r>
    </w:p>
    <w:p w14:paraId="7C9467E2">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19.1潜在供应商或供应商对本次采购活动的有关事项若有疑问，可向采购人或采购代理机构提出询问，采购人或采购代理机构将按照政府采购法及实施条例的有关规定进行答复。</w:t>
      </w:r>
    </w:p>
    <w:p w14:paraId="71A9328E">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20.质疑</w:t>
      </w:r>
    </w:p>
    <w:p w14:paraId="380C87AE">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20.1质疑应在政府采购法及实施条例规定的时效内提出，并符合下列条件：</w:t>
      </w:r>
    </w:p>
    <w:p w14:paraId="6520405D">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14:paraId="73DFF7A2">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20.1.2质疑人应提交质疑函原件。</w:t>
      </w:r>
    </w:p>
    <w:p w14:paraId="48F57907">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20.1.3质疑函应包括下列主要内容：</w:t>
      </w:r>
    </w:p>
    <w:p w14:paraId="1A87B9EB">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35B5FC14">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②所质疑项目的基本信息，至少包括：项目编号、项目名称等；</w:t>
      </w:r>
    </w:p>
    <w:p w14:paraId="54CBFEEB">
      <w:pPr>
        <w:pStyle w:val="7"/>
        <w:keepNext w:val="0"/>
        <w:keepLines w:val="0"/>
        <w:widowControl/>
        <w:suppressLineNumbers w:val="0"/>
        <w:spacing w:before="75" w:beforeAutospacing="0" w:after="75" w:afterAutospacing="0" w:line="240" w:lineRule="auto"/>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③所质疑的具体事项（以下简称：“质疑事项”）；</w:t>
      </w:r>
    </w:p>
    <w:p w14:paraId="73E8D2A7">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④质疑人自身权益受到损害的事实依据和证明材料，至少包括：</w:t>
      </w:r>
    </w:p>
    <w:p w14:paraId="695F0E98">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a1所质疑的具体事项事实存在的证明材料；</w:t>
      </w:r>
    </w:p>
    <w:p w14:paraId="2BEC3181">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a2所质疑的具体事项事实导致质疑人自身权益受到损害的证明材料，如：采购文件、采购过程或成交结果违法违规，损害自已合法权益等证明材料；</w:t>
      </w:r>
    </w:p>
    <w:p w14:paraId="47D3C121">
      <w:pPr>
        <w:pStyle w:val="7"/>
        <w:keepNext w:val="0"/>
        <w:keepLines w:val="0"/>
        <w:widowControl/>
        <w:suppressLineNumbers w:val="0"/>
        <w:spacing w:before="75" w:beforeAutospacing="0" w:after="75" w:afterAutospacing="0" w:line="240" w:lineRule="auto"/>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02DB974F">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⑤针对质疑事项提出的明确请求和法律依据，</w:t>
      </w:r>
    </w:p>
    <w:p w14:paraId="502E4C1D">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14:paraId="29EC4EBE">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⑥提出质疑的日期以及质疑人代表联系方式，至少包括：姓名、手机、电子信箱、邮寄地址等。</w:t>
      </w:r>
    </w:p>
    <w:p w14:paraId="0CEED8F7">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20.2对不符合前文第20.1条规定的质疑，采购人或采购代理机构将按照下列规定进行处理：</w:t>
      </w:r>
    </w:p>
    <w:p w14:paraId="198DC34B">
      <w:pPr>
        <w:pStyle w:val="7"/>
        <w:keepNext w:val="0"/>
        <w:keepLines w:val="0"/>
        <w:widowControl/>
        <w:suppressLineNumbers w:val="0"/>
        <w:spacing w:before="75" w:beforeAutospacing="0" w:after="75" w:afterAutospacing="0" w:line="240" w:lineRule="auto"/>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20.2.1超过质疑时效提交的或者质疑人不是直接参与所质疑项目采购活动的供应商，书面告知质疑人其质疑不成立的原因和理由。</w:t>
      </w:r>
    </w:p>
    <w:p w14:paraId="15432611">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3E918E70">
      <w:pPr>
        <w:pStyle w:val="7"/>
        <w:keepNext w:val="0"/>
        <w:keepLines w:val="0"/>
        <w:widowControl/>
        <w:suppressLineNumbers w:val="0"/>
        <w:spacing w:before="75" w:beforeAutospacing="0" w:after="75" w:afterAutospacing="0" w:line="240" w:lineRule="auto"/>
        <w:ind w:right="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20.2.3质疑人修改、补充质疑函超过质疑时效提交的按20.2.1款处理。供应商提交质疑函时，要认真阅读本章第20条关于质疑的相关规定，以免内容或资料不齐，需要修改补充而延误时间。</w:t>
      </w:r>
    </w:p>
    <w:p w14:paraId="1388B3C6">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20.3对符合前文第20.1条规定的质疑，采购人或采购代理机构将按照政府采购法及实施条例的有关规定进行答复。</w:t>
      </w:r>
    </w:p>
    <w:p w14:paraId="314A81C6">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21.投诉</w:t>
      </w:r>
    </w:p>
    <w:p w14:paraId="3523D144">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21.1若对质疑答复不满意或质疑答复未在答复期限内作出，质疑人可在答复期限届满之日起15个工作日内向磋商文件中载明的监督管理部门投诉。</w:t>
      </w:r>
    </w:p>
    <w:p w14:paraId="3B59944B">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21.2投诉应有明确的请求和必要的证明材料，投诉的事项不得超出已质疑事项的范围。</w:t>
      </w:r>
    </w:p>
    <w:p w14:paraId="5334BD31">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2087ACF3">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七、有关信息公告和监督部门</w:t>
      </w:r>
    </w:p>
    <w:p w14:paraId="7874D418">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p>
    <w:p w14:paraId="0F9B0B24">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22.政府采购信息公告媒体</w:t>
      </w:r>
    </w:p>
    <w:p w14:paraId="7A296A63">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14:paraId="3BED8D68">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22.2信息公告指定媒体：详见竞争性磋商须知前附表第</w:t>
      </w:r>
      <w:r>
        <w:rPr>
          <w:rFonts w:hint="eastAsia" w:ascii="宋体" w:hAnsi="宋体" w:eastAsia="宋体" w:cs="宋体"/>
          <w:color w:val="000000" w:themeColor="text1"/>
          <w:spacing w:val="0"/>
          <w:sz w:val="24"/>
          <w:szCs w:val="24"/>
          <w:highlight w:val="none"/>
          <w:u w:val="single"/>
          <w14:textFill>
            <w14:solidFill>
              <w14:schemeClr w14:val="tx1"/>
            </w14:solidFill>
          </w14:textFill>
        </w:rPr>
        <w:t>1</w:t>
      </w:r>
      <w:r>
        <w:rPr>
          <w:rFonts w:hint="eastAsia" w:ascii="宋体" w:hAnsi="宋体" w:cs="宋体"/>
          <w:color w:val="000000" w:themeColor="text1"/>
          <w:spacing w:val="0"/>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pacing w:val="0"/>
          <w:sz w:val="24"/>
          <w:szCs w:val="24"/>
          <w:highlight w:val="none"/>
          <w14:textFill>
            <w14:solidFill>
              <w14:schemeClr w14:val="tx1"/>
            </w14:solidFill>
          </w14:textFill>
        </w:rPr>
        <w:t>项。</w:t>
      </w:r>
    </w:p>
    <w:p w14:paraId="74041ECA">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23.监督管理部门</w:t>
      </w:r>
    </w:p>
    <w:p w14:paraId="7B2F427A">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23.1磋商采购活动的监督管理部门详见竞争性磋商须知前附表第</w:t>
      </w:r>
      <w:r>
        <w:rPr>
          <w:rFonts w:hint="eastAsia" w:ascii="宋体" w:hAnsi="宋体" w:eastAsia="宋体" w:cs="宋体"/>
          <w:color w:val="000000" w:themeColor="text1"/>
          <w:spacing w:val="0"/>
          <w:sz w:val="24"/>
          <w:szCs w:val="24"/>
          <w:highlight w:val="none"/>
          <w:u w:val="single"/>
          <w14:textFill>
            <w14:solidFill>
              <w14:schemeClr w14:val="tx1"/>
            </w14:solidFill>
          </w14:textFill>
        </w:rPr>
        <w:t>1</w:t>
      </w:r>
      <w:r>
        <w:rPr>
          <w:rFonts w:hint="eastAsia" w:ascii="宋体" w:hAnsi="宋体" w:cs="宋体"/>
          <w:color w:val="000000" w:themeColor="text1"/>
          <w:spacing w:val="0"/>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pacing w:val="0"/>
          <w:sz w:val="24"/>
          <w:szCs w:val="24"/>
          <w:highlight w:val="none"/>
          <w14:textFill>
            <w14:solidFill>
              <w14:schemeClr w14:val="tx1"/>
            </w14:solidFill>
          </w14:textFill>
        </w:rPr>
        <w:t>项。</w:t>
      </w:r>
    </w:p>
    <w:p w14:paraId="35FD8BA1">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p>
    <w:p w14:paraId="7FE2DED0">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八、根据采购项目特点或政策需要补充的其他内容</w:t>
      </w:r>
    </w:p>
    <w:p w14:paraId="67B1FCB4">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54183898">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24.履约保证金</w:t>
      </w:r>
    </w:p>
    <w:p w14:paraId="70919E4A">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24.1采购人可以根据项目特点和需要，确定是否要求成交人在合同签订前，按照磋商文件规定的时间、形式、金额提交履约保证金，履约保证金的数额不超过中标合同金额的10%，具体详见磋商须知前附表第</w:t>
      </w:r>
      <w:r>
        <w:rPr>
          <w:rFonts w:hint="eastAsia" w:ascii="宋体" w:hAnsi="宋体" w:eastAsia="宋体" w:cs="宋体"/>
          <w:color w:val="000000" w:themeColor="text1"/>
          <w:spacing w:val="0"/>
          <w:sz w:val="24"/>
          <w:szCs w:val="24"/>
          <w:highlight w:val="none"/>
          <w:u w:val="single"/>
          <w14:textFill>
            <w14:solidFill>
              <w14:schemeClr w14:val="tx1"/>
            </w14:solidFill>
          </w14:textFill>
        </w:rPr>
        <w:t>1</w:t>
      </w:r>
      <w:r>
        <w:rPr>
          <w:rFonts w:hint="eastAsia" w:ascii="宋体" w:hAnsi="宋体" w:cs="宋体"/>
          <w:color w:val="000000" w:themeColor="text1"/>
          <w:spacing w:val="0"/>
          <w:sz w:val="24"/>
          <w:szCs w:val="24"/>
          <w:highlight w:val="none"/>
          <w:u w:val="single"/>
          <w:lang w:val="en-US" w:eastAsia="zh-CN"/>
          <w14:textFill>
            <w14:solidFill>
              <w14:schemeClr w14:val="tx1"/>
            </w14:solidFill>
          </w14:textFill>
        </w:rPr>
        <w:t>4</w:t>
      </w:r>
      <w:r>
        <w:rPr>
          <w:rFonts w:hint="eastAsia" w:ascii="宋体" w:hAnsi="宋体" w:eastAsia="宋体" w:cs="宋体"/>
          <w:color w:val="000000" w:themeColor="text1"/>
          <w:spacing w:val="0"/>
          <w:sz w:val="24"/>
          <w:szCs w:val="24"/>
          <w:highlight w:val="none"/>
          <w14:textFill>
            <w14:solidFill>
              <w14:schemeClr w14:val="tx1"/>
            </w14:solidFill>
          </w14:textFill>
        </w:rPr>
        <w:t>项规定。</w:t>
      </w:r>
    </w:p>
    <w:p w14:paraId="73B334B7">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24.2磋商文件要求在合同签订前提交履约保证金，如果成交人无故拖延或者拒不提交履约保证金的，则视为成交人拒绝与采购人签订合同，该成交人将承担违法行为的法律责任。</w:t>
      </w:r>
    </w:p>
    <w:p w14:paraId="0D840018">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25.其他新增内容：</w:t>
      </w:r>
    </w:p>
    <w:p w14:paraId="56BF7A12">
      <w:pPr>
        <w:pStyle w:val="7"/>
        <w:keepNext w:val="0"/>
        <w:keepLines w:val="0"/>
        <w:widowControl/>
        <w:suppressLineNumbers w:val="0"/>
        <w:spacing w:before="75" w:beforeAutospacing="0" w:after="75" w:afterAutospacing="0" w:line="240" w:lineRule="auto"/>
        <w:ind w:left="0" w:right="0" w:firstLine="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根据采购项目特点或政策需要补充的其他新增内容详见竞争性磋商须知前附表第1</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0"/>
          <w:sz w:val="24"/>
          <w:szCs w:val="24"/>
          <w:highlight w:val="none"/>
          <w14:textFill>
            <w14:solidFill>
              <w14:schemeClr w14:val="tx1"/>
            </w14:solidFill>
          </w14:textFill>
        </w:rPr>
        <w:t>项。</w:t>
      </w:r>
    </w:p>
    <w:p w14:paraId="4683E9E3">
      <w:pPr>
        <w:pStyle w:val="7"/>
        <w:keepNext w:val="0"/>
        <w:keepLines w:val="0"/>
        <w:widowControl/>
        <w:suppressLineNumbers w:val="0"/>
        <w:spacing w:before="75" w:beforeAutospacing="0" w:after="75" w:afterAutospacing="0" w:line="240" w:lineRule="auto"/>
        <w:ind w:left="0" w:right="0" w:firstLine="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br w:type="page"/>
      </w: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第三章  采购内容及要求</w:t>
      </w:r>
    </w:p>
    <w:p w14:paraId="56234F89">
      <w:pPr>
        <w:pStyle w:val="7"/>
        <w:keepNext w:val="0"/>
        <w:keepLines w:val="0"/>
        <w:widowControl/>
        <w:numPr>
          <w:ilvl w:val="0"/>
          <w:numId w:val="4"/>
        </w:numPr>
        <w:suppressLineNumbers w:val="0"/>
        <w:spacing w:before="75" w:beforeAutospacing="0" w:after="75" w:afterAutospacing="0" w:line="435" w:lineRule="atLeast"/>
        <w:ind w:left="0" w:right="0" w:firstLine="0"/>
        <w:rPr>
          <w:b/>
          <w:color w:val="000000" w:themeColor="text1"/>
          <w:sz w:val="28"/>
          <w:highlight w:val="none"/>
          <w14:textFill>
            <w14:solidFill>
              <w14:schemeClr w14:val="tx1"/>
            </w14:solidFill>
          </w14:textFill>
        </w:rPr>
      </w:pPr>
      <w:r>
        <w:rPr>
          <w:b/>
          <w:color w:val="000000" w:themeColor="text1"/>
          <w:sz w:val="28"/>
          <w:highlight w:val="none"/>
          <w14:textFill>
            <w14:solidFill>
              <w14:schemeClr w14:val="tx1"/>
            </w14:solidFill>
          </w14:textFill>
        </w:rPr>
        <w:t>（根据本项目实际情况，填写“采购标的”或“项目概况”）</w:t>
      </w:r>
    </w:p>
    <w:p w14:paraId="1E5F53AF">
      <w:pPr>
        <w:pStyle w:val="2"/>
        <w:spacing w:line="320" w:lineRule="exact"/>
        <w:jc w:val="both"/>
        <w:rPr>
          <w:rFonts w:hint="eastAsia" w:ascii="Arial" w:hAnsi="Arial" w:eastAsia="宋体" w:cs="Times New Roman"/>
          <w:b/>
          <w:color w:val="000000" w:themeColor="text1"/>
          <w:sz w:val="24"/>
          <w:szCs w:val="24"/>
          <w:highlight w:val="none"/>
          <w14:textFill>
            <w14:solidFill>
              <w14:schemeClr w14:val="tx1"/>
            </w14:solidFill>
          </w14:textFill>
        </w:rPr>
      </w:pPr>
      <w:r>
        <w:rPr>
          <w:rFonts w:hint="eastAsia" w:ascii="Arial" w:hAnsi="Arial" w:eastAsia="宋体" w:cs="Times New Roman"/>
          <w:b/>
          <w:color w:val="000000" w:themeColor="text1"/>
          <w:sz w:val="24"/>
          <w:szCs w:val="24"/>
          <w:highlight w:val="none"/>
          <w14:textFill>
            <w14:solidFill>
              <w14:schemeClr w14:val="tx1"/>
            </w14:solidFill>
          </w14:textFill>
        </w:rPr>
        <w:t>1、项目清单及功能</w:t>
      </w:r>
    </w:p>
    <w:tbl>
      <w:tblPr>
        <w:tblStyle w:val="10"/>
        <w:tblW w:w="50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9044"/>
      </w:tblGrid>
      <w:tr w14:paraId="228CF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95" w:type="dxa"/>
            <w:tcBorders>
              <w:top w:val="single" w:color="auto" w:sz="4" w:space="0"/>
              <w:left w:val="single" w:color="auto" w:sz="4" w:space="0"/>
              <w:bottom w:val="single" w:color="auto" w:sz="4" w:space="0"/>
              <w:right w:val="single" w:color="auto" w:sz="4" w:space="0"/>
            </w:tcBorders>
            <w:noWrap w:val="0"/>
            <w:vAlign w:val="center"/>
          </w:tcPr>
          <w:p w14:paraId="373D3D37">
            <w:pPr>
              <w:rPr>
                <w:rFonts w:hint="eastAsia" w:ascii="宋体" w:hAnsi="宋体" w:eastAsia="宋体" w:cs="宋体"/>
                <w:color w:val="000000" w:themeColor="text1"/>
                <w:highlight w:val="none"/>
                <w14:textFill>
                  <w14:solidFill>
                    <w14:schemeClr w14:val="tx1"/>
                  </w14:solidFill>
                </w14:textFill>
              </w:rPr>
            </w:pPr>
            <w:bookmarkStart w:id="0" w:name="OLE_LINK5"/>
            <w:r>
              <w:rPr>
                <w:rFonts w:hint="eastAsia" w:ascii="宋体" w:hAnsi="宋体" w:eastAsia="宋体" w:cs="宋体"/>
                <w:color w:val="000000" w:themeColor="text1"/>
                <w:highlight w:val="none"/>
                <w14:textFill>
                  <w14:solidFill>
                    <w14:schemeClr w14:val="tx1"/>
                  </w14:solidFill>
                </w14:textFill>
              </w:rPr>
              <w:t>模块</w:t>
            </w:r>
          </w:p>
        </w:tc>
        <w:tc>
          <w:tcPr>
            <w:tcW w:w="9044" w:type="dxa"/>
            <w:tcBorders>
              <w:top w:val="single" w:color="auto" w:sz="4" w:space="0"/>
              <w:left w:val="single" w:color="auto" w:sz="4" w:space="0"/>
              <w:bottom w:val="single" w:color="auto" w:sz="4" w:space="0"/>
              <w:right w:val="single" w:color="auto" w:sz="4" w:space="0"/>
            </w:tcBorders>
            <w:noWrap w:val="0"/>
            <w:vAlign w:val="center"/>
          </w:tcPr>
          <w:p w14:paraId="7CB907A7">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内容说明</w:t>
            </w:r>
          </w:p>
        </w:tc>
      </w:tr>
      <w:tr w14:paraId="47E1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95" w:type="dxa"/>
            <w:vMerge w:val="restart"/>
            <w:tcBorders>
              <w:top w:val="single" w:color="auto" w:sz="4" w:space="0"/>
              <w:left w:val="single" w:color="auto" w:sz="4" w:space="0"/>
              <w:right w:val="single" w:color="auto" w:sz="4" w:space="0"/>
            </w:tcBorders>
            <w:noWrap w:val="0"/>
            <w:vAlign w:val="center"/>
          </w:tcPr>
          <w:p w14:paraId="6387FCF2">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后勤管理服务大厅</w:t>
            </w:r>
          </w:p>
        </w:tc>
        <w:tc>
          <w:tcPr>
            <w:tcW w:w="9044" w:type="dxa"/>
            <w:tcBorders>
              <w:top w:val="single" w:color="auto" w:sz="4" w:space="0"/>
              <w:left w:val="single" w:color="auto" w:sz="4" w:space="0"/>
              <w:bottom w:val="single" w:color="auto" w:sz="4" w:space="0"/>
              <w:right w:val="single" w:color="auto" w:sz="4" w:space="0"/>
            </w:tcBorders>
            <w:noWrap w:val="0"/>
            <w:vAlign w:val="center"/>
          </w:tcPr>
          <w:p w14:paraId="4E146085">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统一办事大厅，按权限集成所有系统功能，支持按角色权限自动显示不同功能菜单。</w:t>
            </w:r>
          </w:p>
        </w:tc>
      </w:tr>
      <w:tr w14:paraId="440A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95" w:type="dxa"/>
            <w:vMerge w:val="continue"/>
            <w:tcBorders>
              <w:left w:val="single" w:color="auto" w:sz="4" w:space="0"/>
              <w:right w:val="single" w:color="auto" w:sz="4" w:space="0"/>
            </w:tcBorders>
            <w:noWrap w:val="0"/>
            <w:vAlign w:val="center"/>
          </w:tcPr>
          <w:p w14:paraId="47DC2D6A">
            <w:pPr>
              <w:rPr>
                <w:rFonts w:hint="eastAsia" w:ascii="宋体" w:hAnsi="宋体" w:eastAsia="宋体" w:cs="宋体"/>
                <w:color w:val="000000" w:themeColor="text1"/>
                <w:highlight w:val="none"/>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64AEE13D">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快捷功能，支持用户自定配置快捷功能包含但不限于功能自定义快捷功能菜单、顺序等。</w:t>
            </w:r>
          </w:p>
        </w:tc>
      </w:tr>
      <w:tr w14:paraId="5FFA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95" w:type="dxa"/>
            <w:vMerge w:val="continue"/>
            <w:tcBorders>
              <w:left w:val="single" w:color="auto" w:sz="4" w:space="0"/>
              <w:right w:val="single" w:color="auto" w:sz="4" w:space="0"/>
            </w:tcBorders>
            <w:noWrap w:val="0"/>
            <w:vAlign w:val="center"/>
          </w:tcPr>
          <w:p w14:paraId="67975ECB">
            <w:pPr>
              <w:rPr>
                <w:rFonts w:hint="eastAsia" w:ascii="宋体" w:hAnsi="宋体" w:eastAsia="宋体" w:cs="宋体"/>
                <w:color w:val="000000" w:themeColor="text1"/>
                <w:highlight w:val="none"/>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5F5B3AF3">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支持展示后勤管理信息公告展示功能，点击展示详情。</w:t>
            </w:r>
          </w:p>
        </w:tc>
      </w:tr>
      <w:tr w14:paraId="6BE7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95" w:type="dxa"/>
            <w:vMerge w:val="continue"/>
            <w:tcBorders>
              <w:left w:val="single" w:color="auto" w:sz="4" w:space="0"/>
              <w:right w:val="single" w:color="auto" w:sz="4" w:space="0"/>
            </w:tcBorders>
            <w:noWrap w:val="0"/>
            <w:vAlign w:val="center"/>
          </w:tcPr>
          <w:p w14:paraId="60A0CA8A">
            <w:pPr>
              <w:rPr>
                <w:rFonts w:hint="eastAsia" w:ascii="宋体" w:hAnsi="宋体" w:eastAsia="宋体" w:cs="宋体"/>
                <w:color w:val="000000" w:themeColor="text1"/>
                <w:highlight w:val="none"/>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7A175731">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支持后台配置办事大厅功能菜单内容，包含但不限于菜单图标、链接地址、第三方链接等。</w:t>
            </w:r>
          </w:p>
        </w:tc>
      </w:tr>
      <w:tr w14:paraId="6A1F9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95" w:type="dxa"/>
            <w:vMerge w:val="continue"/>
            <w:tcBorders>
              <w:left w:val="single" w:color="auto" w:sz="4" w:space="0"/>
              <w:bottom w:val="single" w:color="auto" w:sz="4" w:space="0"/>
              <w:right w:val="single" w:color="auto" w:sz="4" w:space="0"/>
            </w:tcBorders>
            <w:noWrap w:val="0"/>
            <w:vAlign w:val="center"/>
          </w:tcPr>
          <w:p w14:paraId="0A1DA225">
            <w:pPr>
              <w:rPr>
                <w:rFonts w:hint="eastAsia" w:ascii="宋体" w:hAnsi="宋体" w:eastAsia="宋体" w:cs="宋体"/>
                <w:color w:val="000000" w:themeColor="text1"/>
                <w:highlight w:val="none"/>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16DD2356">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支持学校统一身份认证集成。</w:t>
            </w:r>
          </w:p>
        </w:tc>
      </w:tr>
      <w:tr w14:paraId="17B9F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95" w:type="dxa"/>
            <w:vMerge w:val="restart"/>
            <w:tcBorders>
              <w:top w:val="single" w:color="auto" w:sz="4" w:space="0"/>
              <w:left w:val="single" w:color="auto" w:sz="4" w:space="0"/>
              <w:right w:val="single" w:color="auto" w:sz="4" w:space="0"/>
            </w:tcBorders>
            <w:noWrap w:val="0"/>
            <w:vAlign w:val="center"/>
          </w:tcPr>
          <w:p w14:paraId="41F6DB2A">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校园随手拍</w:t>
            </w:r>
          </w:p>
        </w:tc>
        <w:tc>
          <w:tcPr>
            <w:tcW w:w="9044" w:type="dxa"/>
            <w:tcBorders>
              <w:top w:val="single" w:color="auto" w:sz="4" w:space="0"/>
              <w:left w:val="single" w:color="auto" w:sz="4" w:space="0"/>
              <w:bottom w:val="single" w:color="auto" w:sz="4" w:space="0"/>
              <w:right w:val="single" w:color="auto" w:sz="4" w:space="0"/>
            </w:tcBorders>
            <w:noWrap w:val="0"/>
            <w:vAlign w:val="center"/>
          </w:tcPr>
          <w:p w14:paraId="7A2DC09A">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支持用户通过移动端拍照上传问题反馈，并可定义填写反馈内容、地址等详细信息。</w:t>
            </w:r>
          </w:p>
        </w:tc>
      </w:tr>
      <w:tr w14:paraId="6FB17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95" w:type="dxa"/>
            <w:vMerge w:val="continue"/>
            <w:tcBorders>
              <w:left w:val="single" w:color="auto" w:sz="4" w:space="0"/>
              <w:right w:val="single" w:color="auto" w:sz="4" w:space="0"/>
            </w:tcBorders>
            <w:noWrap w:val="0"/>
            <w:vAlign w:val="center"/>
          </w:tcPr>
          <w:p w14:paraId="64188FD5">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032F9B35">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支持通过自定义角色对随手拍内容进行分类，并可在分配流程中添加备注说明。</w:t>
            </w:r>
          </w:p>
        </w:tc>
      </w:tr>
      <w:tr w14:paraId="7E27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95" w:type="dxa"/>
            <w:vMerge w:val="continue"/>
            <w:tcBorders>
              <w:left w:val="single" w:color="auto" w:sz="4" w:space="0"/>
              <w:right w:val="single" w:color="auto" w:sz="4" w:space="0"/>
            </w:tcBorders>
            <w:noWrap w:val="0"/>
            <w:vAlign w:val="center"/>
          </w:tcPr>
          <w:p w14:paraId="6AFBF0A1">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6DA99CBC">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支持在接收反馈后进行问题的分配与处理。</w:t>
            </w:r>
          </w:p>
        </w:tc>
      </w:tr>
      <w:tr w14:paraId="2859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95" w:type="dxa"/>
            <w:vMerge w:val="continue"/>
            <w:tcBorders>
              <w:left w:val="single" w:color="auto" w:sz="4" w:space="0"/>
              <w:right w:val="single" w:color="auto" w:sz="4" w:space="0"/>
            </w:tcBorders>
            <w:noWrap w:val="0"/>
            <w:vAlign w:val="center"/>
          </w:tcPr>
          <w:p w14:paraId="03CE8734">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0E126B37">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支持设置反馈完成的时限及提醒功能，并可根据自定义周期进行提醒。</w:t>
            </w:r>
          </w:p>
        </w:tc>
      </w:tr>
      <w:tr w14:paraId="57C5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95" w:type="dxa"/>
            <w:vMerge w:val="continue"/>
            <w:tcBorders>
              <w:left w:val="single" w:color="auto" w:sz="4" w:space="0"/>
              <w:right w:val="single" w:color="auto" w:sz="4" w:space="0"/>
            </w:tcBorders>
            <w:noWrap w:val="0"/>
            <w:vAlign w:val="center"/>
          </w:tcPr>
          <w:p w14:paraId="4D424846">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774BB353">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支持驳回操作。</w:t>
            </w:r>
          </w:p>
        </w:tc>
      </w:tr>
      <w:tr w14:paraId="2C92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095" w:type="dxa"/>
            <w:vMerge w:val="continue"/>
            <w:tcBorders>
              <w:left w:val="single" w:color="auto" w:sz="4" w:space="0"/>
              <w:bottom w:val="single" w:color="auto" w:sz="4" w:space="0"/>
              <w:right w:val="single" w:color="auto" w:sz="4" w:space="0"/>
            </w:tcBorders>
            <w:noWrap w:val="0"/>
            <w:vAlign w:val="center"/>
          </w:tcPr>
          <w:p w14:paraId="3511FD54">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3F0D055E">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支持按待分类、分配、处理中、已完成、超时未完成、超时已完成进行查询。</w:t>
            </w:r>
          </w:p>
        </w:tc>
      </w:tr>
      <w:tr w14:paraId="12EF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55DE01C0">
            <w:pPr>
              <w:rPr>
                <w:rFonts w:hint="eastAsia" w:ascii="宋体" w:hAnsi="宋体" w:eastAsia="宋体" w:cs="宋体"/>
                <w:color w:val="000000" w:themeColor="text1"/>
                <w:highlight w:val="none"/>
                <w:lang w:val="en-US" w:eastAsia="zh-CN"/>
                <w14:textFill>
                  <w14:solidFill>
                    <w14:schemeClr w14:val="tx1"/>
                  </w14:solidFill>
                </w14:textFill>
              </w:rPr>
            </w:pPr>
            <w:bookmarkStart w:id="1" w:name="OLE_LINK6"/>
            <w:r>
              <w:rPr>
                <w:rFonts w:hint="eastAsia" w:ascii="宋体" w:hAnsi="宋体" w:eastAsia="宋体" w:cs="宋体"/>
                <w:color w:val="000000" w:themeColor="text1"/>
                <w:highlight w:val="none"/>
                <w:lang w:val="en-US" w:eastAsia="zh-CN"/>
                <w14:textFill>
                  <w14:solidFill>
                    <w14:schemeClr w14:val="tx1"/>
                  </w14:solidFill>
                </w14:textFill>
              </w:rPr>
              <w:t>网上报修管理</w:t>
            </w:r>
          </w:p>
        </w:tc>
        <w:tc>
          <w:tcPr>
            <w:tcW w:w="9044" w:type="dxa"/>
            <w:tcBorders>
              <w:top w:val="single" w:color="auto" w:sz="4" w:space="0"/>
              <w:left w:val="single" w:color="auto" w:sz="4" w:space="0"/>
              <w:bottom w:val="single" w:color="auto" w:sz="4" w:space="0"/>
              <w:right w:val="single" w:color="auto" w:sz="4" w:space="0"/>
            </w:tcBorders>
            <w:noWrap w:val="0"/>
            <w:vAlign w:val="center"/>
          </w:tcPr>
          <w:p w14:paraId="423323D3">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支持教职工和学生进行一键报修；管理员可以进行报修工单的全面管理；维修人员能够直接处理工单；同时支持电话报修服务；并且能够实现报修请求自动跳转至网络中心报修系统。</w:t>
            </w:r>
          </w:p>
        </w:tc>
      </w:tr>
      <w:tr w14:paraId="5C3B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95" w:type="dxa"/>
            <w:vMerge w:val="continue"/>
            <w:tcBorders>
              <w:left w:val="single" w:color="auto" w:sz="4" w:space="0"/>
              <w:right w:val="single" w:color="auto" w:sz="4" w:space="0"/>
            </w:tcBorders>
            <w:noWrap w:val="0"/>
            <w:vAlign w:val="center"/>
          </w:tcPr>
          <w:p w14:paraId="60F2B9E9">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701E4F1D">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支持自定义配置维修类目配置。</w:t>
            </w:r>
          </w:p>
        </w:tc>
      </w:tr>
      <w:tr w14:paraId="117BA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95" w:type="dxa"/>
            <w:vMerge w:val="continue"/>
            <w:tcBorders>
              <w:left w:val="single" w:color="auto" w:sz="4" w:space="0"/>
              <w:right w:val="single" w:color="auto" w:sz="4" w:space="0"/>
            </w:tcBorders>
            <w:noWrap w:val="0"/>
            <w:vAlign w:val="center"/>
          </w:tcPr>
          <w:p w14:paraId="53963188">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2AE8AC44">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支持物业公司对工单进行受理或驳回操作。</w:t>
            </w:r>
          </w:p>
        </w:tc>
      </w:tr>
      <w:tr w14:paraId="21C0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95" w:type="dxa"/>
            <w:vMerge w:val="continue"/>
            <w:tcBorders>
              <w:left w:val="single" w:color="auto" w:sz="4" w:space="0"/>
              <w:right w:val="single" w:color="auto" w:sz="4" w:space="0"/>
            </w:tcBorders>
            <w:noWrap w:val="0"/>
            <w:vAlign w:val="center"/>
          </w:tcPr>
          <w:p w14:paraId="1AE39FDB">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2B3198BD">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支持人工、自动、抢单等多种模式分派工单。</w:t>
            </w:r>
          </w:p>
        </w:tc>
      </w:tr>
      <w:tr w14:paraId="0525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95" w:type="dxa"/>
            <w:vMerge w:val="continue"/>
            <w:tcBorders>
              <w:left w:val="single" w:color="auto" w:sz="4" w:space="0"/>
              <w:right w:val="single" w:color="auto" w:sz="4" w:space="0"/>
            </w:tcBorders>
            <w:noWrap w:val="0"/>
            <w:vAlign w:val="center"/>
          </w:tcPr>
          <w:p w14:paraId="0A0D1538">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2C1044E9">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支持维修师傅现场勘验后选择是否需要配件；支持上报维修内容；支持完工反馈。</w:t>
            </w:r>
          </w:p>
        </w:tc>
      </w:tr>
      <w:tr w14:paraId="5388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95" w:type="dxa"/>
            <w:vMerge w:val="continue"/>
            <w:tcBorders>
              <w:left w:val="single" w:color="auto" w:sz="4" w:space="0"/>
              <w:right w:val="single" w:color="auto" w:sz="4" w:space="0"/>
            </w:tcBorders>
            <w:noWrap w:val="0"/>
            <w:vAlign w:val="center"/>
          </w:tcPr>
          <w:p w14:paraId="3CD8A44D">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500DF119">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支持校方进行配件采购管理，包括配件名称、价格、图片等信息，并支持按照流程进行审批采购。</w:t>
            </w:r>
          </w:p>
        </w:tc>
      </w:tr>
      <w:tr w14:paraId="1BD4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95" w:type="dxa"/>
            <w:vMerge w:val="continue"/>
            <w:tcBorders>
              <w:left w:val="single" w:color="auto" w:sz="4" w:space="0"/>
              <w:right w:val="single" w:color="auto" w:sz="4" w:space="0"/>
            </w:tcBorders>
            <w:noWrap w:val="0"/>
            <w:vAlign w:val="center"/>
          </w:tcPr>
          <w:p w14:paraId="4775185B">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110132C4">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支持完工工单进行评价。</w:t>
            </w:r>
          </w:p>
        </w:tc>
      </w:tr>
      <w:tr w14:paraId="46F8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95" w:type="dxa"/>
            <w:vMerge w:val="continue"/>
            <w:tcBorders>
              <w:left w:val="single" w:color="auto" w:sz="4" w:space="0"/>
              <w:right w:val="single" w:color="auto" w:sz="4" w:space="0"/>
            </w:tcBorders>
            <w:noWrap w:val="0"/>
            <w:vAlign w:val="center"/>
          </w:tcPr>
          <w:p w14:paraId="1C74F5E9">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6467C44D">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支持基础数据、工单汇总、物资、考核、维系工单统计。</w:t>
            </w:r>
          </w:p>
        </w:tc>
      </w:tr>
      <w:tr w14:paraId="4355F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6B09B11A">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0043E1C3">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支持区域及项目配置、工单分配规则、通用规则、审批流程等配置。</w:t>
            </w:r>
          </w:p>
        </w:tc>
      </w:tr>
      <w:tr w14:paraId="362D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095" w:type="dxa"/>
            <w:vMerge w:val="restart"/>
            <w:tcBorders>
              <w:top w:val="single" w:color="auto" w:sz="4" w:space="0"/>
              <w:left w:val="single" w:color="auto" w:sz="4" w:space="0"/>
              <w:right w:val="single" w:color="auto" w:sz="4" w:space="0"/>
            </w:tcBorders>
            <w:noWrap w:val="0"/>
            <w:vAlign w:val="center"/>
          </w:tcPr>
          <w:p w14:paraId="66EFCBD2">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失物招领</w:t>
            </w:r>
          </w:p>
        </w:tc>
        <w:tc>
          <w:tcPr>
            <w:tcW w:w="9044" w:type="dxa"/>
            <w:tcBorders>
              <w:top w:val="single" w:color="auto" w:sz="4" w:space="0"/>
              <w:left w:val="single" w:color="auto" w:sz="4" w:space="0"/>
              <w:bottom w:val="single" w:color="auto" w:sz="4" w:space="0"/>
              <w:right w:val="single" w:color="auto" w:sz="4" w:space="0"/>
            </w:tcBorders>
            <w:noWrap w:val="0"/>
            <w:vAlign w:val="center"/>
          </w:tcPr>
          <w:p w14:paraId="7FC7294D">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失物登记功能支持用户填写失物的基本信息、上传失物图片、提供联系方式以及选择失物分类，从而完成失物的登记过程。</w:t>
            </w:r>
          </w:p>
        </w:tc>
      </w:tr>
      <w:tr w14:paraId="6790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095" w:type="dxa"/>
            <w:vMerge w:val="continue"/>
            <w:tcBorders>
              <w:left w:val="single" w:color="auto" w:sz="4" w:space="0"/>
              <w:right w:val="single" w:color="auto" w:sz="4" w:space="0"/>
            </w:tcBorders>
            <w:noWrap w:val="0"/>
            <w:vAlign w:val="center"/>
          </w:tcPr>
          <w:p w14:paraId="3AA9A0C3">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78EB82FB">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支持自定义查询失物已登记的失物与招领信息。</w:t>
            </w:r>
          </w:p>
        </w:tc>
      </w:tr>
      <w:tr w14:paraId="2D20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095" w:type="dxa"/>
            <w:vMerge w:val="continue"/>
            <w:tcBorders>
              <w:left w:val="single" w:color="auto" w:sz="4" w:space="0"/>
              <w:right w:val="single" w:color="auto" w:sz="4" w:space="0"/>
            </w:tcBorders>
            <w:noWrap w:val="0"/>
            <w:vAlign w:val="center"/>
          </w:tcPr>
          <w:p w14:paraId="62D12DE6">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21EE9CA3">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支持认领流程让失物用户能够找寻自己遗失物品。</w:t>
            </w:r>
          </w:p>
        </w:tc>
      </w:tr>
      <w:tr w14:paraId="401A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095" w:type="dxa"/>
            <w:vMerge w:val="continue"/>
            <w:tcBorders>
              <w:left w:val="single" w:color="auto" w:sz="4" w:space="0"/>
              <w:right w:val="single" w:color="auto" w:sz="4" w:space="0"/>
            </w:tcBorders>
            <w:noWrap w:val="0"/>
            <w:vAlign w:val="center"/>
          </w:tcPr>
          <w:p w14:paraId="28AB6303">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17DE510E">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通知机制方面，系统支持通过关键字自动匹配失物信息，并向相应的用户发送通知。</w:t>
            </w:r>
          </w:p>
        </w:tc>
      </w:tr>
      <w:tr w14:paraId="3A9D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5" w:type="dxa"/>
            <w:vMerge w:val="continue"/>
            <w:tcBorders>
              <w:left w:val="single" w:color="auto" w:sz="4" w:space="0"/>
              <w:right w:val="single" w:color="auto" w:sz="4" w:space="0"/>
            </w:tcBorders>
            <w:noWrap w:val="0"/>
            <w:vAlign w:val="center"/>
          </w:tcPr>
          <w:p w14:paraId="59035295">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36E97FD1">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后台管理系统支持审核和发布信息；能够统计失物的种类及失物地点的分布等数据；并且支持自定义生成定期的失物招领情况报告。</w:t>
            </w:r>
          </w:p>
        </w:tc>
      </w:tr>
      <w:tr w14:paraId="49C44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095" w:type="dxa"/>
            <w:vMerge w:val="restart"/>
            <w:tcBorders>
              <w:top w:val="single" w:color="auto" w:sz="4" w:space="0"/>
              <w:left w:val="single" w:color="auto" w:sz="4" w:space="0"/>
              <w:right w:val="single" w:color="auto" w:sz="4" w:space="0"/>
            </w:tcBorders>
            <w:noWrap w:val="0"/>
            <w:vAlign w:val="center"/>
          </w:tcPr>
          <w:p w14:paraId="64AAA4D6">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问卷调查</w:t>
            </w:r>
          </w:p>
        </w:tc>
        <w:tc>
          <w:tcPr>
            <w:tcW w:w="9044" w:type="dxa"/>
            <w:tcBorders>
              <w:top w:val="single" w:color="auto" w:sz="4" w:space="0"/>
              <w:left w:val="single" w:color="auto" w:sz="4" w:space="0"/>
              <w:bottom w:val="single" w:color="auto" w:sz="4" w:space="0"/>
              <w:right w:val="single" w:color="auto" w:sz="4" w:space="0"/>
            </w:tcBorders>
            <w:noWrap w:val="0"/>
            <w:vAlign w:val="center"/>
          </w:tcPr>
          <w:p w14:paraId="15C54D7D">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创建问卷，包括题目编辑、页面布局及问卷设置等功能，使用户能够灵活地定制问卷以满足特定需求。</w:t>
            </w:r>
          </w:p>
        </w:tc>
      </w:tr>
      <w:tr w14:paraId="7327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095" w:type="dxa"/>
            <w:vMerge w:val="continue"/>
            <w:tcBorders>
              <w:left w:val="single" w:color="auto" w:sz="4" w:space="0"/>
              <w:right w:val="single" w:color="auto" w:sz="4" w:space="0"/>
            </w:tcBorders>
            <w:noWrap w:val="0"/>
            <w:vAlign w:val="center"/>
          </w:tcPr>
          <w:p w14:paraId="23A3A6E5">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48782027">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问卷发布与分享，支持对问卷进行发布至指定用户或全部用户，支持问卷时间、填写次数等配置。</w:t>
            </w:r>
          </w:p>
        </w:tc>
      </w:tr>
      <w:tr w14:paraId="79BC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95" w:type="dxa"/>
            <w:vMerge w:val="continue"/>
            <w:tcBorders>
              <w:left w:val="single" w:color="auto" w:sz="4" w:space="0"/>
              <w:right w:val="single" w:color="auto" w:sz="4" w:space="0"/>
            </w:tcBorders>
            <w:noWrap w:val="0"/>
            <w:vAlign w:val="center"/>
          </w:tcPr>
          <w:p w14:paraId="451A0180">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62074EEA">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数据收集与管理功能支持导出问卷结果，并提供自定义筛选问卷信息的能力。</w:t>
            </w:r>
          </w:p>
        </w:tc>
      </w:tr>
      <w:tr w14:paraId="1B431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095" w:type="dxa"/>
            <w:vMerge w:val="restart"/>
            <w:tcBorders>
              <w:top w:val="single" w:color="auto" w:sz="4" w:space="0"/>
              <w:left w:val="single" w:color="auto" w:sz="4" w:space="0"/>
              <w:right w:val="single" w:color="auto" w:sz="4" w:space="0"/>
            </w:tcBorders>
            <w:noWrap w:val="0"/>
            <w:vAlign w:val="center"/>
          </w:tcPr>
          <w:p w14:paraId="05D0E78E">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投诉咨询建议</w:t>
            </w:r>
          </w:p>
        </w:tc>
        <w:tc>
          <w:tcPr>
            <w:tcW w:w="9044" w:type="dxa"/>
            <w:tcBorders>
              <w:top w:val="single" w:color="auto" w:sz="4" w:space="0"/>
              <w:left w:val="single" w:color="auto" w:sz="4" w:space="0"/>
              <w:bottom w:val="single" w:color="auto" w:sz="4" w:space="0"/>
              <w:right w:val="single" w:color="auto" w:sz="4" w:space="0"/>
            </w:tcBorders>
            <w:noWrap w:val="0"/>
            <w:vAlign w:val="center"/>
          </w:tcPr>
          <w:p w14:paraId="7BA2BE3E">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支持用户通过移动端进行投诉与咨询信息，并可定义填写反馈内容、附件等详细信息。</w:t>
            </w:r>
          </w:p>
        </w:tc>
      </w:tr>
      <w:tr w14:paraId="4017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95" w:type="dxa"/>
            <w:vMerge w:val="continue"/>
            <w:tcBorders>
              <w:left w:val="single" w:color="auto" w:sz="4" w:space="0"/>
              <w:right w:val="single" w:color="auto" w:sz="4" w:space="0"/>
            </w:tcBorders>
            <w:noWrap w:val="0"/>
            <w:vAlign w:val="center"/>
          </w:tcPr>
          <w:p w14:paraId="182C65F7">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7A3E446B">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支持通过自定义角色对上报内容分类，并可在分配流程中添加备注说明。</w:t>
            </w:r>
          </w:p>
        </w:tc>
      </w:tr>
      <w:tr w14:paraId="4024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95" w:type="dxa"/>
            <w:vMerge w:val="continue"/>
            <w:tcBorders>
              <w:left w:val="single" w:color="auto" w:sz="4" w:space="0"/>
              <w:right w:val="single" w:color="auto" w:sz="4" w:space="0"/>
            </w:tcBorders>
            <w:noWrap w:val="0"/>
            <w:vAlign w:val="center"/>
          </w:tcPr>
          <w:p w14:paraId="11D898CE">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6DA4A647">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支持在接收反馈后进行问题的分配与处理。</w:t>
            </w:r>
          </w:p>
        </w:tc>
      </w:tr>
      <w:tr w14:paraId="1301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95" w:type="dxa"/>
            <w:vMerge w:val="continue"/>
            <w:tcBorders>
              <w:left w:val="single" w:color="auto" w:sz="4" w:space="0"/>
              <w:right w:val="single" w:color="auto" w:sz="4" w:space="0"/>
            </w:tcBorders>
            <w:noWrap w:val="0"/>
            <w:vAlign w:val="center"/>
          </w:tcPr>
          <w:p w14:paraId="35B7104E">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7B247851">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支持设置反馈完成的时限及提醒功能，并可根据自定义周期进行提醒。</w:t>
            </w:r>
          </w:p>
        </w:tc>
      </w:tr>
      <w:tr w14:paraId="0988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95" w:type="dxa"/>
            <w:vMerge w:val="continue"/>
            <w:tcBorders>
              <w:left w:val="single" w:color="auto" w:sz="4" w:space="0"/>
              <w:bottom w:val="single" w:color="auto" w:sz="4" w:space="0"/>
              <w:right w:val="single" w:color="auto" w:sz="4" w:space="0"/>
            </w:tcBorders>
            <w:noWrap w:val="0"/>
            <w:vAlign w:val="center"/>
          </w:tcPr>
          <w:p w14:paraId="65D10C0D">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571A68ED">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支持驳回操作。</w:t>
            </w:r>
          </w:p>
        </w:tc>
      </w:tr>
      <w:tr w14:paraId="3C93C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95" w:type="dxa"/>
            <w:vMerge w:val="restart"/>
            <w:tcBorders>
              <w:top w:val="single" w:color="auto" w:sz="4" w:space="0"/>
              <w:left w:val="single" w:color="auto" w:sz="4" w:space="0"/>
              <w:right w:val="single" w:color="auto" w:sz="4" w:space="0"/>
            </w:tcBorders>
            <w:noWrap w:val="0"/>
            <w:vAlign w:val="center"/>
          </w:tcPr>
          <w:p w14:paraId="17519117">
            <w:pPr>
              <w:rPr>
                <w:rFonts w:hint="eastAsia" w:ascii="宋体" w:hAnsi="宋体" w:eastAsia="宋体" w:cs="宋体"/>
                <w:color w:val="000000" w:themeColor="text1"/>
                <w:highlight w:val="none"/>
                <w14:textFill>
                  <w14:solidFill>
                    <w14:schemeClr w14:val="tx1"/>
                  </w14:solidFill>
                </w14:textFill>
              </w:rPr>
            </w:pPr>
            <w:bookmarkStart w:id="2" w:name="OLE_LINK15"/>
            <w:r>
              <w:rPr>
                <w:rFonts w:hint="eastAsia" w:ascii="宋体" w:hAnsi="宋体" w:eastAsia="宋体" w:cs="宋体"/>
                <w:color w:val="000000" w:themeColor="text1"/>
                <w:highlight w:val="none"/>
                <w:lang w:val="en-US" w:eastAsia="zh-CN"/>
                <w14:textFill>
                  <w14:solidFill>
                    <w14:schemeClr w14:val="tx1"/>
                  </w14:solidFill>
                </w14:textFill>
              </w:rPr>
              <w:t>工程项目管理</w:t>
            </w:r>
          </w:p>
        </w:tc>
        <w:tc>
          <w:tcPr>
            <w:tcW w:w="9044" w:type="dxa"/>
            <w:tcBorders>
              <w:top w:val="single" w:color="auto" w:sz="4" w:space="0"/>
              <w:left w:val="single" w:color="auto" w:sz="4" w:space="0"/>
              <w:bottom w:val="single" w:color="auto" w:sz="4" w:space="0"/>
              <w:right w:val="single" w:color="auto" w:sz="4" w:space="0"/>
            </w:tcBorders>
            <w:noWrap w:val="0"/>
            <w:vAlign w:val="center"/>
          </w:tcPr>
          <w:p w14:paraId="0D0503B9">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支持项目的报建流程，包括申请报建、审批和签字等步骤，并系统应支持自定义配置各个审批环节的角色。</w:t>
            </w:r>
          </w:p>
        </w:tc>
      </w:tr>
      <w:tr w14:paraId="3B8B1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095" w:type="dxa"/>
            <w:vMerge w:val="continue"/>
            <w:tcBorders>
              <w:left w:val="single" w:color="auto" w:sz="4" w:space="0"/>
              <w:right w:val="single" w:color="auto" w:sz="4" w:space="0"/>
            </w:tcBorders>
            <w:noWrap w:val="0"/>
            <w:vAlign w:val="center"/>
          </w:tcPr>
          <w:p w14:paraId="4A862804">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419EA583">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系统支持项目管理功能，包括录入党政联席会会议纪要和项目申报表。项目申报表应包含项目名称、项目估算金额、施工时间、地点、经费来源以及项目情况等详细说明。系统还支持根据不同的项目金额设定不同的审批流程。</w:t>
            </w:r>
          </w:p>
        </w:tc>
      </w:tr>
      <w:tr w14:paraId="666D7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5" w:type="dxa"/>
            <w:vMerge w:val="continue"/>
            <w:tcBorders>
              <w:left w:val="single" w:color="auto" w:sz="4" w:space="0"/>
              <w:right w:val="single" w:color="auto" w:sz="4" w:space="0"/>
            </w:tcBorders>
            <w:noWrap w:val="0"/>
            <w:vAlign w:val="center"/>
          </w:tcPr>
          <w:p w14:paraId="3ABC567B">
            <w:pPr>
              <w:rPr>
                <w:rFonts w:hint="eastAsia" w:ascii="宋体" w:hAnsi="宋体" w:eastAsia="宋体" w:cs="宋体"/>
                <w:color w:val="000000" w:themeColor="text1"/>
                <w:highlight w:val="none"/>
                <w:lang w:val="en-US" w:eastAsia="zh-CN"/>
                <w14:textFill>
                  <w14:solidFill>
                    <w14:schemeClr w14:val="tx1"/>
                  </w14:solidFill>
                </w14:textFill>
              </w:rPr>
            </w:pPr>
          </w:p>
        </w:tc>
        <w:tc>
          <w:tcPr>
            <w:tcW w:w="9044" w:type="dxa"/>
            <w:tcBorders>
              <w:top w:val="single" w:color="auto" w:sz="4" w:space="0"/>
              <w:left w:val="single" w:color="auto" w:sz="4" w:space="0"/>
              <w:bottom w:val="single" w:color="auto" w:sz="4" w:space="0"/>
              <w:right w:val="single" w:color="auto" w:sz="4" w:space="0"/>
            </w:tcBorders>
            <w:noWrap w:val="0"/>
            <w:vAlign w:val="center"/>
          </w:tcPr>
          <w:p w14:paraId="0F11B68F">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不同项目金额审批流程：</w:t>
            </w:r>
          </w:p>
          <w:p w14:paraId="559A08ED">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一、对于1万元以内的工程项目，流程如下：</w:t>
            </w:r>
          </w:p>
          <w:p w14:paraId="02ABDA56">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bookmarkStart w:id="3" w:name="OLE_LINK2"/>
            <w:r>
              <w:rPr>
                <w:rFonts w:hint="eastAsia" w:ascii="宋体" w:hAnsi="宋体" w:eastAsia="宋体" w:cs="宋体"/>
                <w:color w:val="000000" w:themeColor="text1"/>
                <w:highlight w:val="none"/>
                <w:lang w:val="en-US" w:eastAsia="zh-CN"/>
                <w14:textFill>
                  <w14:solidFill>
                    <w14:schemeClr w14:val="tx1"/>
                  </w14:solidFill>
                </w14:textFill>
              </w:rPr>
              <w:t>审核项目申报表后进入施工阶段；</w:t>
            </w:r>
          </w:p>
          <w:p w14:paraId="1EFEBC24">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施工完成后，报请监理单位出具监理报告；</w:t>
            </w:r>
          </w:p>
          <w:p w14:paraId="620806A7">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为了简化结算流程，将一个月内单项不超过1万元的工程项目汇总后送审至审计科；</w:t>
            </w:r>
          </w:p>
          <w:p w14:paraId="656DED35">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审计科出具工程结算审核报告给后勤处；</w:t>
            </w:r>
          </w:p>
          <w:p w14:paraId="50D905AC">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后勤处依据工程结算审核报告进行结算报销。</w:t>
            </w:r>
          </w:p>
          <w:bookmarkEnd w:id="3"/>
          <w:p w14:paraId="5372E6EA">
            <w:pPr>
              <w:rPr>
                <w:rFonts w:hint="eastAsia" w:ascii="宋体" w:hAnsi="宋体" w:eastAsia="宋体" w:cs="宋体"/>
                <w:color w:val="000000" w:themeColor="text1"/>
                <w:highlight w:val="none"/>
                <w:lang w:val="en-US" w:eastAsia="zh-CN"/>
                <w14:textFill>
                  <w14:solidFill>
                    <w14:schemeClr w14:val="tx1"/>
                  </w14:solidFill>
                </w14:textFill>
              </w:rPr>
            </w:pPr>
            <w:bookmarkStart w:id="4" w:name="OLE_LINK3"/>
            <w:r>
              <w:rPr>
                <w:rFonts w:hint="eastAsia" w:ascii="宋体" w:hAnsi="宋体" w:eastAsia="宋体" w:cs="宋体"/>
                <w:color w:val="000000" w:themeColor="text1"/>
                <w:highlight w:val="none"/>
                <w:lang w:val="en-US" w:eastAsia="zh-CN"/>
                <w14:textFill>
                  <w14:solidFill>
                    <w14:schemeClr w14:val="tx1"/>
                  </w14:solidFill>
                </w14:textFill>
              </w:rPr>
              <w:t>二、对于1至3万元以内的工程项目，流程如下：</w:t>
            </w:r>
          </w:p>
          <w:bookmarkEnd w:id="4"/>
          <w:p w14:paraId="4AA1B788">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后勤处进行会议讨论，并形成会议纪要，会议通过后进入下一个流程；</w:t>
            </w:r>
          </w:p>
          <w:p w14:paraId="4835E7C1">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根据会议纪要形成立项审批表；</w:t>
            </w:r>
          </w:p>
          <w:p w14:paraId="4FF7FDDC">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施工完成后，报请监理单位出具监理报告；</w:t>
            </w:r>
          </w:p>
          <w:p w14:paraId="63BE21D7">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为了简化结算流程，将一个月内单项1至3万元的工程项目汇总后送审至审计科；</w:t>
            </w:r>
          </w:p>
          <w:p w14:paraId="18A7564F">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审计科出具工程结算审核报告给后勤处；</w:t>
            </w:r>
          </w:p>
          <w:p w14:paraId="16C6E7B1">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后勤处依据工程结算审核报告进行结算报销。</w:t>
            </w:r>
          </w:p>
          <w:p w14:paraId="4483FE8F">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三、对于3至400万元以内的工程项目，流程如下：</w:t>
            </w:r>
          </w:p>
          <w:p w14:paraId="102669F3">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进行校内招标；</w:t>
            </w:r>
          </w:p>
          <w:p w14:paraId="27ED3D2C">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筹办项目立项会议并形成会议纪要，会议审核通过后进入下一流程；</w:t>
            </w:r>
          </w:p>
          <w:p w14:paraId="6885C9CC">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根据项目会议纪要形成立项审批表并报审使用部门、后勤管理处、分管院系领导、院长依次审批，审核通过后步入下一流程；</w:t>
            </w:r>
          </w:p>
          <w:p w14:paraId="53A5E5FD">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确定招标代理全程参与，招标代理可学校随机抽取或自主导入；项目设计费如不足3万则市场询价，如高于3万则校内招标；</w:t>
            </w:r>
          </w:p>
          <w:p w14:paraId="5403DBE3">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确认招标代理后依次步入设计、预算编制、预算审核、公开招标、实施(变更)、验收、送审、结算等流程。</w:t>
            </w:r>
          </w:p>
          <w:p w14:paraId="43172B8E">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四、对于400万元的工程项目，流程如下：</w:t>
            </w:r>
          </w:p>
          <w:p w14:paraId="121F690D">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进行政府公开招标；</w:t>
            </w:r>
          </w:p>
          <w:p w14:paraId="155287AD">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筹办项目立项会议并形成会议纪要，会议审核通过后进入下一流程；</w:t>
            </w:r>
          </w:p>
          <w:p w14:paraId="5785EF5D">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根据项目会议纪要形成立项审批表，审核通过后步入下一流程；</w:t>
            </w:r>
          </w:p>
          <w:p w14:paraId="4A7F38DC">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确认招标代理全程参与并进行公开招标确认招标代理公司；</w:t>
            </w:r>
          </w:p>
          <w:p w14:paraId="27FC9E03">
            <w:pPr>
              <w:numPr>
                <w:ilvl w:val="0"/>
                <w:numId w:val="5"/>
              </w:numPr>
              <w:ind w:left="420" w:leftChars="0" w:hanging="42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确认招标代理后依次步入设计、设计图纸审查、预算编制、预算审核、公开招标、实施(变更)、验收、送审、结算等流程。</w:t>
            </w:r>
          </w:p>
        </w:tc>
      </w:tr>
      <w:bookmarkEnd w:id="2"/>
      <w:tr w14:paraId="6233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095" w:type="dxa"/>
            <w:tcBorders>
              <w:top w:val="single" w:color="auto" w:sz="4" w:space="0"/>
              <w:left w:val="single" w:color="auto" w:sz="4" w:space="0"/>
              <w:right w:val="single" w:color="auto" w:sz="4" w:space="0"/>
            </w:tcBorders>
            <w:noWrap w:val="0"/>
            <w:vAlign w:val="center"/>
          </w:tcPr>
          <w:p w14:paraId="10AD38B7">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与</w:t>
            </w:r>
            <w:r>
              <w:rPr>
                <w:rFonts w:hint="eastAsia" w:ascii="宋体" w:hAnsi="宋体" w:eastAsia="宋体" w:cs="宋体"/>
                <w:color w:val="000000" w:themeColor="text1"/>
                <w:highlight w:val="none"/>
                <w:lang w:val="en-US" w:eastAsia="zh-CN"/>
                <w14:textFill>
                  <w14:solidFill>
                    <w14:schemeClr w14:val="tx1"/>
                  </w14:solidFill>
                </w14:textFill>
              </w:rPr>
              <w:t>学校上级平台集成对接</w:t>
            </w:r>
          </w:p>
        </w:tc>
        <w:tc>
          <w:tcPr>
            <w:tcW w:w="9044" w:type="dxa"/>
            <w:tcBorders>
              <w:top w:val="single" w:color="auto" w:sz="4" w:space="0"/>
              <w:left w:val="single" w:color="auto" w:sz="4" w:space="0"/>
              <w:bottom w:val="single" w:color="auto" w:sz="4" w:space="0"/>
              <w:right w:val="single" w:color="auto" w:sz="4" w:space="0"/>
            </w:tcBorders>
            <w:noWrap w:val="0"/>
            <w:vAlign w:val="center"/>
          </w:tcPr>
          <w:p w14:paraId="2D13CAC4">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支持与学校微校园、门户进行功能菜单集成。</w:t>
            </w:r>
          </w:p>
        </w:tc>
      </w:tr>
      <w:tr w14:paraId="6237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95" w:type="dxa"/>
            <w:tcBorders>
              <w:top w:val="single" w:color="auto" w:sz="4" w:space="0"/>
              <w:left w:val="single" w:color="auto" w:sz="4" w:space="0"/>
              <w:right w:val="single" w:color="auto" w:sz="4" w:space="0"/>
            </w:tcBorders>
            <w:noWrap w:val="0"/>
            <w:vAlign w:val="center"/>
          </w:tcPr>
          <w:p w14:paraId="5375F35F">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免费开放API接口</w:t>
            </w:r>
          </w:p>
        </w:tc>
        <w:tc>
          <w:tcPr>
            <w:tcW w:w="9044" w:type="dxa"/>
            <w:tcBorders>
              <w:top w:val="single" w:color="auto" w:sz="4" w:space="0"/>
              <w:left w:val="single" w:color="auto" w:sz="4" w:space="0"/>
              <w:bottom w:val="single" w:color="auto" w:sz="4" w:space="0"/>
              <w:right w:val="single" w:color="auto" w:sz="4" w:space="0"/>
            </w:tcBorders>
            <w:noWrap w:val="0"/>
            <w:vAlign w:val="center"/>
          </w:tcPr>
          <w:p w14:paraId="00A4EB6A">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免费开放API接口，以便学院信息中心进行数据集成与交换，消除数据孤岛现象，最终实现数据的互联互通。此外，还将与学校的统一身份认证平台对接，通过单点登录（SSO）技术提升用户体验。</w:t>
            </w:r>
          </w:p>
        </w:tc>
      </w:tr>
      <w:tr w14:paraId="5BA64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095" w:type="dxa"/>
            <w:tcBorders>
              <w:top w:val="single" w:color="auto" w:sz="4" w:space="0"/>
              <w:left w:val="single" w:color="auto" w:sz="4" w:space="0"/>
              <w:bottom w:val="single" w:color="auto" w:sz="4" w:space="0"/>
              <w:right w:val="single" w:color="auto" w:sz="4" w:space="0"/>
            </w:tcBorders>
            <w:noWrap w:val="0"/>
            <w:vAlign w:val="center"/>
          </w:tcPr>
          <w:p w14:paraId="5A3E9B03">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国产化适配</w:t>
            </w:r>
          </w:p>
        </w:tc>
        <w:tc>
          <w:tcPr>
            <w:tcW w:w="9044" w:type="dxa"/>
            <w:tcBorders>
              <w:top w:val="single" w:color="auto" w:sz="4" w:space="0"/>
              <w:left w:val="single" w:color="auto" w:sz="4" w:space="0"/>
              <w:bottom w:val="single" w:color="auto" w:sz="4" w:space="0"/>
              <w:right w:val="single" w:color="auto" w:sz="4" w:space="0"/>
            </w:tcBorders>
            <w:noWrap w:val="0"/>
            <w:vAlign w:val="center"/>
          </w:tcPr>
          <w:p w14:paraId="49C66B00">
            <w:pPr>
              <w:rPr>
                <w:rFonts w:hint="eastAsia" w:ascii="宋体" w:hAnsi="宋体" w:eastAsia="宋体" w:cs="宋体"/>
                <w:color w:val="000000" w:themeColor="text1"/>
                <w:highlight w:val="none"/>
                <w14:textFill>
                  <w14:solidFill>
                    <w14:schemeClr w14:val="tx1"/>
                  </w14:solidFill>
                </w14:textFill>
              </w:rPr>
            </w:pPr>
            <w:bookmarkStart w:id="5" w:name="OLE_LINK4"/>
            <w:r>
              <w:rPr>
                <w:rFonts w:hint="eastAsia" w:ascii="宋体" w:hAnsi="宋体" w:eastAsia="宋体" w:cs="宋体"/>
                <w:color w:val="000000" w:themeColor="text1"/>
                <w:highlight w:val="none"/>
                <w:lang w:val="en-US" w:eastAsia="zh-CN"/>
                <w14:textFill>
                  <w14:solidFill>
                    <w14:schemeClr w14:val="tx1"/>
                  </w14:solidFill>
                </w14:textFill>
              </w:rPr>
              <w:t>应用系统需支持分布式部署与需满足国产化和信创要求，平台需支持适配国产处理器和国产服务器操作系统。</w:t>
            </w:r>
            <w:bookmarkEnd w:id="5"/>
          </w:p>
        </w:tc>
      </w:tr>
      <w:tr w14:paraId="41006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095" w:type="dxa"/>
            <w:tcBorders>
              <w:top w:val="single" w:color="auto" w:sz="4" w:space="0"/>
              <w:left w:val="single" w:color="auto" w:sz="4" w:space="0"/>
              <w:bottom w:val="single" w:color="auto" w:sz="4" w:space="0"/>
              <w:right w:val="single" w:color="auto" w:sz="4" w:space="0"/>
            </w:tcBorders>
            <w:noWrap w:val="0"/>
            <w:vAlign w:val="center"/>
          </w:tcPr>
          <w:p w14:paraId="0201A935">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系统架构要求</w:t>
            </w:r>
          </w:p>
        </w:tc>
        <w:tc>
          <w:tcPr>
            <w:tcW w:w="9044" w:type="dxa"/>
            <w:tcBorders>
              <w:top w:val="single" w:color="auto" w:sz="4" w:space="0"/>
              <w:left w:val="single" w:color="auto" w:sz="4" w:space="0"/>
              <w:bottom w:val="single" w:color="auto" w:sz="4" w:space="0"/>
              <w:right w:val="single" w:color="auto" w:sz="4" w:space="0"/>
            </w:tcBorders>
            <w:noWrap w:val="0"/>
            <w:vAlign w:val="center"/>
          </w:tcPr>
          <w:p w14:paraId="0044C564">
            <w:pP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该系统采用三层B/S（浏览器/服务器模式）架构，基于Web技术开发，用户可以通过浏览器进行访问和管理。系统采用了SOA（面向服务的架构）设计，确保所有业务子系统的功能界面风格和操作流程保持一致，并提供统一的个人任务查询处理接口。业务流程设计灵活，可根据学校的具体业务需求自定义处理节点。系统采用分布式架构，支持服务器的分布式部署，并能根据需要将Web服务器和数据库服务器分开部署。随着用户量的增长，系统可通过增加服务器数量和支持负载均衡来扩展服务能力。系统基于J2EE平台开发，主要采用Java编程语言及服务器端Java技术（如EJBs、Servlets、JSPs、JNDI、JDBC和RMI等）。系统能够在虚拟机环境中运行，支持Linux操作系统。此外，系统提供了二次开发整合接口，支持后续功能模块的集成，并遵循XML数据交换标准和Web Services标准，支持同步与异步交互模式，能够处理各种类型的数据。</w:t>
            </w:r>
          </w:p>
        </w:tc>
      </w:tr>
      <w:tr w14:paraId="7042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095" w:type="dxa"/>
            <w:tcBorders>
              <w:top w:val="single" w:color="auto" w:sz="4" w:space="0"/>
              <w:left w:val="single" w:color="auto" w:sz="4" w:space="0"/>
              <w:bottom w:val="single" w:color="auto" w:sz="4" w:space="0"/>
              <w:right w:val="single" w:color="auto" w:sz="4" w:space="0"/>
            </w:tcBorders>
            <w:noWrap w:val="0"/>
            <w:vAlign w:val="center"/>
          </w:tcPr>
          <w:p w14:paraId="5ED93112">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系统安全性要求</w:t>
            </w:r>
          </w:p>
        </w:tc>
        <w:tc>
          <w:tcPr>
            <w:tcW w:w="9044" w:type="dxa"/>
            <w:tcBorders>
              <w:top w:val="single" w:color="auto" w:sz="4" w:space="0"/>
              <w:left w:val="single" w:color="auto" w:sz="4" w:space="0"/>
              <w:bottom w:val="single" w:color="auto" w:sz="4" w:space="0"/>
              <w:right w:val="single" w:color="auto" w:sz="4" w:space="0"/>
            </w:tcBorders>
            <w:noWrap w:val="0"/>
            <w:vAlign w:val="center"/>
          </w:tcPr>
          <w:p w14:paraId="5AF6C3AA">
            <w:pPr>
              <w:pStyle w:val="9"/>
              <w:tabs>
                <w:tab w:val="left" w:pos="4606"/>
              </w:tabs>
              <w:spacing w:line="400" w:lineRule="exact"/>
              <w:ind w:left="0" w:leftChars="0" w:firstLine="0" w:firstLineChars="0"/>
              <w:jc w:val="left"/>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1）访问控制，在网络边界或区域之间根据访问控制策略设置访问控制规则，默认情况下除允许通信外受控接口拒绝所有通信。</w:t>
            </w:r>
          </w:p>
          <w:p w14:paraId="68FEC1C6">
            <w:pPr>
              <w:pStyle w:val="9"/>
              <w:tabs>
                <w:tab w:val="left" w:pos="4606"/>
              </w:tabs>
              <w:spacing w:line="400" w:lineRule="exact"/>
              <w:ind w:left="0" w:leftChars="0" w:firstLine="0" w:firstLineChars="0"/>
              <w:jc w:val="left"/>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2）代码安全，在关键网络节点处对恶意代码进行检测和清除，并维护恶意代码防护机制的升级和更新。</w:t>
            </w:r>
          </w:p>
          <w:p w14:paraId="409B8393">
            <w:pPr>
              <w:pStyle w:val="9"/>
              <w:tabs>
                <w:tab w:val="left" w:pos="4606"/>
              </w:tabs>
              <w:spacing w:line="400" w:lineRule="exact"/>
              <w:ind w:left="0" w:leftChars="0" w:firstLine="0" w:firstLineChars="0"/>
              <w:jc w:val="left"/>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3）安全审计，提供安全审计功能，审计覆盖到每个用户，对重要的用户行为和重要安全事件进行审计。</w:t>
            </w:r>
          </w:p>
          <w:p w14:paraId="410F8ED0">
            <w:pPr>
              <w:pStyle w:val="9"/>
              <w:tabs>
                <w:tab w:val="left" w:pos="4606"/>
              </w:tabs>
              <w:spacing w:line="400" w:lineRule="exact"/>
              <w:ind w:left="0" w:leftChars="0" w:firstLine="0" w:firstLineChars="0"/>
              <w:jc w:val="left"/>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4）隐私保护,对登录的用户进行身份标识和鉴别，身份标识具有唯一性，身份鉴别信息具有复杂度要求并定期更换。</w:t>
            </w:r>
          </w:p>
          <w:p w14:paraId="71C6C49A">
            <w:pPr>
              <w:pStyle w:val="9"/>
              <w:tabs>
                <w:tab w:val="left" w:pos="4606"/>
              </w:tabs>
              <w:spacing w:line="400" w:lineRule="exact"/>
              <w:ind w:left="0" w:leftChars="0" w:firstLine="0" w:firstLineChars="0"/>
              <w:jc w:val="left"/>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5）完善业务管理系统数据存储机制,对配置文件和代码中不允许有配置账号和密钥明文。</w:t>
            </w:r>
          </w:p>
        </w:tc>
      </w:tr>
      <w:tr w14:paraId="38339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95" w:type="dxa"/>
            <w:tcBorders>
              <w:top w:val="single" w:color="auto" w:sz="4" w:space="0"/>
              <w:left w:val="single" w:color="auto" w:sz="4" w:space="0"/>
              <w:bottom w:val="single" w:color="auto" w:sz="4" w:space="0"/>
              <w:right w:val="single" w:color="auto" w:sz="4" w:space="0"/>
            </w:tcBorders>
            <w:noWrap w:val="0"/>
            <w:vAlign w:val="center"/>
          </w:tcPr>
          <w:p w14:paraId="5CCEFE17">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服务及验收要求</w:t>
            </w:r>
          </w:p>
        </w:tc>
        <w:tc>
          <w:tcPr>
            <w:tcW w:w="9044" w:type="dxa"/>
            <w:tcBorders>
              <w:top w:val="single" w:color="auto" w:sz="4" w:space="0"/>
              <w:left w:val="single" w:color="auto" w:sz="4" w:space="0"/>
              <w:bottom w:val="single" w:color="auto" w:sz="4" w:space="0"/>
              <w:right w:val="single" w:color="auto" w:sz="4" w:space="0"/>
            </w:tcBorders>
            <w:noWrap w:val="0"/>
            <w:vAlign w:val="center"/>
          </w:tcPr>
          <w:p w14:paraId="5C932D3A">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（1）要有严谨的实施计划从组织机构及人员安排、实施进度方案、系统上线后的运行管理机制、以及后续的培训方案、包括相对应的风险分析和应对措施，安装、调试、系统运行良好进行组织验收。</w:t>
            </w:r>
          </w:p>
          <w:p w14:paraId="6998A93F">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（2）免费提供系统安装、调试，直至系统运行至最佳状态，且各项功能参数符合用户要求。</w:t>
            </w:r>
          </w:p>
          <w:p w14:paraId="14A93834">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（3）质量保证期</w:t>
            </w:r>
            <w:r>
              <w:rPr>
                <w:rFonts w:hint="eastAsia" w:ascii="宋体" w:hAnsi="宋体" w:cs="宋体"/>
                <w:color w:val="000000" w:themeColor="text1"/>
                <w:highlight w:val="none"/>
                <w:lang w:val="en-US" w:eastAsia="zh-CN"/>
                <w14:textFill>
                  <w14:solidFill>
                    <w14:schemeClr w14:val="tx1"/>
                  </w14:solidFill>
                </w14:textFill>
              </w:rPr>
              <w:t>24</w:t>
            </w:r>
            <w:r>
              <w:rPr>
                <w:rFonts w:hint="eastAsia" w:ascii="宋体" w:hAnsi="宋体" w:eastAsia="宋体" w:cs="宋体"/>
                <w:color w:val="000000" w:themeColor="text1"/>
                <w:highlight w:val="none"/>
                <w14:textFill>
                  <w14:solidFill>
                    <w14:schemeClr w14:val="tx1"/>
                  </w14:solidFill>
                </w14:textFill>
              </w:rPr>
              <w:t>个月，时间自签订合同并交付使用之日起计算。</w:t>
            </w:r>
          </w:p>
          <w:p w14:paraId="45CFE10B">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（4）质量保证期内，提供免费的技术支持及系统维修、维护服务。</w:t>
            </w:r>
          </w:p>
          <w:p w14:paraId="78F8CCB1">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（5）质保期外应免费提供系统BUG修复、</w:t>
            </w:r>
            <w:r>
              <w:rPr>
                <w:rFonts w:hint="eastAsia" w:ascii="宋体" w:hAnsi="宋体" w:eastAsia="宋体" w:cs="宋体"/>
                <w:color w:val="000000" w:themeColor="text1"/>
                <w:highlight w:val="none"/>
                <w:lang w:val="en-US" w:eastAsia="zh-CN"/>
                <w14:textFill>
                  <w14:solidFill>
                    <w14:schemeClr w14:val="tx1"/>
                  </w14:solidFill>
                </w14:textFill>
              </w:rPr>
              <w:t>系统安全性升级</w:t>
            </w:r>
            <w:r>
              <w:rPr>
                <w:rFonts w:hint="eastAsia" w:ascii="宋体" w:hAnsi="宋体" w:eastAsia="宋体" w:cs="宋体"/>
                <w:color w:val="000000" w:themeColor="text1"/>
                <w:highlight w:val="none"/>
                <w14:textFill>
                  <w14:solidFill>
                    <w14:schemeClr w14:val="tx1"/>
                  </w14:solidFill>
                </w14:textFill>
              </w:rPr>
              <w:t>、系统性能优化、针对总体项目应提供终身技术咨询服务。</w:t>
            </w:r>
          </w:p>
          <w:p w14:paraId="0345D0B7">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（6）免费提供完整的系统配套的产品资料，包括系统安装使用手册、系统功能模块说明书、用户使用手册、帮助文档。</w:t>
            </w:r>
          </w:p>
          <w:p w14:paraId="10332EEF">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（7）质量保证期满后，提供有偿服务，年服务费不超过合同金额10%。</w:t>
            </w:r>
          </w:p>
          <w:p w14:paraId="013CFE37">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（8）供应商在系统建设前须签署保密承诺书。</w:t>
            </w:r>
          </w:p>
        </w:tc>
      </w:tr>
      <w:bookmarkEnd w:id="0"/>
      <w:bookmarkEnd w:id="1"/>
    </w:tbl>
    <w:p w14:paraId="59508CC0">
      <w:pPr>
        <w:rPr>
          <w:rFonts w:hint="eastAsia"/>
          <w:color w:val="000000" w:themeColor="text1"/>
          <w:highlight w:val="none"/>
          <w14:textFill>
            <w14:solidFill>
              <w14:schemeClr w14:val="tx1"/>
            </w14:solidFill>
          </w14:textFill>
        </w:rPr>
      </w:pPr>
    </w:p>
    <w:p w14:paraId="3B5EA202">
      <w:pPr>
        <w:pStyle w:val="2"/>
        <w:spacing w:line="320" w:lineRule="exact"/>
        <w:jc w:val="both"/>
        <w:rPr>
          <w:rFonts w:hint="eastAsia" w:ascii="Arial" w:hAnsi="Arial" w:eastAsia="宋体" w:cs="Times New Roman"/>
          <w:b/>
          <w:color w:val="000000" w:themeColor="text1"/>
          <w:kern w:val="0"/>
          <w:sz w:val="24"/>
          <w:szCs w:val="24"/>
          <w:highlight w:val="none"/>
          <w:lang w:val="en-US" w:eastAsia="zh-CN" w:bidi="ar-SA"/>
          <w14:textFill>
            <w14:solidFill>
              <w14:schemeClr w14:val="tx1"/>
            </w14:solidFill>
          </w14:textFill>
        </w:rPr>
      </w:pPr>
      <w:r>
        <w:rPr>
          <w:rFonts w:hint="eastAsia" w:ascii="Arial" w:hAnsi="Arial" w:cs="Times New Roman"/>
          <w:b/>
          <w:color w:val="000000" w:themeColor="text1"/>
          <w:sz w:val="24"/>
          <w:szCs w:val="24"/>
          <w:highlight w:val="none"/>
          <w:lang w:val="en-US" w:eastAsia="zh-CN"/>
          <w14:textFill>
            <w14:solidFill>
              <w14:schemeClr w14:val="tx1"/>
            </w14:solidFill>
          </w14:textFill>
        </w:rPr>
        <w:t>二、</w:t>
      </w:r>
      <w:r>
        <w:rPr>
          <w:rFonts w:hint="eastAsia" w:ascii="Arial" w:hAnsi="Arial" w:eastAsia="宋体" w:cs="Times New Roman"/>
          <w:b/>
          <w:color w:val="000000" w:themeColor="text1"/>
          <w:sz w:val="24"/>
          <w:szCs w:val="24"/>
          <w:highlight w:val="none"/>
          <w14:textFill>
            <w14:solidFill>
              <w14:schemeClr w14:val="tx1"/>
            </w14:solidFill>
          </w14:textFill>
        </w:rPr>
        <w:t>技术和服务要求（以“★”标示的内容为不允许负偏离的实质性要求）</w:t>
      </w:r>
    </w:p>
    <w:p w14:paraId="6C4A0E55">
      <w:pPr>
        <w:keepNext/>
        <w:keepLines/>
        <w:widowControl w:val="0"/>
        <w:numPr>
          <w:ilvl w:val="0"/>
          <w:numId w:val="6"/>
        </w:numPr>
        <w:snapToGrid w:val="0"/>
        <w:spacing w:before="0" w:line="400" w:lineRule="exact"/>
        <w:ind w:left="709" w:leftChars="0" w:hanging="709" w:firstLineChars="0"/>
        <w:jc w:val="left"/>
        <w:outlineLvl w:val="2"/>
        <w:rPr>
          <w:rFonts w:hint="eastAsia" w:ascii="宋体" w:hAnsi="宋体" w:eastAsia="宋体" w:cs="宋体"/>
          <w:b/>
          <w:color w:val="000000" w:themeColor="text1"/>
          <w:kern w:val="2"/>
          <w:sz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highlight w:val="none"/>
          <w:lang w:val="en-US" w:eastAsia="zh-CN" w:bidi="ar-SA"/>
          <w14:textFill>
            <w14:solidFill>
              <w14:schemeClr w14:val="tx1"/>
            </w14:solidFill>
          </w14:textFill>
        </w:rPr>
        <w:t>后勤管理服务大厅</w:t>
      </w:r>
    </w:p>
    <w:p w14:paraId="36E14A88">
      <w:pPr>
        <w:widowControl w:val="0"/>
        <w:autoSpaceDE w:val="0"/>
        <w:autoSpaceDN w:val="0"/>
        <w:adjustRightInd w:val="0"/>
        <w:ind w:firstLine="420" w:firstLineChars="0"/>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统一办事大厅，按权限集成所有系统功能，支持按角色权限自动显示不同功能菜单。</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（须演示）</w:t>
      </w:r>
    </w:p>
    <w:p w14:paraId="63120173">
      <w:pPr>
        <w:widowControl w:val="0"/>
        <w:autoSpaceDE w:val="0"/>
        <w:autoSpaceDN w:val="0"/>
        <w:adjustRightInd w:val="0"/>
        <w:ind w:firstLine="420" w:firstLineChars="0"/>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快捷功能，支持用户自定配置快捷功能包含但不限于功能自定义快捷功能菜单、顺序等。</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（须演示）</w:t>
      </w:r>
    </w:p>
    <w:p w14:paraId="332AC955">
      <w:pPr>
        <w:widowControl w:val="0"/>
        <w:tabs>
          <w:tab w:val="left" w:pos="4606"/>
        </w:tabs>
        <w:spacing w:line="400" w:lineRule="exact"/>
        <w:ind w:left="0" w:leftChars="0" w:firstLine="240" w:firstLineChars="1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▲3）支持展示后勤管理信息公告展示功能，点击展示详情。</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（评审项1）</w:t>
      </w:r>
    </w:p>
    <w:p w14:paraId="58EA5050">
      <w:pPr>
        <w:widowControl w:val="0"/>
        <w:tabs>
          <w:tab w:val="left" w:pos="4606"/>
        </w:tabs>
        <w:spacing w:line="400" w:lineRule="exact"/>
        <w:ind w:left="0" w:leftChars="0" w:firstLine="241" w:firstLineChars="1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p w14:paraId="5C09AA10">
      <w:pPr>
        <w:widowControl w:val="0"/>
        <w:tabs>
          <w:tab w:val="left" w:pos="4606"/>
        </w:tabs>
        <w:spacing w:line="400" w:lineRule="exact"/>
        <w:ind w:left="0" w:leftChars="0" w:firstLine="240" w:firstLineChars="1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▲4）支持后台配置办事大厅功能菜单内容，包含但不限于菜单图标、链接地址、第三方链接等。</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（评审项2）</w:t>
      </w:r>
    </w:p>
    <w:p w14:paraId="1303E4D6">
      <w:pPr>
        <w:widowControl w:val="0"/>
        <w:tabs>
          <w:tab w:val="left" w:pos="4606"/>
        </w:tabs>
        <w:spacing w:line="400" w:lineRule="exact"/>
        <w:ind w:left="0" w:leftChars="0" w:firstLine="241" w:firstLineChars="1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p w14:paraId="7B9735FA">
      <w:pPr>
        <w:widowControl w:val="0"/>
        <w:tabs>
          <w:tab w:val="left" w:pos="4606"/>
        </w:tabs>
        <w:spacing w:line="400" w:lineRule="exact"/>
        <w:ind w:left="0" w:leftChars="0" w:firstLine="240" w:firstLineChars="1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bookmarkStart w:id="6" w:name="OLE_LINK9"/>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w:t>
      </w:r>
      <w:bookmarkEnd w:id="6"/>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5）支持学校统一身份认证集成。</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（评审项3）</w:t>
      </w:r>
    </w:p>
    <w:p w14:paraId="2743C8B0">
      <w:pPr>
        <w:widowControl w:val="0"/>
        <w:tabs>
          <w:tab w:val="left" w:pos="4606"/>
        </w:tabs>
        <w:spacing w:line="400" w:lineRule="exact"/>
        <w:ind w:left="0" w:leftChars="0" w:firstLine="241" w:firstLineChars="1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p w14:paraId="508C1766">
      <w:pPr>
        <w:keepNext/>
        <w:keepLines/>
        <w:widowControl w:val="0"/>
        <w:numPr>
          <w:ilvl w:val="0"/>
          <w:numId w:val="6"/>
        </w:numPr>
        <w:snapToGrid w:val="0"/>
        <w:spacing w:before="0" w:line="400" w:lineRule="exact"/>
        <w:ind w:left="709" w:leftChars="0" w:hanging="709" w:firstLineChars="0"/>
        <w:jc w:val="left"/>
        <w:outlineLvl w:val="2"/>
        <w:rPr>
          <w:rFonts w:hint="eastAsia" w:ascii="宋体" w:hAnsi="宋体" w:eastAsia="宋体" w:cs="宋体"/>
          <w:b/>
          <w:color w:val="000000" w:themeColor="text1"/>
          <w:kern w:val="2"/>
          <w:sz w:val="28"/>
          <w:highlight w:val="none"/>
          <w:lang w:val="en-US" w:eastAsia="zh-CN" w:bidi="ar-SA"/>
          <w14:textFill>
            <w14:solidFill>
              <w14:schemeClr w14:val="tx1"/>
            </w14:solidFill>
          </w14:textFill>
        </w:rPr>
      </w:pPr>
      <w:bookmarkStart w:id="7" w:name="OLE_LINK7"/>
      <w:r>
        <w:rPr>
          <w:rFonts w:hint="eastAsia" w:ascii="宋体" w:hAnsi="宋体" w:eastAsia="宋体" w:cs="宋体"/>
          <w:b/>
          <w:color w:val="000000" w:themeColor="text1"/>
          <w:kern w:val="2"/>
          <w:sz w:val="28"/>
          <w:highlight w:val="none"/>
          <w:lang w:val="en-US" w:eastAsia="zh-CN" w:bidi="ar-SA"/>
          <w14:textFill>
            <w14:solidFill>
              <w14:schemeClr w14:val="tx1"/>
            </w14:solidFill>
          </w14:textFill>
        </w:rPr>
        <w:t>校园随手拍</w:t>
      </w:r>
    </w:p>
    <w:p w14:paraId="4B9F6DCD">
      <w:pPr>
        <w:widowControl w:val="0"/>
        <w:autoSpaceDE w:val="0"/>
        <w:autoSpaceDN w:val="0"/>
        <w:adjustRightInd w:val="0"/>
        <w:ind w:firstLine="420" w:firstLineChars="0"/>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支持移动端选择不同类型进行拍照上传，系统支持自动定位当前位置并支持微调、自动带出个人基本信息、支持填写内容。</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（须演示）</w:t>
      </w:r>
    </w:p>
    <w:p w14:paraId="31AC3BAE">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bookmarkStart w:id="8" w:name="OLE_LINK10"/>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▲2）</w:t>
      </w:r>
      <w:bookmarkEnd w:id="8"/>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支持自定义通过自定义角色对随手拍内容进行分类，并可在分配流程中添加备注说明。</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（评审项4）</w:t>
      </w:r>
    </w:p>
    <w:p w14:paraId="64EAA370">
      <w:pPr>
        <w:widowControl w:val="0"/>
        <w:tabs>
          <w:tab w:val="left" w:pos="4606"/>
        </w:tabs>
        <w:spacing w:line="400" w:lineRule="exact"/>
        <w:ind w:left="0" w:leftChars="0" w:firstLine="241" w:firstLineChars="1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p w14:paraId="5585B71E">
      <w:pPr>
        <w:widowControl w:val="0"/>
        <w:autoSpaceDE w:val="0"/>
        <w:autoSpaceDN w:val="0"/>
        <w:adjustRightInd w:val="0"/>
        <w:spacing w:line="360" w:lineRule="auto"/>
        <w:ind w:firstLine="420" w:firstLineChars="0"/>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bidi="ar-SA"/>
          <w14:textFill>
            <w14:solidFill>
              <w14:schemeClr w14:val="tx1"/>
            </w14:solidFill>
          </w14:textFill>
        </w:rPr>
        <w:t>※3）支持管理员接收反馈后进行问题的分配与处理。</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（须演示）</w:t>
      </w:r>
    </w:p>
    <w:p w14:paraId="5D0BA359">
      <w:pPr>
        <w:widowControl w:val="0"/>
        <w:autoSpaceDE w:val="0"/>
        <w:autoSpaceDN w:val="0"/>
        <w:adjustRightInd w:val="0"/>
        <w:spacing w:line="360" w:lineRule="auto"/>
        <w:ind w:firstLine="420" w:firstLineChars="0"/>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bidi="ar-SA"/>
          <w14:textFill>
            <w14:solidFill>
              <w14:schemeClr w14:val="tx1"/>
            </w14:solidFill>
          </w14:textFill>
        </w:rPr>
        <w:t>※4）支持设置反馈完成的时限及提醒功能，并可根据自定义周期进行提醒。</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（须演示）</w:t>
      </w:r>
    </w:p>
    <w:p w14:paraId="4395BBDA">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▲5）支持驳回操作，支持按待分类、分配、处理中、已完成、超时未完成、超时已完成进行查询。</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（评审项5）</w:t>
      </w:r>
    </w:p>
    <w:p w14:paraId="4CD1F2D3">
      <w:pPr>
        <w:widowControl w:val="0"/>
        <w:tabs>
          <w:tab w:val="left" w:pos="4606"/>
        </w:tabs>
        <w:spacing w:line="400" w:lineRule="exact"/>
        <w:ind w:left="0" w:leftChars="0" w:firstLine="241" w:firstLineChars="1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bookmarkEnd w:id="7"/>
    <w:p w14:paraId="1371120B">
      <w:pPr>
        <w:keepNext/>
        <w:keepLines/>
        <w:widowControl w:val="0"/>
        <w:numPr>
          <w:ilvl w:val="0"/>
          <w:numId w:val="6"/>
        </w:numPr>
        <w:snapToGrid w:val="0"/>
        <w:spacing w:before="0" w:line="400" w:lineRule="exact"/>
        <w:ind w:left="709" w:leftChars="0" w:hanging="709" w:firstLineChars="0"/>
        <w:jc w:val="left"/>
        <w:outlineLvl w:val="2"/>
        <w:rPr>
          <w:rFonts w:hint="eastAsia" w:ascii="宋体" w:hAnsi="宋体" w:eastAsia="宋体" w:cs="宋体"/>
          <w:b/>
          <w:color w:val="000000" w:themeColor="text1"/>
          <w:kern w:val="2"/>
          <w:sz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highlight w:val="none"/>
          <w:lang w:val="en-US" w:eastAsia="zh-CN" w:bidi="ar-SA"/>
          <w14:textFill>
            <w14:solidFill>
              <w14:schemeClr w14:val="tx1"/>
            </w14:solidFill>
          </w14:textFill>
        </w:rPr>
        <w:t>网上报修管理</w:t>
      </w:r>
    </w:p>
    <w:p w14:paraId="149E79FB">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▲1）支持教职工和学生进行一键报修。</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（评审项6）</w:t>
      </w:r>
    </w:p>
    <w:p w14:paraId="53DF6D12">
      <w:pPr>
        <w:widowControl w:val="0"/>
        <w:tabs>
          <w:tab w:val="left" w:pos="4606"/>
        </w:tabs>
        <w:spacing w:line="400" w:lineRule="exact"/>
        <w:ind w:left="0" w:leftChars="0" w:firstLine="241" w:firstLineChars="1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p w14:paraId="4441C2B1">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▲2）支持教管理人员录单。</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（评审项7）</w:t>
      </w:r>
    </w:p>
    <w:p w14:paraId="093E6749">
      <w:pPr>
        <w:widowControl w:val="0"/>
        <w:tabs>
          <w:tab w:val="left" w:pos="4606"/>
        </w:tabs>
        <w:spacing w:line="400" w:lineRule="exact"/>
        <w:ind w:left="0" w:leftChars="0" w:firstLine="241" w:firstLineChars="1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p w14:paraId="7A465C16">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▲3）支持非本系统报修说明并提示跳转至其他报修系统。</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（评审项8）</w:t>
      </w:r>
    </w:p>
    <w:p w14:paraId="6D5EFCDC">
      <w:pPr>
        <w:widowControl w:val="0"/>
        <w:tabs>
          <w:tab w:val="left" w:pos="4606"/>
        </w:tabs>
        <w:spacing w:line="400" w:lineRule="exact"/>
        <w:ind w:left="0" w:leftChars="0" w:firstLine="241" w:firstLineChars="1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p w14:paraId="71508F64">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bookmarkStart w:id="9" w:name="OLE_LINK11"/>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▲4）支持自定义配置维修类目配置。</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（评审项9）</w:t>
      </w:r>
    </w:p>
    <w:p w14:paraId="514257B6">
      <w:pPr>
        <w:widowControl w:val="0"/>
        <w:tabs>
          <w:tab w:val="left" w:pos="4606"/>
        </w:tabs>
        <w:spacing w:line="400" w:lineRule="exact"/>
        <w:ind w:left="0" w:leftChars="0" w:firstLine="241" w:firstLineChars="1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bookmarkEnd w:id="9"/>
    <w:p w14:paraId="648DB782">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▲5）支持物业公司对工单进行受理或驳回操作。</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（评审项10）</w:t>
      </w:r>
    </w:p>
    <w:p w14:paraId="124B2EFE">
      <w:pPr>
        <w:widowControl w:val="0"/>
        <w:tabs>
          <w:tab w:val="left" w:pos="4606"/>
        </w:tabs>
        <w:spacing w:line="400" w:lineRule="exact"/>
        <w:ind w:left="0" w:leftChars="0" w:firstLine="241" w:firstLineChars="1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p w14:paraId="78976892">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▲6）支持人工、自动、抢单等多种模式分派工单。</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（评审项11）</w:t>
      </w:r>
    </w:p>
    <w:p w14:paraId="4F516A72">
      <w:pPr>
        <w:widowControl w:val="0"/>
        <w:tabs>
          <w:tab w:val="left" w:pos="4606"/>
        </w:tabs>
        <w:spacing w:line="400" w:lineRule="exact"/>
        <w:ind w:left="0" w:leftChars="0" w:firstLine="241" w:firstLineChars="1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p w14:paraId="6F6E5BB9">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※7）支持自动审核设置。</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（须演示）</w:t>
      </w:r>
    </w:p>
    <w:p w14:paraId="313FDC0A">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bookmarkStart w:id="10" w:name="OLE_LINK12"/>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※8）为确保施工安全支持配置是否上传施工日志设置。</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（须演示）</w:t>
      </w:r>
    </w:p>
    <w:bookmarkEnd w:id="10"/>
    <w:p w14:paraId="701666B4">
      <w:pPr>
        <w:widowControl w:val="0"/>
        <w:tabs>
          <w:tab w:val="left" w:pos="4606"/>
        </w:tabs>
        <w:spacing w:line="400" w:lineRule="exact"/>
        <w:ind w:left="0" w:leftChars="0" w:firstLine="720" w:firstLineChars="3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9）支持维修师傅现场勘验后选择是否需要配件。</w:t>
      </w:r>
    </w:p>
    <w:p w14:paraId="25D8ED52">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▲10）支持维修师傅上报上报维修内容；支持完工反馈。</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（评审项12）</w:t>
      </w:r>
    </w:p>
    <w:p w14:paraId="4D6648B8">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p w14:paraId="79671935">
      <w:pPr>
        <w:widowControl w:val="0"/>
        <w:tabs>
          <w:tab w:val="left" w:pos="4606"/>
        </w:tabs>
        <w:spacing w:line="400" w:lineRule="exact"/>
        <w:ind w:left="0" w:leftChars="0" w:firstLine="720" w:firstLineChars="3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11）支持校方进行配件采购管理，包括配件名称、价格、图片等信息，并支持按照流程进行审批采购。</w:t>
      </w:r>
    </w:p>
    <w:p w14:paraId="154548D4">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※12）支持完工工单进行评价。</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（须演示）</w:t>
      </w:r>
    </w:p>
    <w:p w14:paraId="26766632">
      <w:pPr>
        <w:widowControl w:val="0"/>
        <w:tabs>
          <w:tab w:val="left" w:pos="4606"/>
        </w:tabs>
        <w:spacing w:line="400" w:lineRule="exact"/>
        <w:ind w:left="0" w:leftChars="0" w:firstLine="720" w:firstLineChars="3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13）支持基础数据、工单汇总、物资、考核、维系工单统计。</w:t>
      </w:r>
    </w:p>
    <w:p w14:paraId="37AEED29">
      <w:pPr>
        <w:widowControl w:val="0"/>
        <w:tabs>
          <w:tab w:val="left" w:pos="4606"/>
        </w:tabs>
        <w:spacing w:line="400" w:lineRule="exact"/>
        <w:ind w:left="0" w:leftChars="0" w:firstLine="720" w:firstLineChars="3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14）支持区域及项目配置、工单分配规则、通用规则、审批流程等配置。</w:t>
      </w:r>
    </w:p>
    <w:p w14:paraId="66A55920">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※15）支持滚动展示工单处理实时信息。</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（须演示）</w:t>
      </w:r>
    </w:p>
    <w:p w14:paraId="17B938FA">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▲16）支持自定时间查询服务单位统计分析。</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（评审项13）</w:t>
      </w:r>
    </w:p>
    <w:p w14:paraId="6FBC3B2D">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p w14:paraId="224783CD">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▲17）支持自定时间查询区域工单统计分析。</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（评审项14）</w:t>
      </w:r>
    </w:p>
    <w:p w14:paraId="77356774">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p w14:paraId="35CD4D96">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▲18）支持自定时间查询报修工单趋势分析。</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（评审项15）</w:t>
      </w:r>
    </w:p>
    <w:p w14:paraId="58BC7D08">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p w14:paraId="6EC50D10">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※19）支持工单审计管理，支持对完工工单进行审计。</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（须演示）</w:t>
      </w:r>
    </w:p>
    <w:p w14:paraId="7074CD3F">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※20）支持查询已审计工单，支持按处理人、名称进行查询。</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（须演示）</w:t>
      </w:r>
    </w:p>
    <w:p w14:paraId="63B428E7">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▲21）支持工单转大维修。</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（评审项16）</w:t>
      </w:r>
    </w:p>
    <w:p w14:paraId="7B4E8A0E">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p w14:paraId="7C9B6DF6">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▲22）支持批量将工单打包成项目。</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（评审项17）</w:t>
      </w:r>
    </w:p>
    <w:p w14:paraId="36547DDD">
      <w:pPr>
        <w:widowControl w:val="0"/>
        <w:tabs>
          <w:tab w:val="left" w:pos="4606"/>
        </w:tabs>
        <w:spacing w:line="400" w:lineRule="exact"/>
        <w:ind w:left="0" w:leftChars="0" w:firstLine="482"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p w14:paraId="2319B3BF">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▲23）工单工作台支持展示工单项目及其处理流程的历史信息，并支持按照流程对工单进行处理。</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（评审项18）</w:t>
      </w:r>
    </w:p>
    <w:p w14:paraId="3A5B3CFF">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p w14:paraId="6092F967">
      <w:pPr>
        <w:keepNext/>
        <w:keepLines/>
        <w:widowControl w:val="0"/>
        <w:numPr>
          <w:ilvl w:val="0"/>
          <w:numId w:val="6"/>
        </w:numPr>
        <w:snapToGrid w:val="0"/>
        <w:spacing w:before="0" w:line="400" w:lineRule="exact"/>
        <w:ind w:left="709" w:leftChars="0" w:hanging="709" w:firstLineChars="0"/>
        <w:jc w:val="left"/>
        <w:outlineLvl w:val="2"/>
        <w:rPr>
          <w:rFonts w:hint="eastAsia" w:ascii="宋体" w:hAnsi="宋体" w:eastAsia="宋体" w:cs="宋体"/>
          <w:b/>
          <w:color w:val="000000" w:themeColor="text1"/>
          <w:kern w:val="2"/>
          <w:sz w:val="28"/>
          <w:highlight w:val="none"/>
          <w:lang w:val="en-US" w:eastAsia="zh-CN" w:bidi="ar-SA"/>
          <w14:textFill>
            <w14:solidFill>
              <w14:schemeClr w14:val="tx1"/>
            </w14:solidFill>
          </w14:textFill>
        </w:rPr>
      </w:pPr>
      <w:bookmarkStart w:id="11" w:name="OLE_LINK8"/>
      <w:r>
        <w:rPr>
          <w:rFonts w:hint="eastAsia" w:ascii="宋体" w:hAnsi="宋体" w:eastAsia="宋体" w:cs="宋体"/>
          <w:b/>
          <w:color w:val="000000" w:themeColor="text1"/>
          <w:kern w:val="2"/>
          <w:sz w:val="28"/>
          <w:highlight w:val="none"/>
          <w:lang w:val="en-US" w:eastAsia="zh-CN" w:bidi="ar-SA"/>
          <w14:textFill>
            <w14:solidFill>
              <w14:schemeClr w14:val="tx1"/>
            </w14:solidFill>
          </w14:textFill>
        </w:rPr>
        <w:t>失物招领</w:t>
      </w:r>
      <w:bookmarkEnd w:id="11"/>
    </w:p>
    <w:p w14:paraId="4395D063">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bookmarkStart w:id="12" w:name="OLE_LINK13"/>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※1）失物登记功能支持用户填写失物的基本信息、上传失物图片、提供联系方式以及选择失物分类，从而完成失物的登记过程。</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（须演示）</w:t>
      </w:r>
    </w:p>
    <w:bookmarkEnd w:id="12"/>
    <w:p w14:paraId="70BB5C96">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※2）支持自定义查询失物已登记的失物与招领信息。</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（须演示）</w:t>
      </w:r>
    </w:p>
    <w:p w14:paraId="208B1C97">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3）支持认领流程让失物用户能够找寻自己遗失物品。</w:t>
      </w:r>
    </w:p>
    <w:p w14:paraId="66A759A9">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4）通知机制方面，系统支持通过关键字自动匹配失物信息，并向相应的用户发送通知。</w:t>
      </w:r>
    </w:p>
    <w:p w14:paraId="39353262">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5）后台管理系统支持审核和发布信息；能够统计失物的种类及失物地点的分布等数据；并且支持自定义生成定期的失物招领情况报告。</w:t>
      </w:r>
    </w:p>
    <w:p w14:paraId="0B8F56CC">
      <w:pPr>
        <w:keepNext/>
        <w:keepLines/>
        <w:widowControl w:val="0"/>
        <w:numPr>
          <w:ilvl w:val="0"/>
          <w:numId w:val="6"/>
        </w:numPr>
        <w:snapToGrid w:val="0"/>
        <w:spacing w:before="0" w:line="400" w:lineRule="exact"/>
        <w:ind w:left="709" w:leftChars="0" w:hanging="709" w:firstLineChars="0"/>
        <w:jc w:val="left"/>
        <w:outlineLvl w:val="2"/>
        <w:rPr>
          <w:rFonts w:hint="eastAsia" w:ascii="宋体" w:hAnsi="宋体" w:eastAsia="宋体" w:cs="宋体"/>
          <w:b/>
          <w:color w:val="000000" w:themeColor="text1"/>
          <w:kern w:val="2"/>
          <w:sz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highlight w:val="none"/>
          <w:lang w:val="en-US" w:eastAsia="zh-CN" w:bidi="ar-SA"/>
          <w14:textFill>
            <w14:solidFill>
              <w14:schemeClr w14:val="tx1"/>
            </w14:solidFill>
          </w14:textFill>
        </w:rPr>
        <w:t>问卷调查</w:t>
      </w:r>
    </w:p>
    <w:p w14:paraId="3B42821C">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▲1）创建问卷，包括题目编辑、页面布局及问卷设置等功能，使用户能够灵活地定制问卷以满足特定需求。</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（评审项19）</w:t>
      </w:r>
    </w:p>
    <w:p w14:paraId="3000F928">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bookmarkStart w:id="13" w:name="OLE_LINK14"/>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（供应商应提供系统功能截图）</w:t>
      </w:r>
    </w:p>
    <w:bookmarkEnd w:id="13"/>
    <w:p w14:paraId="22B3B184">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▲2）问卷发布与分享，支持对问卷进行发布至指定用户或全部用户，支持问卷时间、填写次数等配置。</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（评审项20）</w:t>
      </w:r>
    </w:p>
    <w:p w14:paraId="459EDB79">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（供应商应提供系统功能截图）</w:t>
      </w:r>
    </w:p>
    <w:p w14:paraId="4B385554">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▲3）数据收集与管理功能支持导出问卷结果，并提供自定义筛选问卷信息的能力。</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（评审项21）</w:t>
      </w:r>
    </w:p>
    <w:p w14:paraId="21CB5AB1">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（供应商应提供系统功能截图）</w:t>
      </w:r>
    </w:p>
    <w:p w14:paraId="1C56F951">
      <w:pPr>
        <w:keepNext/>
        <w:keepLines/>
        <w:widowControl w:val="0"/>
        <w:numPr>
          <w:ilvl w:val="0"/>
          <w:numId w:val="6"/>
        </w:numPr>
        <w:snapToGrid w:val="0"/>
        <w:spacing w:before="0" w:line="400" w:lineRule="exact"/>
        <w:ind w:left="709" w:leftChars="0" w:hanging="709" w:firstLineChars="0"/>
        <w:jc w:val="left"/>
        <w:outlineLvl w:val="2"/>
        <w:rPr>
          <w:rFonts w:hint="eastAsia" w:ascii="宋体" w:hAnsi="宋体" w:eastAsia="宋体" w:cs="宋体"/>
          <w:b/>
          <w:color w:val="000000" w:themeColor="text1"/>
          <w:kern w:val="2"/>
          <w:sz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highlight w:val="none"/>
          <w:lang w:val="en-US" w:eastAsia="zh-CN" w:bidi="ar-SA"/>
          <w14:textFill>
            <w14:solidFill>
              <w14:schemeClr w14:val="tx1"/>
            </w14:solidFill>
          </w14:textFill>
        </w:rPr>
        <w:t>投诉咨询建议</w:t>
      </w:r>
    </w:p>
    <w:p w14:paraId="2C4BDF7D">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▲1）支持用户通过移动端进行投诉与咨询信息，并可定义填写反馈内容、附件等详细信息。</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（评审项22）</w:t>
      </w:r>
    </w:p>
    <w:p w14:paraId="52F08CBB">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p w14:paraId="2C5A785E">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※2）支持通过自定义角色对上报内容分类，并可在分配流程中添加备注说明。</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（须演示）</w:t>
      </w:r>
    </w:p>
    <w:p w14:paraId="06CEBEAB">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▲3）支持在接收反馈后进行问题的分配与处理。</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（评审项23）</w:t>
      </w:r>
    </w:p>
    <w:p w14:paraId="76BA9115">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p w14:paraId="2AE789BB">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※4）支持设置反馈完成的时限及提醒功能，并可根据自定义周期进行提醒。</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（须演示）</w:t>
      </w:r>
    </w:p>
    <w:p w14:paraId="0B1EA0B5">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▲5）支持驳回操作。</w:t>
      </w:r>
      <w:bookmarkStart w:id="14" w:name="OLE_LINK18"/>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（评审项24）</w:t>
      </w:r>
    </w:p>
    <w:bookmarkEnd w:id="14"/>
    <w:p w14:paraId="25A04D0E">
      <w:pPr>
        <w:widowControl w:val="0"/>
        <w:tabs>
          <w:tab w:val="left" w:pos="4606"/>
        </w:tabs>
        <w:spacing w:line="400" w:lineRule="exact"/>
        <w:ind w:left="210" w:leftChars="100" w:firstLine="241" w:firstLineChars="1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（供应商应提供带有中国教育网的顶级域名“.edu.cn”的功能截图，并提供类似项目成交通知书及合同关键页的供货经验证明。）</w:t>
      </w:r>
    </w:p>
    <w:p w14:paraId="35073D0D">
      <w:pPr>
        <w:keepNext/>
        <w:keepLines/>
        <w:widowControl w:val="0"/>
        <w:numPr>
          <w:ilvl w:val="0"/>
          <w:numId w:val="6"/>
        </w:numPr>
        <w:snapToGrid w:val="0"/>
        <w:spacing w:before="0" w:line="400" w:lineRule="exact"/>
        <w:ind w:left="709" w:leftChars="0" w:hanging="709" w:firstLineChars="0"/>
        <w:jc w:val="left"/>
        <w:outlineLvl w:val="2"/>
        <w:rPr>
          <w:rFonts w:hint="eastAsia" w:ascii="宋体" w:hAnsi="宋体" w:eastAsia="宋体" w:cs="宋体"/>
          <w:b/>
          <w:color w:val="000000" w:themeColor="text1"/>
          <w:kern w:val="2"/>
          <w:sz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highlight w:val="none"/>
          <w:lang w:val="en-US" w:eastAsia="zh-CN" w:bidi="ar-SA"/>
          <w14:textFill>
            <w14:solidFill>
              <w14:schemeClr w14:val="tx1"/>
            </w14:solidFill>
          </w14:textFill>
        </w:rPr>
        <w:t>工程项目管理</w:t>
      </w:r>
    </w:p>
    <w:p w14:paraId="097B0750">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▲1）支持项目的报建流程，包括申请报建、审批和签字等步骤。</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（评审项25）</w:t>
      </w:r>
    </w:p>
    <w:p w14:paraId="5551B1DB">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（供应商应提供功能截图或原型设计稿）</w:t>
      </w:r>
    </w:p>
    <w:p w14:paraId="7DCB5A75">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2）系统支持项目管理功能，包括录入党政联谊会会议纪要和项目申报表。项目申报表应包含项目名称、项目估算金额、施工时间、地点、经费来源以及项目情况等详细说明。系统还支持根据不同的项目金额设定不同的审批流程。</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（评审项26）</w:t>
      </w:r>
    </w:p>
    <w:p w14:paraId="7B3D5EEC">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（供应商应提供功能截图或原型设计稿）</w:t>
      </w:r>
    </w:p>
    <w:p w14:paraId="24B956CB">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▲3）支持项目进程管理、归档管理。</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（评审项27）</w:t>
      </w:r>
    </w:p>
    <w:p w14:paraId="1B1DB572">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（供应商应提供功能截图或原型设计稿）</w:t>
      </w:r>
    </w:p>
    <w:p w14:paraId="42118B9F">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▲4）支持项目查询统计，支持项目状态、时间、部门、金额等，提供日报、周报、月报、年报等生成与导出功能。</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（评审项28）</w:t>
      </w:r>
    </w:p>
    <w:p w14:paraId="242668C6">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（供应商应提供功能截图或原型设计稿）</w:t>
      </w:r>
    </w:p>
    <w:p w14:paraId="73F61460">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▲5）提供当前用户申报的项目数据看板，从【项目分类、生命周期、金额、其他定义的维度】，按照图表结合的数据卡片区域展示。</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（评审项29）</w:t>
      </w:r>
    </w:p>
    <w:p w14:paraId="7834ACB6">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（供应商应提供功能截图或原型设计稿）</w:t>
      </w:r>
    </w:p>
    <w:p w14:paraId="1C3687E8">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▲6）提供从审核以及管理者视角，提供当前用户管辖下的项目数据看板，提供更多维度的数据图表展示，包括【项目状态、项目分类、项目阶段、金额、部门】等。</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（评审项30）</w:t>
      </w:r>
    </w:p>
    <w:p w14:paraId="544586C2">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（供应商应提供功能截图或原型设计稿）</w:t>
      </w:r>
    </w:p>
    <w:p w14:paraId="3A8EE8C9">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▲7）从全局领导视角，以数据大屏的形式，展示【实时、当月、年度】等不同时间维度的项目信息，同时提供项目分类，办件数量，部门排名等宏观维度的数据展示。</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（评审项31）</w:t>
      </w:r>
    </w:p>
    <w:p w14:paraId="6CA501FC">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（供应商应提供功能截图或原型设计稿）</w:t>
      </w:r>
    </w:p>
    <w:p w14:paraId="6180EF7E">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▲8）项目分类配置，支持自定义配置不同项目类型分类。</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（评审项32）</w:t>
      </w:r>
    </w:p>
    <w:p w14:paraId="126033D6">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（供应商应提供功能截图或原型设计稿）</w:t>
      </w:r>
    </w:p>
    <w:p w14:paraId="5FCBF53F">
      <w:pPr>
        <w:widowControl w:val="0"/>
        <w:tabs>
          <w:tab w:val="left" w:pos="4606"/>
        </w:tabs>
        <w:spacing w:line="400" w:lineRule="exact"/>
        <w:ind w:left="0" w:leftChars="0" w:firstLine="720" w:firstLineChars="3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9）项目字典配置，支持对项目信息中常用的数据项，通过项目字典进行维护。</w:t>
      </w:r>
    </w:p>
    <w:p w14:paraId="44C87EC0">
      <w:pPr>
        <w:widowControl w:val="0"/>
        <w:tabs>
          <w:tab w:val="left" w:pos="4606"/>
        </w:tabs>
        <w:spacing w:line="400" w:lineRule="exact"/>
        <w:ind w:left="0" w:leftChars="0" w:firstLine="480"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▲10）审批配置，针对项目的分类、金额区间、项目关键字典项，指定其参与审批的角色，设定对应该类项目的资料信息格式。</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（评审项33）</w:t>
      </w:r>
    </w:p>
    <w:p w14:paraId="4B93764B">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（供应商应提供功能截图或原型设计稿）</w:t>
      </w:r>
    </w:p>
    <w:p w14:paraId="69D08BAB">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bookmarkStart w:id="15" w:name="OLE_LINK16"/>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▲11）不同金额项目审批流程，对于1万元以内的工程项目，审批流程如下</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（评审项34）</w:t>
      </w: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w:t>
      </w:r>
    </w:p>
    <w:bookmarkEnd w:id="15"/>
    <w:p w14:paraId="758D4728">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（1）审核项目申报表后进入施工阶段；</w:t>
      </w:r>
    </w:p>
    <w:p w14:paraId="239FCBB3">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（2）施工完成后，报请监理单位出具监理报告；</w:t>
      </w:r>
    </w:p>
    <w:p w14:paraId="7578C17B">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（3）为了简化结算流程，将一个月内单项不超过1万元的工程项目汇总后送审至审核科；</w:t>
      </w:r>
    </w:p>
    <w:p w14:paraId="56D53C71">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（4）审计科出具结算征求意见书给后勤处；</w:t>
      </w:r>
    </w:p>
    <w:p w14:paraId="1F0F7C86">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（5）后勤处审核监理报告，审核通过后进行结算。</w:t>
      </w:r>
    </w:p>
    <w:p w14:paraId="7EB3C8BE">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（供应商应提供功能截图或原型设计稿）</w:t>
      </w:r>
    </w:p>
    <w:p w14:paraId="50C81DAE">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▲12）不同金额项目审批流程，对于1至3万元以内的工程项目，审批流程如下</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（评审项35）</w:t>
      </w: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w:t>
      </w:r>
    </w:p>
    <w:p w14:paraId="32EADC79">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（1）后勤处进行会议讨论，并形成会议纪要，会议通过后进入下一个流程；</w:t>
      </w:r>
    </w:p>
    <w:p w14:paraId="1BE5A16C">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（2）根据会议纪要形成立项审批表；</w:t>
      </w:r>
    </w:p>
    <w:p w14:paraId="1C2A5EDF">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（3）施工完成后，报请监理单位出具监理报告；</w:t>
      </w:r>
    </w:p>
    <w:p w14:paraId="79DEE4E7">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（4）为了简化结算流程，将一个月内单项不超过1至3万元的工程项目汇总后送审至审核科；</w:t>
      </w:r>
    </w:p>
    <w:p w14:paraId="54A3A7B5">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（5）审计科出具结算征求意见书给后勤处；</w:t>
      </w:r>
    </w:p>
    <w:p w14:paraId="7AB486A9">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（6）后勤处审核监理报告，审核通过后进行结算。</w:t>
      </w:r>
    </w:p>
    <w:p w14:paraId="18BFFF04">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（供应商应提供功能截图或原型设计稿）</w:t>
      </w:r>
    </w:p>
    <w:p w14:paraId="3C84C077">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bookmarkStart w:id="16" w:name="OLE_LINK17"/>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▲13）不同金额项目审批流程，对于3至400万元以内的工程项目，审批流程如下</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（评审项36）</w:t>
      </w: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w:t>
      </w:r>
    </w:p>
    <w:bookmarkEnd w:id="16"/>
    <w:p w14:paraId="1B9D967B">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（1）进行校内招标；</w:t>
      </w:r>
    </w:p>
    <w:p w14:paraId="2DC6D250">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（2）筹办项目立项会议并形成会议纪要，会议审核通过后进入下一流程；</w:t>
      </w:r>
    </w:p>
    <w:p w14:paraId="55699437">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（3）根据项目会议纪要形成立项审批表并报审使用部门、后勤管理处、分管院系领导、院长依次审批，审核通过后步入下一流程；</w:t>
      </w:r>
    </w:p>
    <w:p w14:paraId="7608E1F7">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（4）确定招标代理全程参与，招标代理可学校随机抽取或自主导入；项目设计费如不足3万则市场询价如高于3万则校内招标；</w:t>
      </w:r>
    </w:p>
    <w:p w14:paraId="69F6B953">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（5）确认招标代理后依次步入设计、预算编制、预算审核、公开招标、实施(变更)、验收、送审、结算等流程。</w:t>
      </w:r>
    </w:p>
    <w:p w14:paraId="4746A786">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（供应商应提供功能截图或原型设计稿）</w:t>
      </w:r>
    </w:p>
    <w:p w14:paraId="32387FC3">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▲14）不同金额项目审批流程，对于400万元的工程项目，审批流程如下</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（评审项37）</w:t>
      </w: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w:t>
      </w:r>
    </w:p>
    <w:p w14:paraId="258863FE">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（1）进行政府招标；</w:t>
      </w:r>
    </w:p>
    <w:p w14:paraId="5AE8B844">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（2）筹办项目立项会议并形成会议纪要，会议审核通过后进入下一流程；</w:t>
      </w:r>
    </w:p>
    <w:p w14:paraId="60B32D8A">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（3）根据项目会议纪要形成立项审批表，审核通过后步入下一流程；</w:t>
      </w:r>
    </w:p>
    <w:p w14:paraId="00D7E6A2">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（4）确认招标代理全程参与并进行公开招标确认招标代理公司；</w:t>
      </w:r>
    </w:p>
    <w:p w14:paraId="5B1557A0">
      <w:pPr>
        <w:widowControl w:val="0"/>
        <w:tabs>
          <w:tab w:val="left" w:pos="4606"/>
        </w:tabs>
        <w:spacing w:line="400" w:lineRule="exact"/>
        <w:ind w:left="0" w:leftChars="0"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（5）确认招标代理后依次步入设计、预算编制、预算审核、公开招标、实施(变更)、验收、送审、结算等流程。</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（供应商应提供功能截图或原型设计稿）</w:t>
      </w:r>
    </w:p>
    <w:p w14:paraId="59A43E6D">
      <w:pPr>
        <w:widowControl w:val="0"/>
        <w:tabs>
          <w:tab w:val="left" w:pos="4606"/>
        </w:tabs>
        <w:spacing w:line="400" w:lineRule="exact"/>
        <w:ind w:left="0" w:leftChars="0" w:firstLine="482"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（供应商应提供功能截图或原型设计稿）</w:t>
      </w:r>
    </w:p>
    <w:p w14:paraId="62CDDD1A">
      <w:pPr>
        <w:keepNext/>
        <w:keepLines/>
        <w:widowControl w:val="0"/>
        <w:numPr>
          <w:ilvl w:val="0"/>
          <w:numId w:val="6"/>
        </w:numPr>
        <w:snapToGrid w:val="0"/>
        <w:spacing w:before="0" w:line="400" w:lineRule="exact"/>
        <w:ind w:left="709" w:leftChars="0" w:hanging="709" w:firstLineChars="0"/>
        <w:jc w:val="left"/>
        <w:outlineLvl w:val="2"/>
        <w:rPr>
          <w:rFonts w:hint="eastAsia" w:ascii="宋体" w:hAnsi="宋体" w:eastAsia="宋体" w:cs="宋体"/>
          <w:b/>
          <w:color w:val="000000" w:themeColor="text1"/>
          <w:kern w:val="2"/>
          <w:sz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highlight w:val="none"/>
          <w:lang w:val="en-US" w:eastAsia="zh-CN" w:bidi="ar-SA"/>
          <w14:textFill>
            <w14:solidFill>
              <w14:schemeClr w14:val="tx1"/>
            </w14:solidFill>
          </w14:textFill>
        </w:rPr>
        <w:t>与学校上级平台集成对接</w:t>
      </w:r>
    </w:p>
    <w:p w14:paraId="38BFE850">
      <w:pPr>
        <w:widowControl w:val="0"/>
        <w:tabs>
          <w:tab w:val="left" w:pos="4606"/>
        </w:tabs>
        <w:spacing w:line="400" w:lineRule="exact"/>
        <w:ind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▲支持与学校微校园、门户进行功能菜单集成。</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（评审项38）</w:t>
      </w:r>
    </w:p>
    <w:p w14:paraId="1DDBA34B">
      <w:pPr>
        <w:widowControl w:val="0"/>
        <w:tabs>
          <w:tab w:val="left" w:pos="4606"/>
        </w:tabs>
        <w:spacing w:line="400" w:lineRule="exact"/>
        <w:ind w:firstLine="482"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（供应商应当出具正式的与学校上级平台集成对接承诺函，并确保该函件加盖公司公章，以确保其对与学校上级平台集成对接的郑重承诺与法律责任。）</w:t>
      </w:r>
    </w:p>
    <w:p w14:paraId="35EF5076">
      <w:pPr>
        <w:widowControl w:val="0"/>
        <w:spacing w:after="120" w:afterLines="0" w:line="240" w:lineRule="auto"/>
        <w:ind w:firstLine="210" w:firstLineChars="100"/>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p w14:paraId="4ED0A034">
      <w:pPr>
        <w:keepNext/>
        <w:keepLines/>
        <w:widowControl w:val="0"/>
        <w:numPr>
          <w:ilvl w:val="0"/>
          <w:numId w:val="6"/>
        </w:numPr>
        <w:snapToGrid w:val="0"/>
        <w:spacing w:before="0" w:line="400" w:lineRule="exact"/>
        <w:ind w:left="709" w:leftChars="0" w:hanging="709" w:firstLineChars="0"/>
        <w:jc w:val="left"/>
        <w:outlineLvl w:val="2"/>
        <w:rPr>
          <w:rFonts w:hint="eastAsia" w:ascii="宋体" w:hAnsi="宋体" w:eastAsia="宋体" w:cs="宋体"/>
          <w:b/>
          <w:color w:val="000000" w:themeColor="text1"/>
          <w:kern w:val="2"/>
          <w:sz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highlight w:val="none"/>
          <w:lang w:val="en-US" w:eastAsia="zh-CN" w:bidi="ar-SA"/>
          <w14:textFill>
            <w14:solidFill>
              <w14:schemeClr w14:val="tx1"/>
            </w14:solidFill>
          </w14:textFill>
        </w:rPr>
        <w:t>免费开放API接口</w:t>
      </w:r>
    </w:p>
    <w:p w14:paraId="48A000EE">
      <w:pPr>
        <w:widowControl w:val="0"/>
        <w:tabs>
          <w:tab w:val="left" w:pos="4606"/>
        </w:tabs>
        <w:spacing w:line="400" w:lineRule="exact"/>
        <w:ind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▲免费开放API接口，以便学院信息中心进行数据集成与交换，消除数据孤岛现象，最终实现数据的互联互通。此外，还将与学校的统一身份认证平台对接，通过单点登录（SSO）技术提升用户体验。</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（评审项39</w:t>
      </w:r>
    </w:p>
    <w:p w14:paraId="55BEFC46">
      <w:pPr>
        <w:widowControl w:val="0"/>
        <w:tabs>
          <w:tab w:val="left" w:pos="4606"/>
        </w:tabs>
        <w:spacing w:line="400" w:lineRule="exact"/>
        <w:ind w:firstLine="482"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（供应商应当出具正式的免费开放API接口与集成学校统一身份认证承诺函，并确保该函件加盖公司公章，以确保其对免费开放API接口与集成学校统一身份认证事宜的郑重承诺与法律责任。）</w:t>
      </w:r>
    </w:p>
    <w:p w14:paraId="2BBDC149">
      <w:pPr>
        <w:widowControl w:val="0"/>
        <w:spacing w:after="120" w:afterLines="0" w:line="240" w:lineRule="auto"/>
        <w:ind w:firstLine="210" w:firstLineChars="100"/>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p w14:paraId="305C7EF1">
      <w:pPr>
        <w:keepNext/>
        <w:keepLines/>
        <w:widowControl w:val="0"/>
        <w:numPr>
          <w:ilvl w:val="0"/>
          <w:numId w:val="6"/>
        </w:numPr>
        <w:snapToGrid w:val="0"/>
        <w:spacing w:before="0" w:line="400" w:lineRule="exact"/>
        <w:ind w:left="709" w:leftChars="0" w:hanging="709" w:firstLineChars="0"/>
        <w:jc w:val="left"/>
        <w:outlineLvl w:val="2"/>
        <w:rPr>
          <w:rFonts w:hint="eastAsia" w:ascii="宋体" w:hAnsi="宋体" w:eastAsia="宋体" w:cs="宋体"/>
          <w:b/>
          <w:color w:val="000000" w:themeColor="text1"/>
          <w:kern w:val="2"/>
          <w:sz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highlight w:val="none"/>
          <w:lang w:val="en-US" w:eastAsia="zh-CN" w:bidi="ar-SA"/>
          <w14:textFill>
            <w14:solidFill>
              <w14:schemeClr w14:val="tx1"/>
            </w14:solidFill>
          </w14:textFill>
        </w:rPr>
        <w:t>国产化适配</w:t>
      </w:r>
    </w:p>
    <w:p w14:paraId="51C631E4">
      <w:pPr>
        <w:widowControl w:val="0"/>
        <w:tabs>
          <w:tab w:val="left" w:pos="4606"/>
        </w:tabs>
        <w:spacing w:line="400" w:lineRule="exact"/>
        <w:ind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在系统设计之初，必须严格遵循国家关于信息安全的规范与要求，确保各项技术架构与实施细节符合最新的安全标准。同时，系统应具备良好的灵活性与兼容性，能够顺利适配国产处理器架构，并无缝运行于各类国产服务器操作系统之上，以此强化自主可控的技术生态，构筑坚实的信息安全防线。</w:t>
      </w: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（评审项40）</w:t>
      </w:r>
    </w:p>
    <w:p w14:paraId="7B209C76">
      <w:pPr>
        <w:widowControl w:val="0"/>
        <w:tabs>
          <w:tab w:val="left" w:pos="4606"/>
        </w:tabs>
        <w:spacing w:line="400" w:lineRule="exact"/>
        <w:ind w:firstLine="482" w:firstLineChars="200"/>
        <w:jc w:val="left"/>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（提供至少一种国产服务器操作系统兼容性认证证书并</w:t>
      </w:r>
      <w:bookmarkStart w:id="17" w:name="OLE_LINK19"/>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需提供承诺并加盖公章：搭建的后勤管理平台可以做国产化服务器的兼容，并提供相关技术支撑，后期根据业主方要求进行国产化认证</w:t>
      </w:r>
      <w:bookmarkEnd w:id="17"/>
      <w:r>
        <w:rPr>
          <w:rFonts w:hint="eastAsia" w:ascii="宋体" w:hAnsi="宋体" w:eastAsia="宋体" w:cs="宋体"/>
          <w:b/>
          <w:bCs/>
          <w:color w:val="000000" w:themeColor="text1"/>
          <w:kern w:val="2"/>
          <w:sz w:val="24"/>
          <w:highlight w:val="none"/>
          <w:lang w:val="en-US" w:eastAsia="zh-CN" w:bidi="ar-SA"/>
          <w14:textFill>
            <w14:solidFill>
              <w14:schemeClr w14:val="tx1"/>
            </w14:solidFill>
          </w14:textFill>
        </w:rPr>
        <w:t>）。</w:t>
      </w:r>
    </w:p>
    <w:p w14:paraId="5313DBA4">
      <w:pPr>
        <w:widowControl w:val="0"/>
        <w:spacing w:after="120" w:afterLines="0" w:line="240" w:lineRule="auto"/>
        <w:ind w:firstLine="210" w:firstLineChars="100"/>
        <w:jc w:val="both"/>
        <w:rPr>
          <w:rFonts w:hint="eastAsia" w:ascii="宋体" w:hAnsi="宋体" w:eastAsia="宋体" w:cs="宋体"/>
          <w:color w:val="000000" w:themeColor="text1"/>
          <w:kern w:val="2"/>
          <w:sz w:val="21"/>
          <w:highlight w:val="none"/>
          <w:lang w:val="zh-CN" w:eastAsia="zh-CN" w:bidi="ar-SA"/>
          <w14:textFill>
            <w14:solidFill>
              <w14:schemeClr w14:val="tx1"/>
            </w14:solidFill>
          </w14:textFill>
        </w:rPr>
      </w:pPr>
    </w:p>
    <w:p w14:paraId="4EBE0824">
      <w:pPr>
        <w:keepNext/>
        <w:keepLines/>
        <w:widowControl w:val="0"/>
        <w:numPr>
          <w:ilvl w:val="0"/>
          <w:numId w:val="6"/>
        </w:numPr>
        <w:snapToGrid w:val="0"/>
        <w:spacing w:before="0" w:line="400" w:lineRule="exact"/>
        <w:ind w:left="709" w:leftChars="0" w:hanging="709" w:firstLineChars="0"/>
        <w:jc w:val="left"/>
        <w:outlineLvl w:val="2"/>
        <w:rPr>
          <w:rFonts w:hint="eastAsia" w:ascii="宋体" w:hAnsi="宋体" w:eastAsia="宋体" w:cs="宋体"/>
          <w:b/>
          <w:color w:val="000000" w:themeColor="text1"/>
          <w:kern w:val="2"/>
          <w:sz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highlight w:val="none"/>
          <w:lang w:val="en-US" w:eastAsia="zh-CN" w:bidi="ar-SA"/>
          <w14:textFill>
            <w14:solidFill>
              <w14:schemeClr w14:val="tx1"/>
            </w14:solidFill>
          </w14:textFill>
        </w:rPr>
        <w:t>系统技术要求</w:t>
      </w:r>
    </w:p>
    <w:p w14:paraId="3FB22203">
      <w:pPr>
        <w:widowControl w:val="0"/>
        <w:tabs>
          <w:tab w:val="left" w:pos="4606"/>
        </w:tabs>
        <w:spacing w:line="400" w:lineRule="exact"/>
        <w:ind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1）系统应支持不低于1000的并发访问量。</w:t>
      </w:r>
    </w:p>
    <w:p w14:paraId="5DABBAEF">
      <w:pPr>
        <w:widowControl w:val="0"/>
        <w:tabs>
          <w:tab w:val="left" w:pos="4606"/>
        </w:tabs>
        <w:spacing w:line="400" w:lineRule="exact"/>
        <w:ind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2）具备中等强度的网络应用安全设计，确保身份识别、访问控</w:t>
      </w:r>
    </w:p>
    <w:p w14:paraId="00CD37AF">
      <w:pPr>
        <w:widowControl w:val="0"/>
        <w:tabs>
          <w:tab w:val="left" w:pos="4606"/>
        </w:tabs>
        <w:spacing w:line="400" w:lineRule="exact"/>
        <w:ind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制、信息的机密性、完整性和抗否认性的实现报警响应时间：＜1s。</w:t>
      </w:r>
    </w:p>
    <w:p w14:paraId="2CB97969">
      <w:pPr>
        <w:widowControl w:val="0"/>
        <w:tabs>
          <w:tab w:val="left" w:pos="4606"/>
        </w:tabs>
        <w:spacing w:line="400" w:lineRule="exact"/>
        <w:ind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3）服务器7X24小时运转。</w:t>
      </w:r>
    </w:p>
    <w:p w14:paraId="1B01B1C6">
      <w:pPr>
        <w:widowControl w:val="0"/>
        <w:tabs>
          <w:tab w:val="left" w:pos="4606"/>
        </w:tabs>
        <w:spacing w:line="400" w:lineRule="exact"/>
        <w:ind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4）年平均故障时间&lt;=12小时。</w:t>
      </w:r>
    </w:p>
    <w:p w14:paraId="0C66232E">
      <w:pPr>
        <w:widowControl w:val="0"/>
        <w:tabs>
          <w:tab w:val="left" w:pos="4606"/>
        </w:tabs>
        <w:spacing w:line="400" w:lineRule="exact"/>
        <w:ind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5）平均修复故障时间&lt;=2小时。</w:t>
      </w:r>
    </w:p>
    <w:p w14:paraId="6FBAB053">
      <w:pPr>
        <w:widowControl w:val="0"/>
        <w:tabs>
          <w:tab w:val="left" w:pos="4606"/>
        </w:tabs>
        <w:spacing w:line="400" w:lineRule="exact"/>
        <w:ind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6）平均迁移时间&lt;=8小时（应用主机系统的变更切换时间）。</w:t>
      </w:r>
    </w:p>
    <w:p w14:paraId="71655082">
      <w:pPr>
        <w:widowControl w:val="0"/>
        <w:tabs>
          <w:tab w:val="left" w:pos="4606"/>
        </w:tabs>
        <w:spacing w:line="400" w:lineRule="exact"/>
        <w:ind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7）平均界面反应时间&lt;=1秒。</w:t>
      </w:r>
    </w:p>
    <w:p w14:paraId="76CBDDCE">
      <w:pPr>
        <w:widowControl w:val="0"/>
        <w:tabs>
          <w:tab w:val="left" w:pos="4606"/>
        </w:tabs>
        <w:spacing w:line="400" w:lineRule="exact"/>
        <w:ind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8）功能的可扩展性：当有新功能的需要时，可以在系统便捷扩展。</w:t>
      </w:r>
    </w:p>
    <w:p w14:paraId="044918AB">
      <w:pPr>
        <w:widowControl w:val="0"/>
        <w:tabs>
          <w:tab w:val="left" w:pos="4606"/>
        </w:tabs>
        <w:spacing w:line="400" w:lineRule="exact"/>
        <w:ind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9）技术的可扩展性：当有新技术出现或被要求实现时，系统可快速实现。</w:t>
      </w:r>
    </w:p>
    <w:p w14:paraId="11D46605">
      <w:pPr>
        <w:widowControl w:val="0"/>
        <w:tabs>
          <w:tab w:val="left" w:pos="4606"/>
        </w:tabs>
        <w:spacing w:line="400" w:lineRule="exact"/>
        <w:ind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10）性能的可扩展性：系统应具备通过调整（软、硬件）配置来改善性能的能力。</w:t>
      </w:r>
    </w:p>
    <w:p w14:paraId="3F70C865">
      <w:pPr>
        <w:widowControl w:val="0"/>
        <w:tabs>
          <w:tab w:val="left" w:pos="4606"/>
        </w:tabs>
        <w:spacing w:line="400" w:lineRule="exact"/>
        <w:ind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11）接口的可扩展性：系统应能够方便的实现未来可能需要的接口。</w:t>
      </w:r>
    </w:p>
    <w:p w14:paraId="345BABEE">
      <w:pPr>
        <w:widowControl w:val="0"/>
        <w:spacing w:after="120" w:afterLines="0" w:line="240" w:lineRule="auto"/>
        <w:jc w:val="both"/>
        <w:rPr>
          <w:rFonts w:hint="eastAsia" w:ascii="宋体" w:hAnsi="宋体" w:eastAsia="宋体" w:cs="宋体"/>
          <w:color w:val="000000" w:themeColor="text1"/>
          <w:kern w:val="2"/>
          <w:sz w:val="21"/>
          <w:highlight w:val="none"/>
          <w:lang w:val="en-US" w:eastAsia="zh-CN" w:bidi="ar-SA"/>
          <w14:textFill>
            <w14:solidFill>
              <w14:schemeClr w14:val="tx1"/>
            </w14:solidFill>
          </w14:textFill>
        </w:rPr>
      </w:pPr>
    </w:p>
    <w:p w14:paraId="1A842918">
      <w:pPr>
        <w:keepNext/>
        <w:keepLines/>
        <w:widowControl w:val="0"/>
        <w:numPr>
          <w:ilvl w:val="0"/>
          <w:numId w:val="6"/>
        </w:numPr>
        <w:snapToGrid w:val="0"/>
        <w:spacing w:before="0" w:line="400" w:lineRule="exact"/>
        <w:ind w:left="709" w:leftChars="0" w:hanging="709" w:firstLineChars="0"/>
        <w:jc w:val="left"/>
        <w:outlineLvl w:val="2"/>
        <w:rPr>
          <w:rFonts w:hint="eastAsia" w:ascii="宋体" w:hAnsi="宋体" w:eastAsia="宋体" w:cs="宋体"/>
          <w:b/>
          <w:color w:val="000000" w:themeColor="text1"/>
          <w:kern w:val="2"/>
          <w:sz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highlight w:val="none"/>
          <w:lang w:val="en-US" w:eastAsia="zh-CN" w:bidi="ar-SA"/>
          <w14:textFill>
            <w14:solidFill>
              <w14:schemeClr w14:val="tx1"/>
            </w14:solidFill>
          </w14:textFill>
        </w:rPr>
        <w:t>系统安全性要求</w:t>
      </w:r>
    </w:p>
    <w:p w14:paraId="489E8805">
      <w:pPr>
        <w:widowControl w:val="0"/>
        <w:tabs>
          <w:tab w:val="left" w:pos="4606"/>
        </w:tabs>
        <w:spacing w:line="400" w:lineRule="exact"/>
        <w:ind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1）访问控制，在网络边界或区域之间根据访问控制策略设置访问控制规则，默认情况下除允许通信外受控接口拒绝所有通信。</w:t>
      </w:r>
    </w:p>
    <w:p w14:paraId="68C5318B">
      <w:pPr>
        <w:widowControl w:val="0"/>
        <w:tabs>
          <w:tab w:val="left" w:pos="4606"/>
        </w:tabs>
        <w:spacing w:line="400" w:lineRule="exact"/>
        <w:ind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2）代码安全，在关键网络节点处对恶意代码进行检测和清除，并维护恶意代码防护机制的升级和更新。</w:t>
      </w:r>
    </w:p>
    <w:p w14:paraId="6F8A109A">
      <w:pPr>
        <w:widowControl w:val="0"/>
        <w:tabs>
          <w:tab w:val="left" w:pos="4606"/>
        </w:tabs>
        <w:spacing w:line="400" w:lineRule="exact"/>
        <w:ind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3）安全审计，提供安全审计功能，审计覆盖到每个用户，对重要的用户行为和重要安全事件进行审计。</w:t>
      </w:r>
    </w:p>
    <w:p w14:paraId="06D4E666">
      <w:pPr>
        <w:widowControl w:val="0"/>
        <w:tabs>
          <w:tab w:val="left" w:pos="4606"/>
        </w:tabs>
        <w:spacing w:line="400" w:lineRule="exact"/>
        <w:ind w:firstLine="480" w:firstLineChars="200"/>
        <w:jc w:val="left"/>
        <w:rPr>
          <w:rFonts w:hint="eastAsia" w:ascii="宋体" w:hAnsi="宋体" w:eastAsia="宋体" w:cs="宋体"/>
          <w:color w:val="000000" w:themeColor="text1"/>
          <w:kern w:val="2"/>
          <w:sz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4）隐私保护,对登录的用户进行身份标识和鉴别，身份标识具有唯一性，身份鉴别信息具有复杂度要求并定期更换。</w:t>
      </w:r>
    </w:p>
    <w:p w14:paraId="1998EC1B">
      <w:pPr>
        <w:pStyle w:val="7"/>
        <w:keepNext w:val="0"/>
        <w:keepLines w:val="0"/>
        <w:widowControl/>
        <w:numPr>
          <w:ilvl w:val="0"/>
          <w:numId w:val="0"/>
        </w:numPr>
        <w:suppressLineNumbers w:val="0"/>
        <w:spacing w:before="75" w:beforeAutospacing="0" w:after="75" w:afterAutospacing="0" w:line="435" w:lineRule="atLeast"/>
        <w:ind w:leftChars="0" w:right="0" w:rightChars="0" w:firstLine="480" w:firstLineChars="20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highlight w:val="none"/>
          <w:lang w:val="en-US" w:eastAsia="zh-CN" w:bidi="ar-SA"/>
          <w14:textFill>
            <w14:solidFill>
              <w14:schemeClr w14:val="tx1"/>
            </w14:solidFill>
          </w14:textFill>
        </w:rPr>
        <w:t>5）完善业务管理系统数据存储机制,对配置文件和代码中不允许有配置账号和密钥明文。</w:t>
      </w:r>
    </w:p>
    <w:p w14:paraId="42927CFE">
      <w:pPr>
        <w:pStyle w:val="2"/>
        <w:numPr>
          <w:ilvl w:val="0"/>
          <w:numId w:val="0"/>
        </w:numPr>
        <w:jc w:val="both"/>
        <w:rPr>
          <w:rStyle w:val="12"/>
          <w:rFonts w:hint="eastAsia"/>
          <w:b/>
          <w:color w:val="000000" w:themeColor="text1"/>
          <w:kern w:val="44"/>
          <w:sz w:val="28"/>
          <w:szCs w:val="28"/>
          <w:highlight w:val="none"/>
          <w:lang w:eastAsia="zh-CN"/>
          <w14:textFill>
            <w14:solidFill>
              <w14:schemeClr w14:val="tx1"/>
            </w14:solidFill>
          </w14:textFill>
        </w:rPr>
      </w:pPr>
      <w:r>
        <w:rPr>
          <w:rFonts w:hint="eastAsia" w:ascii="Calibri" w:hAnsi="Calibri" w:eastAsia="宋体" w:cs="Times New Roman"/>
          <w:b/>
          <w:bCs/>
          <w:color w:val="000000" w:themeColor="text1"/>
          <w:spacing w:val="0"/>
          <w:kern w:val="0"/>
          <w:sz w:val="24"/>
          <w:szCs w:val="24"/>
          <w:highlight w:val="none"/>
          <w:lang w:val="en-US" w:eastAsia="zh-CN" w:bidi="ar"/>
          <w14:textFill>
            <w14:solidFill>
              <w14:schemeClr w14:val="tx1"/>
            </w14:solidFill>
          </w14:textFill>
        </w:rPr>
        <w:t>三、商务条件（以下的内容为不允许负偏离的实质性要求）</w:t>
      </w:r>
    </w:p>
    <w:tbl>
      <w:tblPr>
        <w:tblStyle w:val="10"/>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9"/>
        <w:gridCol w:w="591"/>
        <w:gridCol w:w="1581"/>
        <w:gridCol w:w="6995"/>
      </w:tblGrid>
      <w:tr w14:paraId="3DE7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98" w:type="dxa"/>
            <w:noWrap w:val="0"/>
            <w:vAlign w:val="center"/>
          </w:tcPr>
          <w:p w14:paraId="023C845B">
            <w:pPr>
              <w:widowControl/>
              <w:jc w:val="center"/>
              <w:rPr>
                <w:b/>
                <w:bCs/>
                <w:color w:val="000000" w:themeColor="text1"/>
                <w:highlight w:val="none"/>
                <w14:textFill>
                  <w14:solidFill>
                    <w14:schemeClr w14:val="tx1"/>
                  </w14:solidFill>
                </w14:textFill>
              </w:rPr>
            </w:pPr>
            <w:r>
              <w:rPr>
                <w:rFonts w:ascii="宋体" w:hAnsi="宋体" w:cs="宋体"/>
                <w:b/>
                <w:bCs/>
                <w:color w:val="000000" w:themeColor="text1"/>
                <w:kern w:val="0"/>
                <w:szCs w:val="24"/>
                <w:highlight w:val="none"/>
                <w:lang w:bidi="ar"/>
                <w14:textFill>
                  <w14:solidFill>
                    <w14:schemeClr w14:val="tx1"/>
                  </w14:solidFill>
                </w14:textFill>
              </w:rPr>
              <w:t>序号</w:t>
            </w:r>
          </w:p>
        </w:tc>
        <w:tc>
          <w:tcPr>
            <w:tcW w:w="590" w:type="dxa"/>
            <w:noWrap w:val="0"/>
            <w:vAlign w:val="center"/>
          </w:tcPr>
          <w:p w14:paraId="1AA3CDFE">
            <w:pPr>
              <w:widowControl/>
              <w:jc w:val="center"/>
              <w:rPr>
                <w:b/>
                <w:bCs/>
                <w:color w:val="000000" w:themeColor="text1"/>
                <w:highlight w:val="none"/>
                <w14:textFill>
                  <w14:solidFill>
                    <w14:schemeClr w14:val="tx1"/>
                  </w14:solidFill>
                </w14:textFill>
              </w:rPr>
            </w:pPr>
            <w:r>
              <w:rPr>
                <w:rFonts w:ascii="宋体" w:hAnsi="宋体" w:cs="宋体"/>
                <w:b/>
                <w:bCs/>
                <w:color w:val="000000" w:themeColor="text1"/>
                <w:kern w:val="0"/>
                <w:szCs w:val="24"/>
                <w:highlight w:val="none"/>
                <w:lang w:bidi="ar"/>
                <w14:textFill>
                  <w14:solidFill>
                    <w14:schemeClr w14:val="tx1"/>
                  </w14:solidFill>
                </w14:textFill>
              </w:rPr>
              <w:t>参数性质</w:t>
            </w:r>
          </w:p>
        </w:tc>
        <w:tc>
          <w:tcPr>
            <w:tcW w:w="1577" w:type="dxa"/>
            <w:noWrap w:val="0"/>
            <w:vAlign w:val="center"/>
          </w:tcPr>
          <w:p w14:paraId="40E98C46">
            <w:pPr>
              <w:widowControl/>
              <w:jc w:val="center"/>
              <w:rPr>
                <w:b/>
                <w:bCs/>
                <w:color w:val="000000" w:themeColor="text1"/>
                <w:highlight w:val="none"/>
                <w14:textFill>
                  <w14:solidFill>
                    <w14:schemeClr w14:val="tx1"/>
                  </w14:solidFill>
                </w14:textFill>
              </w:rPr>
            </w:pPr>
            <w:r>
              <w:rPr>
                <w:rFonts w:ascii="宋体" w:hAnsi="宋体" w:cs="宋体"/>
                <w:b/>
                <w:bCs/>
                <w:color w:val="000000" w:themeColor="text1"/>
                <w:kern w:val="0"/>
                <w:szCs w:val="24"/>
                <w:highlight w:val="none"/>
                <w:lang w:bidi="ar"/>
                <w14:textFill>
                  <w14:solidFill>
                    <w14:schemeClr w14:val="tx1"/>
                  </w14:solidFill>
                </w14:textFill>
              </w:rPr>
              <w:t>类型</w:t>
            </w:r>
          </w:p>
        </w:tc>
        <w:tc>
          <w:tcPr>
            <w:tcW w:w="6978" w:type="dxa"/>
            <w:noWrap w:val="0"/>
            <w:vAlign w:val="center"/>
          </w:tcPr>
          <w:p w14:paraId="7D5AF55A">
            <w:pPr>
              <w:widowControl/>
              <w:jc w:val="center"/>
              <w:rPr>
                <w:b/>
                <w:bCs/>
                <w:color w:val="000000" w:themeColor="text1"/>
                <w:highlight w:val="none"/>
                <w14:textFill>
                  <w14:solidFill>
                    <w14:schemeClr w14:val="tx1"/>
                  </w14:solidFill>
                </w14:textFill>
              </w:rPr>
            </w:pPr>
            <w:r>
              <w:rPr>
                <w:rFonts w:ascii="宋体" w:hAnsi="宋体" w:cs="宋体"/>
                <w:b/>
                <w:bCs/>
                <w:color w:val="000000" w:themeColor="text1"/>
                <w:kern w:val="0"/>
                <w:szCs w:val="24"/>
                <w:highlight w:val="none"/>
                <w:lang w:bidi="ar"/>
                <w14:textFill>
                  <w14:solidFill>
                    <w14:schemeClr w14:val="tx1"/>
                  </w14:solidFill>
                </w14:textFill>
              </w:rPr>
              <w:t>要求</w:t>
            </w:r>
          </w:p>
        </w:tc>
      </w:tr>
      <w:tr w14:paraId="1F45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98" w:type="dxa"/>
            <w:noWrap w:val="0"/>
            <w:vAlign w:val="center"/>
          </w:tcPr>
          <w:p w14:paraId="665A82D1">
            <w:pPr>
              <w:widowControl/>
              <w:jc w:val="center"/>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1</w:t>
            </w:r>
          </w:p>
        </w:tc>
        <w:tc>
          <w:tcPr>
            <w:tcW w:w="590" w:type="dxa"/>
            <w:noWrap w:val="0"/>
            <w:vAlign w:val="center"/>
          </w:tcPr>
          <w:p w14:paraId="7707AC3C">
            <w:pPr>
              <w:widowControl/>
              <w:jc w:val="center"/>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w:t>
            </w:r>
          </w:p>
        </w:tc>
        <w:tc>
          <w:tcPr>
            <w:tcW w:w="1577" w:type="dxa"/>
            <w:noWrap w:val="0"/>
            <w:vAlign w:val="center"/>
          </w:tcPr>
          <w:p w14:paraId="41D52C42">
            <w:pPr>
              <w:widowControl/>
              <w:jc w:val="left"/>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交货时间</w:t>
            </w:r>
          </w:p>
        </w:tc>
        <w:tc>
          <w:tcPr>
            <w:tcW w:w="6978" w:type="dxa"/>
            <w:noWrap w:val="0"/>
            <w:vAlign w:val="center"/>
          </w:tcPr>
          <w:p w14:paraId="2DE091BC">
            <w:pPr>
              <w:widowControl/>
              <w:jc w:val="left"/>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自合同签订之日起9</w:t>
            </w:r>
            <w:r>
              <w:rPr>
                <w:rFonts w:hint="eastAsia" w:ascii="宋体" w:hAnsi="宋体" w:cs="宋体"/>
                <w:color w:val="000000" w:themeColor="text1"/>
                <w:kern w:val="0"/>
                <w:szCs w:val="24"/>
                <w:highlight w:val="none"/>
                <w:lang w:bidi="ar"/>
                <w14:textFill>
                  <w14:solidFill>
                    <w14:schemeClr w14:val="tx1"/>
                  </w14:solidFill>
                </w14:textFill>
              </w:rPr>
              <w:t>0</w:t>
            </w:r>
            <w:r>
              <w:rPr>
                <w:rFonts w:ascii="宋体" w:hAnsi="宋体" w:cs="宋体"/>
                <w:color w:val="000000" w:themeColor="text1"/>
                <w:kern w:val="0"/>
                <w:szCs w:val="24"/>
                <w:highlight w:val="none"/>
                <w:lang w:bidi="ar"/>
                <w14:textFill>
                  <w14:solidFill>
                    <w14:schemeClr w14:val="tx1"/>
                  </w14:solidFill>
                </w14:textFill>
              </w:rPr>
              <w:t>日</w:t>
            </w:r>
          </w:p>
        </w:tc>
      </w:tr>
      <w:tr w14:paraId="6283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98" w:type="dxa"/>
            <w:noWrap w:val="0"/>
            <w:vAlign w:val="center"/>
          </w:tcPr>
          <w:p w14:paraId="11EA333A">
            <w:pPr>
              <w:widowControl/>
              <w:jc w:val="center"/>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2</w:t>
            </w:r>
          </w:p>
        </w:tc>
        <w:tc>
          <w:tcPr>
            <w:tcW w:w="590" w:type="dxa"/>
            <w:noWrap w:val="0"/>
            <w:vAlign w:val="center"/>
          </w:tcPr>
          <w:p w14:paraId="13D7EE56">
            <w:pPr>
              <w:widowControl/>
              <w:jc w:val="center"/>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w:t>
            </w:r>
          </w:p>
        </w:tc>
        <w:tc>
          <w:tcPr>
            <w:tcW w:w="1577" w:type="dxa"/>
            <w:noWrap w:val="0"/>
            <w:vAlign w:val="center"/>
          </w:tcPr>
          <w:p w14:paraId="6ED2082A">
            <w:pPr>
              <w:widowControl/>
              <w:jc w:val="left"/>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交货地点</w:t>
            </w:r>
          </w:p>
        </w:tc>
        <w:tc>
          <w:tcPr>
            <w:tcW w:w="6978" w:type="dxa"/>
            <w:noWrap w:val="0"/>
            <w:vAlign w:val="center"/>
          </w:tcPr>
          <w:p w14:paraId="5D42C526">
            <w:pPr>
              <w:widowControl/>
              <w:jc w:val="left"/>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 xml:space="preserve">采购人指定地点 </w:t>
            </w:r>
          </w:p>
        </w:tc>
      </w:tr>
      <w:tr w14:paraId="2B53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98" w:type="dxa"/>
            <w:noWrap w:val="0"/>
            <w:vAlign w:val="center"/>
          </w:tcPr>
          <w:p w14:paraId="6606DA52">
            <w:pPr>
              <w:widowControl/>
              <w:jc w:val="center"/>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3</w:t>
            </w:r>
          </w:p>
        </w:tc>
        <w:tc>
          <w:tcPr>
            <w:tcW w:w="590" w:type="dxa"/>
            <w:noWrap w:val="0"/>
            <w:vAlign w:val="center"/>
          </w:tcPr>
          <w:p w14:paraId="75692460">
            <w:pPr>
              <w:widowControl/>
              <w:jc w:val="center"/>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w:t>
            </w:r>
          </w:p>
        </w:tc>
        <w:tc>
          <w:tcPr>
            <w:tcW w:w="1577" w:type="dxa"/>
            <w:noWrap w:val="0"/>
            <w:vAlign w:val="center"/>
          </w:tcPr>
          <w:p w14:paraId="44E5445F">
            <w:pPr>
              <w:widowControl/>
              <w:jc w:val="left"/>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交货条件</w:t>
            </w:r>
          </w:p>
        </w:tc>
        <w:tc>
          <w:tcPr>
            <w:tcW w:w="6978" w:type="dxa"/>
            <w:noWrap w:val="0"/>
            <w:vAlign w:val="center"/>
          </w:tcPr>
          <w:p w14:paraId="7D79A877">
            <w:pPr>
              <w:widowControl/>
              <w:jc w:val="left"/>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通过</w:t>
            </w:r>
            <w:r>
              <w:rPr>
                <w:rFonts w:hint="eastAsia" w:ascii="宋体" w:hAnsi="宋体" w:cs="宋体"/>
                <w:color w:val="000000" w:themeColor="text1"/>
                <w:kern w:val="0"/>
                <w:szCs w:val="24"/>
                <w:highlight w:val="none"/>
                <w:lang w:bidi="ar"/>
                <w14:textFill>
                  <w14:solidFill>
                    <w14:schemeClr w14:val="tx1"/>
                  </w14:solidFill>
                </w14:textFill>
              </w:rPr>
              <w:t>采购人使用部门</w:t>
            </w:r>
            <w:r>
              <w:rPr>
                <w:rFonts w:ascii="宋体" w:hAnsi="宋体" w:cs="宋体"/>
                <w:color w:val="000000" w:themeColor="text1"/>
                <w:kern w:val="0"/>
                <w:szCs w:val="24"/>
                <w:highlight w:val="none"/>
                <w:lang w:bidi="ar"/>
                <w14:textFill>
                  <w14:solidFill>
                    <w14:schemeClr w14:val="tx1"/>
                  </w14:solidFill>
                </w14:textFill>
              </w:rPr>
              <w:t>竣工验收。</w:t>
            </w:r>
          </w:p>
        </w:tc>
      </w:tr>
      <w:tr w14:paraId="161B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98" w:type="dxa"/>
            <w:noWrap w:val="0"/>
            <w:vAlign w:val="center"/>
          </w:tcPr>
          <w:p w14:paraId="5F55F1AF">
            <w:pPr>
              <w:widowControl/>
              <w:jc w:val="center"/>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4</w:t>
            </w:r>
          </w:p>
        </w:tc>
        <w:tc>
          <w:tcPr>
            <w:tcW w:w="590" w:type="dxa"/>
            <w:noWrap w:val="0"/>
            <w:vAlign w:val="center"/>
          </w:tcPr>
          <w:p w14:paraId="7E3FD622">
            <w:pPr>
              <w:widowControl/>
              <w:jc w:val="center"/>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w:t>
            </w:r>
          </w:p>
        </w:tc>
        <w:tc>
          <w:tcPr>
            <w:tcW w:w="1577" w:type="dxa"/>
            <w:noWrap w:val="0"/>
            <w:vAlign w:val="center"/>
          </w:tcPr>
          <w:p w14:paraId="1034B50E">
            <w:pPr>
              <w:widowControl/>
              <w:jc w:val="left"/>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是否邀请投标人验收</w:t>
            </w:r>
          </w:p>
        </w:tc>
        <w:tc>
          <w:tcPr>
            <w:tcW w:w="6978" w:type="dxa"/>
            <w:noWrap w:val="0"/>
            <w:vAlign w:val="center"/>
          </w:tcPr>
          <w:p w14:paraId="7F733700">
            <w:pPr>
              <w:widowControl/>
              <w:jc w:val="left"/>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不邀请投标人验收</w:t>
            </w:r>
          </w:p>
        </w:tc>
      </w:tr>
      <w:tr w14:paraId="334B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98" w:type="dxa"/>
            <w:noWrap w:val="0"/>
            <w:vAlign w:val="center"/>
          </w:tcPr>
          <w:p w14:paraId="2883C30A">
            <w:pPr>
              <w:widowControl/>
              <w:jc w:val="center"/>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5</w:t>
            </w:r>
          </w:p>
        </w:tc>
        <w:tc>
          <w:tcPr>
            <w:tcW w:w="590" w:type="dxa"/>
            <w:noWrap w:val="0"/>
            <w:vAlign w:val="center"/>
          </w:tcPr>
          <w:p w14:paraId="52416D74">
            <w:pPr>
              <w:widowControl/>
              <w:jc w:val="center"/>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w:t>
            </w:r>
          </w:p>
        </w:tc>
        <w:tc>
          <w:tcPr>
            <w:tcW w:w="1577" w:type="dxa"/>
            <w:noWrap w:val="0"/>
            <w:vAlign w:val="center"/>
          </w:tcPr>
          <w:p w14:paraId="5118EB38">
            <w:pPr>
              <w:widowControl/>
              <w:jc w:val="left"/>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履约验收方式</w:t>
            </w:r>
          </w:p>
        </w:tc>
        <w:tc>
          <w:tcPr>
            <w:tcW w:w="6978" w:type="dxa"/>
            <w:noWrap w:val="0"/>
            <w:vAlign w:val="center"/>
          </w:tcPr>
          <w:p w14:paraId="1F83A261">
            <w:pPr>
              <w:pStyle w:val="7"/>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1、期次1，说明：（1）合同、货物技术标准说明及国家有关的质量规范、标准规定，均为本项目的验收依据。 （2）满足合同规定的有关要求，符合学校相关的验收工作。 （3）项目交付验收使用时由学校相关验收部门或使用单位代表、成交供应商代表按学校所签订的合同要求共同验收。</w:t>
            </w:r>
          </w:p>
        </w:tc>
      </w:tr>
      <w:tr w14:paraId="2C2B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98" w:type="dxa"/>
            <w:noWrap w:val="0"/>
            <w:vAlign w:val="center"/>
          </w:tcPr>
          <w:p w14:paraId="00431B14">
            <w:pPr>
              <w:widowControl/>
              <w:jc w:val="center"/>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6</w:t>
            </w:r>
          </w:p>
        </w:tc>
        <w:tc>
          <w:tcPr>
            <w:tcW w:w="590" w:type="dxa"/>
            <w:noWrap w:val="0"/>
            <w:vAlign w:val="center"/>
          </w:tcPr>
          <w:p w14:paraId="432F826E">
            <w:pPr>
              <w:widowControl/>
              <w:jc w:val="center"/>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w:t>
            </w:r>
          </w:p>
        </w:tc>
        <w:tc>
          <w:tcPr>
            <w:tcW w:w="1577" w:type="dxa"/>
            <w:noWrap w:val="0"/>
            <w:vAlign w:val="center"/>
          </w:tcPr>
          <w:p w14:paraId="3DF074A7">
            <w:pPr>
              <w:widowControl/>
              <w:jc w:val="left"/>
              <w:rPr>
                <w:color w:val="000000" w:themeColor="text1"/>
                <w:highlight w:val="none"/>
                <w14:textFill>
                  <w14:solidFill>
                    <w14:schemeClr w14:val="tx1"/>
                  </w14:solidFill>
                </w14:textFill>
              </w:rPr>
            </w:pPr>
            <w:r>
              <w:rPr>
                <w:rFonts w:ascii="宋体" w:hAnsi="宋体" w:cs="宋体"/>
                <w:color w:val="000000" w:themeColor="text1"/>
                <w:kern w:val="0"/>
                <w:szCs w:val="24"/>
                <w:highlight w:val="none"/>
                <w:lang w:bidi="ar"/>
                <w14:textFill>
                  <w14:solidFill>
                    <w14:schemeClr w14:val="tx1"/>
                  </w14:solidFill>
                </w14:textFill>
              </w:rPr>
              <w:t>合同支付方式</w:t>
            </w:r>
          </w:p>
        </w:tc>
        <w:tc>
          <w:tcPr>
            <w:tcW w:w="6978" w:type="dxa"/>
            <w:noWrap w:val="0"/>
            <w:vAlign w:val="center"/>
          </w:tcPr>
          <w:p w14:paraId="09B17DBE">
            <w:pPr>
              <w:pStyle w:val="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1、合同签订且收到财政资金拨付到账30日内，达到付款条件起30日内，支付合同总金额的2</w:t>
            </w:r>
            <w:r>
              <w:rPr>
                <w:rFonts w:hint="eastAsia"/>
                <w:color w:val="000000" w:themeColor="text1"/>
                <w:highlight w:val="none"/>
                <w:lang w:val="en-US" w:eastAsia="zh-CN"/>
                <w14:textFill>
                  <w14:solidFill>
                    <w14:schemeClr w14:val="tx1"/>
                  </w14:solidFill>
                </w14:textFill>
              </w:rPr>
              <w:t>0</w:t>
            </w:r>
            <w:r>
              <w:rPr>
                <w:color w:val="000000" w:themeColor="text1"/>
                <w:highlight w:val="none"/>
                <w14:textFill>
                  <w14:solidFill>
                    <w14:schemeClr w14:val="tx1"/>
                  </w14:solidFill>
                </w14:textFill>
              </w:rPr>
              <w:t>.00%</w:t>
            </w:r>
          </w:p>
          <w:p w14:paraId="24407531">
            <w:pPr>
              <w:pStyle w:val="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2、通过项目竣工验收且收到财政资金拨付到账30日内，达到付款条件起30日内，支付合同总金额的</w:t>
            </w:r>
            <w:r>
              <w:rPr>
                <w:rFonts w:hint="eastAsia"/>
                <w:color w:val="000000" w:themeColor="text1"/>
                <w:highlight w:val="none"/>
                <w:lang w:val="en-US" w:eastAsia="zh-CN"/>
                <w14:textFill>
                  <w14:solidFill>
                    <w14:schemeClr w14:val="tx1"/>
                  </w14:solidFill>
                </w14:textFill>
              </w:rPr>
              <w:t>80</w:t>
            </w:r>
            <w:r>
              <w:rPr>
                <w:color w:val="000000" w:themeColor="text1"/>
                <w:highlight w:val="none"/>
                <w14:textFill>
                  <w14:solidFill>
                    <w14:schemeClr w14:val="tx1"/>
                  </w14:solidFill>
                </w14:textFill>
              </w:rPr>
              <w:t>.00%。</w:t>
            </w:r>
          </w:p>
          <w:p w14:paraId="2CA15F20">
            <w:pPr>
              <w:pStyle w:val="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注：因国家政策调整、财政预算调整、财政支出困难等因素造成的支付延迟，不视为采购人违约。</w:t>
            </w:r>
          </w:p>
        </w:tc>
      </w:tr>
    </w:tbl>
    <w:p w14:paraId="05681EEE">
      <w:pPr>
        <w:pStyle w:val="7"/>
        <w:keepNext w:val="0"/>
        <w:keepLines w:val="0"/>
        <w:widowControl/>
        <w:suppressLineNumbers w:val="0"/>
        <w:spacing w:before="75" w:beforeAutospacing="0" w:after="75" w:afterAutospacing="0"/>
        <w:ind w:left="0" w:right="0" w:firstLine="0"/>
        <w:rPr>
          <w:rFonts w:ascii="宋体" w:hAnsi="宋体" w:eastAsia="宋体" w:cs="宋体"/>
          <w:color w:val="000000" w:themeColor="text1"/>
          <w:sz w:val="24"/>
          <w:szCs w:val="24"/>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其他商务要求：</w:t>
      </w:r>
    </w:p>
    <w:p w14:paraId="033779A0">
      <w:pPr>
        <w:pStyle w:val="7"/>
        <w:keepNext w:val="0"/>
        <w:keepLines w:val="0"/>
        <w:widowControl/>
        <w:suppressLineNumbers w:val="0"/>
        <w:spacing w:before="75" w:beforeAutospacing="0" w:after="75" w:afterAutospacing="0"/>
        <w:ind w:left="0" w:right="0" w:firstLine="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shd w:val="clear" w:color="auto" w:fill="FFFFFF"/>
          <w:lang w:val="en-US" w:eastAsia="zh-CN"/>
          <w14:textFill>
            <w14:solidFill>
              <w14:schemeClr w14:val="tx1"/>
            </w14:solidFill>
          </w14:textFill>
        </w:rPr>
        <w:t>7</w:t>
      </w:r>
      <w:r>
        <w:rPr>
          <w:rFonts w:hint="eastAsia" w:ascii="宋体" w:hAnsi="宋体" w:cs="宋体"/>
          <w:color w:val="000000" w:themeColor="text1"/>
          <w:kern w:val="0"/>
          <w:sz w:val="24"/>
          <w:szCs w:val="24"/>
          <w:highlight w:val="none"/>
          <w:shd w:val="clear" w:color="auto" w:fill="FFFFFF"/>
          <w14:textFill>
            <w14:solidFill>
              <w14:schemeClr w14:val="tx1"/>
            </w14:solidFill>
          </w14:textFill>
        </w:rPr>
        <w:t>、</w:t>
      </w:r>
      <w:r>
        <w:rPr>
          <w:rFonts w:hint="eastAsia" w:ascii="宋体" w:hAnsi="宋体" w:eastAsia="宋体" w:cs="宋体"/>
          <w:b/>
          <w:bCs/>
          <w:color w:val="000000" w:themeColor="text1"/>
          <w:kern w:val="0"/>
          <w:sz w:val="24"/>
          <w:szCs w:val="24"/>
          <w:highlight w:val="none"/>
          <w14:textFill>
            <w14:solidFill>
              <w14:schemeClr w14:val="tx1"/>
            </w14:solidFill>
          </w14:textFill>
        </w:rPr>
        <w:t>违约责任</w:t>
      </w:r>
    </w:p>
    <w:p w14:paraId="7813240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7.1.</w:t>
      </w:r>
      <w:r>
        <w:rPr>
          <w:rFonts w:hint="eastAsia" w:ascii="宋体" w:hAnsi="宋体" w:cs="宋体"/>
          <w:color w:val="000000" w:themeColor="text1"/>
          <w:sz w:val="24"/>
          <w:szCs w:val="24"/>
          <w:highlight w:val="none"/>
          <w14:textFill>
            <w14:solidFill>
              <w14:schemeClr w14:val="tx1"/>
            </w14:solidFill>
          </w14:textFill>
        </w:rPr>
        <w:t>因</w:t>
      </w:r>
      <w:r>
        <w:rPr>
          <w:rFonts w:hint="eastAsia" w:ascii="宋体" w:hAnsi="宋体" w:cs="宋体"/>
          <w:color w:val="000000" w:themeColor="text1"/>
          <w:sz w:val="24"/>
          <w:szCs w:val="24"/>
          <w:highlight w:val="none"/>
          <w:lang w:eastAsia="zh-CN"/>
          <w14:textFill>
            <w14:solidFill>
              <w14:schemeClr w14:val="tx1"/>
            </w14:solidFill>
          </w14:textFill>
        </w:rPr>
        <w:t>成交供应商</w:t>
      </w:r>
      <w:r>
        <w:rPr>
          <w:rFonts w:hint="eastAsia" w:ascii="宋体" w:hAnsi="宋体" w:cs="宋体"/>
          <w:color w:val="000000" w:themeColor="text1"/>
          <w:sz w:val="24"/>
          <w:szCs w:val="24"/>
          <w:highlight w:val="none"/>
          <w14:textFill>
            <w14:solidFill>
              <w14:schemeClr w14:val="tx1"/>
            </w14:solidFill>
          </w14:textFill>
        </w:rPr>
        <w:t>原因造成采购合同无法按时签订的，视为</w:t>
      </w:r>
      <w:r>
        <w:rPr>
          <w:rFonts w:hint="eastAsia" w:ascii="宋体" w:hAnsi="宋体" w:cs="宋体"/>
          <w:color w:val="000000" w:themeColor="text1"/>
          <w:sz w:val="24"/>
          <w:szCs w:val="24"/>
          <w:highlight w:val="none"/>
          <w:lang w:eastAsia="zh-CN"/>
          <w14:textFill>
            <w14:solidFill>
              <w14:schemeClr w14:val="tx1"/>
            </w14:solidFill>
          </w14:textFill>
        </w:rPr>
        <w:t>成交供应商</w:t>
      </w:r>
      <w:r>
        <w:rPr>
          <w:rFonts w:hint="eastAsia" w:ascii="宋体" w:hAnsi="宋体" w:cs="宋体"/>
          <w:color w:val="000000" w:themeColor="text1"/>
          <w:sz w:val="24"/>
          <w:szCs w:val="24"/>
          <w:highlight w:val="none"/>
          <w14:textFill>
            <w14:solidFill>
              <w14:schemeClr w14:val="tx1"/>
            </w14:solidFill>
          </w14:textFill>
        </w:rPr>
        <w:t>违约，对</w:t>
      </w:r>
      <w:r>
        <w:rPr>
          <w:rFonts w:hint="eastAsia" w:ascii="宋体" w:hAnsi="宋体" w:cs="宋体"/>
          <w:color w:val="000000" w:themeColor="text1"/>
          <w:sz w:val="24"/>
          <w:szCs w:val="24"/>
          <w:highlight w:val="none"/>
          <w:lang w:eastAsia="zh-CN"/>
          <w14:textFill>
            <w14:solidFill>
              <w14:schemeClr w14:val="tx1"/>
            </w14:solidFill>
          </w14:textFill>
        </w:rPr>
        <w:t>采购人</w:t>
      </w:r>
      <w:r>
        <w:rPr>
          <w:rFonts w:hint="eastAsia" w:ascii="宋体" w:hAnsi="宋体" w:cs="宋体"/>
          <w:color w:val="000000" w:themeColor="text1"/>
          <w:sz w:val="24"/>
          <w:szCs w:val="24"/>
          <w:highlight w:val="none"/>
          <w14:textFill>
            <w14:solidFill>
              <w14:schemeClr w14:val="tx1"/>
            </w14:solidFill>
          </w14:textFill>
        </w:rPr>
        <w:t>造成的损失的，</w:t>
      </w:r>
      <w:r>
        <w:rPr>
          <w:rFonts w:hint="eastAsia" w:ascii="宋体" w:hAnsi="宋体" w:cs="宋体"/>
          <w:color w:val="000000" w:themeColor="text1"/>
          <w:sz w:val="24"/>
          <w:szCs w:val="24"/>
          <w:highlight w:val="none"/>
          <w:lang w:eastAsia="zh-CN"/>
          <w14:textFill>
            <w14:solidFill>
              <w14:schemeClr w14:val="tx1"/>
            </w14:solidFill>
          </w14:textFill>
        </w:rPr>
        <w:t>成交供应商</w:t>
      </w:r>
      <w:r>
        <w:rPr>
          <w:rFonts w:hint="eastAsia" w:ascii="宋体" w:hAnsi="宋体" w:cs="宋体"/>
          <w:color w:val="000000" w:themeColor="text1"/>
          <w:sz w:val="24"/>
          <w:szCs w:val="24"/>
          <w:highlight w:val="none"/>
          <w14:textFill>
            <w14:solidFill>
              <w14:schemeClr w14:val="tx1"/>
            </w14:solidFill>
          </w14:textFill>
        </w:rPr>
        <w:t>还需另行支付相应的赔偿。</w:t>
      </w:r>
    </w:p>
    <w:p w14:paraId="311378C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7.2.</w:t>
      </w:r>
      <w:r>
        <w:rPr>
          <w:rFonts w:hint="eastAsia" w:ascii="宋体" w:hAnsi="宋体" w:cs="宋体"/>
          <w:color w:val="000000" w:themeColor="text1"/>
          <w:sz w:val="24"/>
          <w:szCs w:val="24"/>
          <w:highlight w:val="none"/>
          <w14:textFill>
            <w14:solidFill>
              <w14:schemeClr w14:val="tx1"/>
            </w14:solidFill>
          </w14:textFill>
        </w:rPr>
        <w:t>本招标文件未明确的其它约定事项或条款，待</w:t>
      </w:r>
      <w:r>
        <w:rPr>
          <w:rFonts w:hint="eastAsia" w:ascii="宋体" w:hAnsi="宋体" w:cs="宋体"/>
          <w:color w:val="000000" w:themeColor="text1"/>
          <w:sz w:val="24"/>
          <w:szCs w:val="24"/>
          <w:highlight w:val="none"/>
          <w:lang w:eastAsia="zh-CN"/>
          <w14:textFill>
            <w14:solidFill>
              <w14:schemeClr w14:val="tx1"/>
            </w14:solidFill>
          </w14:textFill>
        </w:rPr>
        <w:t>采购人</w:t>
      </w:r>
      <w:r>
        <w:rPr>
          <w:rFonts w:hint="eastAsia" w:ascii="宋体" w:hAnsi="宋体" w:cs="宋体"/>
          <w:color w:val="000000" w:themeColor="text1"/>
          <w:sz w:val="24"/>
          <w:szCs w:val="24"/>
          <w:highlight w:val="none"/>
          <w14:textFill>
            <w14:solidFill>
              <w14:schemeClr w14:val="tx1"/>
            </w14:solidFill>
          </w14:textFill>
        </w:rPr>
        <w:t>与</w:t>
      </w:r>
      <w:r>
        <w:rPr>
          <w:rFonts w:hint="eastAsia" w:ascii="宋体" w:hAnsi="宋体" w:cs="宋体"/>
          <w:color w:val="000000" w:themeColor="text1"/>
          <w:sz w:val="24"/>
          <w:szCs w:val="24"/>
          <w:highlight w:val="none"/>
          <w:lang w:eastAsia="zh-CN"/>
          <w14:textFill>
            <w14:solidFill>
              <w14:schemeClr w14:val="tx1"/>
            </w14:solidFill>
          </w14:textFill>
        </w:rPr>
        <w:t>成交供应商</w:t>
      </w:r>
      <w:r>
        <w:rPr>
          <w:rFonts w:hint="eastAsia" w:ascii="宋体" w:hAnsi="宋体" w:cs="宋体"/>
          <w:color w:val="000000" w:themeColor="text1"/>
          <w:sz w:val="24"/>
          <w:szCs w:val="24"/>
          <w:highlight w:val="none"/>
          <w14:textFill>
            <w14:solidFill>
              <w14:schemeClr w14:val="tx1"/>
            </w14:solidFill>
          </w14:textFill>
        </w:rPr>
        <w:t>签订合同时，由双方协商订立。</w:t>
      </w:r>
    </w:p>
    <w:p w14:paraId="6F1C94CC">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7.3本项目不允许成交供应商以任何名义和理由进行转包，如有发现，采购人有权单方终止合同，视为成交供应商违约，成交供应商违约对采购人造成的损失的，需另行支付相应的赔偿。</w:t>
      </w:r>
    </w:p>
    <w:p w14:paraId="12E234EF">
      <w:pPr>
        <w:rPr>
          <w:b/>
          <w:bCs/>
          <w:color w:val="000000" w:themeColor="text1"/>
          <w:sz w:val="24"/>
          <w:szCs w:val="24"/>
          <w:highlight w:val="none"/>
          <w:shd w:val="clear" w:color="auto" w:fill="auto"/>
          <w14:textFill>
            <w14:solidFill>
              <w14:schemeClr w14:val="tx1"/>
            </w14:solidFill>
          </w14:textFill>
        </w:rPr>
      </w:pPr>
      <w:r>
        <w:rPr>
          <w:b/>
          <w:bCs/>
          <w:color w:val="000000" w:themeColor="text1"/>
          <w:sz w:val="24"/>
          <w:szCs w:val="24"/>
          <w:highlight w:val="none"/>
          <w:shd w:val="clear" w:color="auto" w:fill="auto"/>
          <w14:textFill>
            <w14:solidFill>
              <w14:schemeClr w14:val="tx1"/>
            </w14:solidFill>
          </w14:textFill>
        </w:rPr>
        <w:t>四、其他事项</w:t>
      </w:r>
    </w:p>
    <w:p w14:paraId="6B4DA94A">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1、除招标文件另有规定外，若出现有关法律、法规和规章有强制性规定但招标文件未列明的情形，则投标人应按照有关法律、法规和规章强制性规定执行。</w:t>
      </w:r>
    </w:p>
    <w:p w14:paraId="6B52838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2、其他： </w:t>
      </w:r>
    </w:p>
    <w:p w14:paraId="50F0FA77">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2.1</w:t>
      </w:r>
      <w:r>
        <w:rPr>
          <w:rFonts w:hint="eastAsia" w:ascii="宋体" w:hAnsi="宋体" w:cs="宋体"/>
          <w:color w:val="000000" w:themeColor="text1"/>
          <w:kern w:val="0"/>
          <w:sz w:val="24"/>
          <w:highlight w:val="none"/>
          <w:lang w:val="en-US" w:eastAsia="zh-CN"/>
          <w14:textFill>
            <w14:solidFill>
              <w14:schemeClr w14:val="tx1"/>
            </w14:solidFill>
          </w14:textFill>
        </w:rPr>
        <w:t>验收专家费由</w:t>
      </w:r>
      <w:r>
        <w:rPr>
          <w:rFonts w:hint="eastAsia" w:ascii="宋体" w:hAnsi="宋体" w:cs="宋体"/>
          <w:color w:val="000000" w:themeColor="text1"/>
          <w:kern w:val="0"/>
          <w:sz w:val="24"/>
          <w:highlight w:val="none"/>
          <w14:textFill>
            <w14:solidFill>
              <w14:schemeClr w14:val="tx1"/>
            </w14:solidFill>
          </w14:textFill>
        </w:rPr>
        <w:t>成交供应商承担</w:t>
      </w:r>
      <w:r>
        <w:rPr>
          <w:rFonts w:hint="eastAsia" w:ascii="宋体" w:hAnsi="宋体" w:cs="宋体"/>
          <w:color w:val="000000" w:themeColor="text1"/>
          <w:kern w:val="0"/>
          <w:sz w:val="24"/>
          <w:highlight w:val="none"/>
          <w:lang w:val="en-US"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若组织二次验收，验收成交供应商必须派代表参加，验收过程所发生的一切费用由成交供应商承担。</w:t>
      </w:r>
    </w:p>
    <w:p w14:paraId="2A69DA64">
      <w:pPr>
        <w:pStyle w:val="7"/>
        <w:keepNext w:val="0"/>
        <w:keepLines w:val="0"/>
        <w:widowControl/>
        <w:suppressLineNumbers w:val="0"/>
        <w:spacing w:before="0" w:beforeAutospacing="0" w:after="150" w:afterAutospacing="0"/>
        <w:ind w:left="0" w:right="0"/>
        <w:rPr>
          <w:color w:val="000000" w:themeColor="text1"/>
          <w:highlight w:val="none"/>
          <w14:textFill>
            <w14:solidFill>
              <w14:schemeClr w14:val="tx1"/>
            </w14:solidFill>
          </w14:textFill>
        </w:rPr>
      </w:pPr>
    </w:p>
    <w:p w14:paraId="6B7F8F7A">
      <w:pPr>
        <w:pStyle w:val="7"/>
        <w:keepNext w:val="0"/>
        <w:keepLines w:val="0"/>
        <w:widowControl/>
        <w:suppressLineNumbers w:val="0"/>
        <w:spacing w:before="75" w:beforeAutospacing="0" w:after="75" w:afterAutospacing="0" w:line="465" w:lineRule="atLeast"/>
        <w:ind w:left="0" w:right="0" w:firstLine="0"/>
        <w:jc w:val="center"/>
        <w:rPr>
          <w:rStyle w:val="12"/>
          <w:rFonts w:hint="eastAsia" w:ascii="宋体" w:hAnsi="宋体" w:eastAsia="宋体" w:cs="宋体"/>
          <w:b/>
          <w:bCs/>
          <w:color w:val="000000" w:themeColor="text1"/>
          <w:spacing w:val="0"/>
          <w:sz w:val="36"/>
          <w:szCs w:val="36"/>
          <w:highlight w:val="none"/>
          <w14:textFill>
            <w14:solidFill>
              <w14:schemeClr w14:val="tx1"/>
            </w14:solidFill>
          </w14:textFill>
        </w:rPr>
      </w:pP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br w:type="page"/>
      </w: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第四章  合同主要条款及格式</w:t>
      </w:r>
    </w:p>
    <w:p w14:paraId="065AB48F">
      <w:pPr>
        <w:pStyle w:val="7"/>
        <w:keepNext w:val="0"/>
        <w:keepLines w:val="0"/>
        <w:widowControl/>
        <w:suppressLineNumbers w:val="0"/>
        <w:spacing w:before="75" w:beforeAutospacing="0" w:after="75" w:afterAutospacing="0" w:line="465" w:lineRule="atLeast"/>
        <w:ind w:left="0" w:right="0" w:firstLine="0"/>
        <w:jc w:val="center"/>
        <w:rPr>
          <w:rFonts w:hint="eastAsia" w:eastAsia="宋体"/>
          <w:color w:val="000000" w:themeColor="text1"/>
          <w:highlight w:val="none"/>
          <w:lang w:eastAsia="zh-CN"/>
          <w14:textFill>
            <w14:solidFill>
              <w14:schemeClr w14:val="tx1"/>
            </w14:solidFill>
          </w14:textFill>
        </w:rPr>
      </w:pPr>
      <w:r>
        <w:rPr>
          <w:rStyle w:val="12"/>
          <w:rFonts w:hint="eastAsia" w:ascii="宋体" w:hAnsi="宋体" w:cs="宋体"/>
          <w:b/>
          <w:bCs/>
          <w:color w:val="000000" w:themeColor="text1"/>
          <w:spacing w:val="0"/>
          <w:sz w:val="28"/>
          <w:szCs w:val="28"/>
          <w:highlight w:val="none"/>
          <w:lang w:eastAsia="zh-CN"/>
          <w14:textFill>
            <w14:solidFill>
              <w14:schemeClr w14:val="tx1"/>
            </w14:solidFill>
          </w14:textFill>
        </w:rPr>
        <w:t>（参考文本）</w:t>
      </w:r>
    </w:p>
    <w:p w14:paraId="1D7A1DD1">
      <w:pPr>
        <w:pStyle w:val="7"/>
        <w:keepNext w:val="0"/>
        <w:keepLines w:val="0"/>
        <w:widowControl/>
        <w:suppressLineNumbers w:val="0"/>
        <w:spacing w:before="75" w:beforeAutospacing="0" w:after="75" w:afterAutospacing="0"/>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编制说明</w:t>
      </w:r>
    </w:p>
    <w:p w14:paraId="61D8BD21">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1、签订合同应遵守《中华人民共和国政府采购法》及其实施条例、《中华人民共和国民法典》等法律法规及其他有关规定。</w:t>
      </w:r>
    </w:p>
    <w:p w14:paraId="42A42074">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2、签订合同时，采购人与成交供应商应结合</w:t>
      </w:r>
      <w:r>
        <w:rPr>
          <w:rStyle w:val="12"/>
          <w:rFonts w:hint="eastAsia" w:ascii="宋体" w:hAnsi="宋体" w:cs="宋体"/>
          <w:b/>
          <w:bCs/>
          <w:color w:val="000000" w:themeColor="text1"/>
          <w:spacing w:val="0"/>
          <w:sz w:val="24"/>
          <w:szCs w:val="24"/>
          <w:highlight w:val="none"/>
          <w:lang w:val="en-US" w:eastAsia="zh-CN"/>
          <w14:textFill>
            <w14:solidFill>
              <w14:schemeClr w14:val="tx1"/>
            </w14:solidFill>
          </w14:textFill>
        </w:rPr>
        <w:t>采购</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文件规定填列相应内容。采购文件已有约定的，双方均不得对约定进行变更或调整；采购文件未作规定的，双方可通过友好协商进行约定。</w:t>
      </w:r>
    </w:p>
    <w:p w14:paraId="60719268">
      <w:pPr>
        <w:pStyle w:val="7"/>
        <w:keepNext w:val="0"/>
        <w:keepLines w:val="0"/>
        <w:widowControl/>
        <w:suppressLineNumbers w:val="0"/>
        <w:spacing w:before="75" w:beforeAutospacing="0" w:after="240" w:afterAutospacing="0"/>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3.本章节所附的合同主要条款及格式仅供参考，采购人应当根据采购项目的实际需求对合同条款进行修改、补充。</w:t>
      </w:r>
    </w:p>
    <w:p w14:paraId="1F2F00E1">
      <w:pPr>
        <w:pStyle w:val="7"/>
        <w:keepNext w:val="0"/>
        <w:keepLines w:val="0"/>
        <w:widowControl/>
        <w:suppressLineNumbers w:val="0"/>
        <w:spacing w:before="75" w:beforeAutospacing="0" w:after="75" w:afterAutospacing="0"/>
        <w:ind w:left="0" w:right="0" w:firstLine="0"/>
        <w:rPr>
          <w:rFonts w:hint="eastAsia" w:eastAsia="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甲方：</w:t>
      </w:r>
    </w:p>
    <w:p w14:paraId="033BCEF5">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乙方：</w:t>
      </w:r>
    </w:p>
    <w:p w14:paraId="388DB729">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1E63F414">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根据项目编号为</w:t>
      </w:r>
      <w:r>
        <w:rPr>
          <w:rFonts w:hint="eastAsia" w:ascii="宋体" w:hAnsi="宋体" w:cs="宋体"/>
          <w:color w:val="000000" w:themeColor="text1"/>
          <w:spacing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的</w:t>
      </w:r>
      <w:r>
        <w:rPr>
          <w:rFonts w:hint="eastAsia" w:ascii="宋体" w:hAnsi="宋体" w:cs="宋体"/>
          <w:color w:val="000000" w:themeColor="text1"/>
          <w:spacing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项目（以下简称：“本项目”）的磋商结果，乙方为成交供应商。现经甲乙双方友好协商，就以下事项达成一致并签订本合同：</w:t>
      </w:r>
    </w:p>
    <w:p w14:paraId="5C4A710D">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1、下列合同文件是构成本合同不可分割的部分：</w:t>
      </w:r>
    </w:p>
    <w:p w14:paraId="156112F5">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1.1合同条款；</w:t>
      </w:r>
    </w:p>
    <w:p w14:paraId="1D86C769">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1.2磋商文件、乙方的响应文件；</w:t>
      </w:r>
    </w:p>
    <w:p w14:paraId="400572F0">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1.3其他文件或材料：□无。□</w:t>
      </w:r>
      <w:r>
        <w:rPr>
          <w:rFonts w:hint="eastAsia" w:ascii="宋体" w:hAnsi="宋体" w:eastAsia="宋体" w:cs="宋体"/>
          <w:color w:val="000000" w:themeColor="text1"/>
          <w:spacing w:val="0"/>
          <w:highlight w:val="none"/>
          <w14:textFill>
            <w14:solidFill>
              <w14:schemeClr w14:val="tx1"/>
            </w14:solidFill>
          </w14:textFill>
        </w:rPr>
        <w:t>（若有联合协议或分包意向协议）。</w:t>
      </w:r>
    </w:p>
    <w:p w14:paraId="74B3D1FB">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2、合同标的</w:t>
      </w:r>
    </w:p>
    <w:p w14:paraId="43ABB9E0">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u w:val="single"/>
          <w14:textFill>
            <w14:solidFill>
              <w14:schemeClr w14:val="tx1"/>
            </w14:solidFill>
          </w14:textFill>
        </w:rPr>
        <w:t>（按照实际情况编制填写，可以是表格或文字描述）</w:t>
      </w:r>
      <w:r>
        <w:rPr>
          <w:rFonts w:hint="eastAsia" w:ascii="宋体" w:hAnsi="宋体" w:eastAsia="宋体" w:cs="宋体"/>
          <w:color w:val="000000" w:themeColor="text1"/>
          <w:spacing w:val="0"/>
          <w:sz w:val="24"/>
          <w:szCs w:val="24"/>
          <w:highlight w:val="none"/>
          <w14:textFill>
            <w14:solidFill>
              <w14:schemeClr w14:val="tx1"/>
            </w14:solidFill>
          </w14:textFill>
        </w:rPr>
        <w:t>。</w:t>
      </w:r>
    </w:p>
    <w:p w14:paraId="32D1BC2A">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3、合同总金额</w:t>
      </w:r>
    </w:p>
    <w:p w14:paraId="79A2C03C">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3.1合同总金额为人民币大写：元（￥）。</w:t>
      </w:r>
    </w:p>
    <w:p w14:paraId="0CB0C207">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4、合同标的交付时间、地点和条件</w:t>
      </w:r>
    </w:p>
    <w:p w14:paraId="18D5825B">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4.1交付时间：；</w:t>
      </w:r>
    </w:p>
    <w:p w14:paraId="63E38D3A">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4.2交付地点：；</w:t>
      </w:r>
    </w:p>
    <w:p w14:paraId="4FA74837">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4.3交付条件：。</w:t>
      </w:r>
    </w:p>
    <w:p w14:paraId="655C99F6">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5、合同标的应符合磋商文件、乙方响应文件的规定或约定，具体如下：</w:t>
      </w:r>
    </w:p>
    <w:p w14:paraId="260B00D3">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u w:val="single"/>
          <w14:textFill>
            <w14:solidFill>
              <w14:schemeClr w14:val="tx1"/>
            </w14:solidFill>
          </w14:textFill>
        </w:rPr>
        <w:t>（按照实际情况编制填写，可以是表格或文字描述）</w:t>
      </w:r>
      <w:r>
        <w:rPr>
          <w:rFonts w:hint="eastAsia" w:ascii="宋体" w:hAnsi="宋体" w:eastAsia="宋体" w:cs="宋体"/>
          <w:color w:val="000000" w:themeColor="text1"/>
          <w:spacing w:val="0"/>
          <w:sz w:val="24"/>
          <w:szCs w:val="24"/>
          <w:highlight w:val="none"/>
          <w14:textFill>
            <w14:solidFill>
              <w14:schemeClr w14:val="tx1"/>
            </w14:solidFill>
          </w14:textFill>
        </w:rPr>
        <w:t>。</w:t>
      </w:r>
    </w:p>
    <w:p w14:paraId="1B5B6E24">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6、验收</w:t>
      </w:r>
    </w:p>
    <w:p w14:paraId="7307DFF8">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6.1验收应按照磋商文件、乙方响应文件的规定或约定进行，具体如下：</w:t>
      </w:r>
    </w:p>
    <w:p w14:paraId="0FC4C7AE">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u w:val="single"/>
          <w14:textFill>
            <w14:solidFill>
              <w14:schemeClr w14:val="tx1"/>
            </w14:solidFill>
          </w14:textFill>
        </w:rPr>
        <w:t>（按照实际情况编制填写，可以是表格或文字描述）</w:t>
      </w:r>
      <w:r>
        <w:rPr>
          <w:rFonts w:hint="eastAsia" w:ascii="宋体" w:hAnsi="宋体" w:eastAsia="宋体" w:cs="宋体"/>
          <w:color w:val="000000" w:themeColor="text1"/>
          <w:spacing w:val="0"/>
          <w:sz w:val="24"/>
          <w:szCs w:val="24"/>
          <w:highlight w:val="none"/>
          <w14:textFill>
            <w14:solidFill>
              <w14:schemeClr w14:val="tx1"/>
            </w14:solidFill>
          </w14:textFill>
        </w:rPr>
        <w:t>。</w:t>
      </w:r>
    </w:p>
    <w:p w14:paraId="0C669A2F">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6.2本项目是否邀请其他供应商参与验收：</w:t>
      </w:r>
    </w:p>
    <w:p w14:paraId="262D7EBC">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□不邀请。□邀请，具体如下：</w:t>
      </w:r>
      <w:r>
        <w:rPr>
          <w:rFonts w:hint="eastAsia" w:ascii="宋体" w:hAnsi="宋体" w:eastAsia="宋体" w:cs="宋体"/>
          <w:color w:val="000000" w:themeColor="text1"/>
          <w:spacing w:val="0"/>
          <w:sz w:val="24"/>
          <w:szCs w:val="24"/>
          <w:highlight w:val="none"/>
          <w:u w:val="single"/>
          <w14:textFill>
            <w14:solidFill>
              <w14:schemeClr w14:val="tx1"/>
            </w14:solidFill>
          </w14:textFill>
        </w:rPr>
        <w:t>（按照磋商文件规定填写）</w:t>
      </w:r>
      <w:r>
        <w:rPr>
          <w:rFonts w:hint="eastAsia" w:ascii="宋体" w:hAnsi="宋体" w:eastAsia="宋体" w:cs="宋体"/>
          <w:color w:val="000000" w:themeColor="text1"/>
          <w:spacing w:val="0"/>
          <w:sz w:val="24"/>
          <w:szCs w:val="24"/>
          <w:highlight w:val="none"/>
          <w14:textFill>
            <w14:solidFill>
              <w14:schemeClr w14:val="tx1"/>
            </w14:solidFill>
          </w14:textFill>
        </w:rPr>
        <w:t>。</w:t>
      </w:r>
    </w:p>
    <w:p w14:paraId="02CF3E36">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7、合同款项的支付应按照磋商文件的规定进行，具体如下：</w:t>
      </w:r>
    </w:p>
    <w:p w14:paraId="3730277A">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u w:val="single"/>
          <w14:textFill>
            <w14:solidFill>
              <w14:schemeClr w14:val="tx1"/>
            </w14:solidFill>
          </w14:textFill>
        </w:rPr>
        <w:t>（按照实际情况编制填写，可以是表格或文字描述，包括一次性支付或分期支付等）</w:t>
      </w:r>
      <w:r>
        <w:rPr>
          <w:rFonts w:hint="eastAsia" w:ascii="宋体" w:hAnsi="宋体" w:eastAsia="宋体" w:cs="宋体"/>
          <w:color w:val="000000" w:themeColor="text1"/>
          <w:spacing w:val="0"/>
          <w:sz w:val="24"/>
          <w:szCs w:val="24"/>
          <w:highlight w:val="none"/>
          <w14:textFill>
            <w14:solidFill>
              <w14:schemeClr w14:val="tx1"/>
            </w14:solidFill>
          </w14:textFill>
        </w:rPr>
        <w:t>。</w:t>
      </w:r>
    </w:p>
    <w:p w14:paraId="2E5E95ED">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8、履约保证金</w:t>
      </w:r>
    </w:p>
    <w:p w14:paraId="586BC46E">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□无。□有，具体如下：</w:t>
      </w:r>
      <w:r>
        <w:rPr>
          <w:rFonts w:hint="eastAsia" w:ascii="宋体" w:hAnsi="宋体" w:eastAsia="宋体" w:cs="宋体"/>
          <w:color w:val="000000" w:themeColor="text1"/>
          <w:spacing w:val="0"/>
          <w:sz w:val="24"/>
          <w:szCs w:val="24"/>
          <w:highlight w:val="none"/>
          <w:u w:val="single"/>
          <w14:textFill>
            <w14:solidFill>
              <w14:schemeClr w14:val="tx1"/>
            </w14:solidFill>
          </w14:textFill>
        </w:rPr>
        <w:t>（按照磋商文件规定填写）</w:t>
      </w:r>
      <w:r>
        <w:rPr>
          <w:rFonts w:hint="eastAsia" w:ascii="宋体" w:hAnsi="宋体" w:eastAsia="宋体" w:cs="宋体"/>
          <w:color w:val="000000" w:themeColor="text1"/>
          <w:spacing w:val="0"/>
          <w:sz w:val="24"/>
          <w:szCs w:val="24"/>
          <w:highlight w:val="none"/>
          <w14:textFill>
            <w14:solidFill>
              <w14:schemeClr w14:val="tx1"/>
            </w14:solidFill>
          </w14:textFill>
        </w:rPr>
        <w:t>。</w:t>
      </w:r>
    </w:p>
    <w:p w14:paraId="763307D6">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9、合同有效期</w:t>
      </w:r>
    </w:p>
    <w:p w14:paraId="338D6471">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u w:val="single"/>
          <w14:textFill>
            <w14:solidFill>
              <w14:schemeClr w14:val="tx1"/>
            </w14:solidFill>
          </w14:textFill>
        </w:rPr>
        <w:t>（按照实际情况编制填写，可以是表格或文字描述）</w:t>
      </w:r>
      <w:r>
        <w:rPr>
          <w:rFonts w:hint="eastAsia" w:ascii="宋体" w:hAnsi="宋体" w:eastAsia="宋体" w:cs="宋体"/>
          <w:color w:val="000000" w:themeColor="text1"/>
          <w:spacing w:val="0"/>
          <w:sz w:val="24"/>
          <w:szCs w:val="24"/>
          <w:highlight w:val="none"/>
          <w14:textFill>
            <w14:solidFill>
              <w14:schemeClr w14:val="tx1"/>
            </w14:solidFill>
          </w14:textFill>
        </w:rPr>
        <w:t>。</w:t>
      </w:r>
    </w:p>
    <w:p w14:paraId="09E4945D">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10、违约责任</w:t>
      </w:r>
    </w:p>
    <w:p w14:paraId="324E00B9">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u w:val="single"/>
          <w14:textFill>
            <w14:solidFill>
              <w14:schemeClr w14:val="tx1"/>
            </w14:solidFill>
          </w14:textFill>
        </w:rPr>
        <w:t>（按照实际情况编制填写，可以是表格或文字描述）</w:t>
      </w:r>
      <w:r>
        <w:rPr>
          <w:rFonts w:hint="eastAsia" w:ascii="宋体" w:hAnsi="宋体" w:eastAsia="宋体" w:cs="宋体"/>
          <w:color w:val="000000" w:themeColor="text1"/>
          <w:spacing w:val="0"/>
          <w:sz w:val="24"/>
          <w:szCs w:val="24"/>
          <w:highlight w:val="none"/>
          <w14:textFill>
            <w14:solidFill>
              <w14:schemeClr w14:val="tx1"/>
            </w14:solidFill>
          </w14:textFill>
        </w:rPr>
        <w:t>。</w:t>
      </w:r>
    </w:p>
    <w:p w14:paraId="514BC668">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11、知识产权</w:t>
      </w:r>
    </w:p>
    <w:p w14:paraId="6C23C4CF">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4C07B232">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000000" w:themeColor="text1"/>
          <w:spacing w:val="0"/>
          <w:sz w:val="24"/>
          <w:szCs w:val="24"/>
          <w:highlight w:val="none"/>
          <w:u w:val="single"/>
          <w14:textFill>
            <w14:solidFill>
              <w14:schemeClr w14:val="tx1"/>
            </w14:solidFill>
          </w14:textFill>
        </w:rPr>
        <w:t>（按照实际情况编制填写）</w:t>
      </w:r>
      <w:r>
        <w:rPr>
          <w:rFonts w:hint="eastAsia" w:ascii="宋体" w:hAnsi="宋体" w:eastAsia="宋体" w:cs="宋体"/>
          <w:color w:val="000000" w:themeColor="text1"/>
          <w:spacing w:val="0"/>
          <w:sz w:val="24"/>
          <w:szCs w:val="24"/>
          <w:highlight w:val="none"/>
          <w14:textFill>
            <w14:solidFill>
              <w14:schemeClr w14:val="tx1"/>
            </w14:solidFill>
          </w14:textFill>
        </w:rPr>
        <w:t>。</w:t>
      </w:r>
    </w:p>
    <w:p w14:paraId="6CF1E5A7">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12、解决争议的方法</w:t>
      </w:r>
    </w:p>
    <w:p w14:paraId="36B9C32A">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12.1甲、乙双方协商解决。</w:t>
      </w:r>
    </w:p>
    <w:p w14:paraId="57B5A4A0">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12.2若协商解决不成，则通过下列途径之一解决：</w:t>
      </w:r>
    </w:p>
    <w:p w14:paraId="47A826F5">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□提交仲裁委员会仲裁，具体如下：</w:t>
      </w:r>
      <w:r>
        <w:rPr>
          <w:rFonts w:hint="eastAsia" w:ascii="宋体" w:hAnsi="宋体" w:eastAsia="宋体" w:cs="宋体"/>
          <w:color w:val="000000" w:themeColor="text1"/>
          <w:spacing w:val="0"/>
          <w:sz w:val="24"/>
          <w:szCs w:val="24"/>
          <w:highlight w:val="none"/>
          <w:u w:val="single"/>
          <w14:textFill>
            <w14:solidFill>
              <w14:schemeClr w14:val="tx1"/>
            </w14:solidFill>
          </w14:textFill>
        </w:rPr>
        <w:t>（按照实际情况编制填写）</w:t>
      </w:r>
      <w:r>
        <w:rPr>
          <w:rFonts w:hint="eastAsia" w:ascii="宋体" w:hAnsi="宋体" w:eastAsia="宋体" w:cs="宋体"/>
          <w:color w:val="000000" w:themeColor="text1"/>
          <w:spacing w:val="0"/>
          <w:sz w:val="24"/>
          <w:szCs w:val="24"/>
          <w:highlight w:val="none"/>
          <w14:textFill>
            <w14:solidFill>
              <w14:schemeClr w14:val="tx1"/>
            </w14:solidFill>
          </w14:textFill>
        </w:rPr>
        <w:t>。</w:t>
      </w:r>
    </w:p>
    <w:p w14:paraId="52450AAA">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□向人民法院提起诉讼，具体如下：</w:t>
      </w:r>
      <w:r>
        <w:rPr>
          <w:rFonts w:hint="eastAsia" w:ascii="宋体" w:hAnsi="宋体" w:eastAsia="宋体" w:cs="宋体"/>
          <w:color w:val="000000" w:themeColor="text1"/>
          <w:spacing w:val="0"/>
          <w:sz w:val="24"/>
          <w:szCs w:val="24"/>
          <w:highlight w:val="none"/>
          <w:u w:val="single"/>
          <w14:textFill>
            <w14:solidFill>
              <w14:schemeClr w14:val="tx1"/>
            </w14:solidFill>
          </w14:textFill>
        </w:rPr>
        <w:t>（按照实际情况编制填写）</w:t>
      </w:r>
      <w:r>
        <w:rPr>
          <w:rFonts w:hint="eastAsia" w:ascii="宋体" w:hAnsi="宋体" w:eastAsia="宋体" w:cs="宋体"/>
          <w:color w:val="000000" w:themeColor="text1"/>
          <w:spacing w:val="0"/>
          <w:sz w:val="24"/>
          <w:szCs w:val="24"/>
          <w:highlight w:val="none"/>
          <w14:textFill>
            <w14:solidFill>
              <w14:schemeClr w14:val="tx1"/>
            </w14:solidFill>
          </w14:textFill>
        </w:rPr>
        <w:t>。</w:t>
      </w:r>
    </w:p>
    <w:p w14:paraId="33A3E63E">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13、不可抗力</w:t>
      </w:r>
    </w:p>
    <w:p w14:paraId="3CB32557">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13.1因不可抗力造成违约的，遭受不可抗力一方应及时向对方通报不能履行或不能完全履行的理由，并在随后取得有关主管机关证明后的</w:t>
      </w:r>
      <w:r>
        <w:rPr>
          <w:rFonts w:hint="default" w:ascii="Calibri" w:hAnsi="Calibri" w:cs="Calibri"/>
          <w:color w:val="000000" w:themeColor="text1"/>
          <w:spacing w:val="0"/>
          <w:sz w:val="24"/>
          <w:szCs w:val="24"/>
          <w:highlight w:val="none"/>
          <w14:textFill>
            <w14:solidFill>
              <w14:schemeClr w14:val="tx1"/>
            </w14:solidFill>
          </w14:textFill>
        </w:rPr>
        <w:t>15</w:t>
      </w:r>
      <w:r>
        <w:rPr>
          <w:rFonts w:hint="eastAsia" w:ascii="宋体" w:hAnsi="宋体" w:eastAsia="宋体" w:cs="宋体"/>
          <w:color w:val="000000" w:themeColor="text1"/>
          <w:spacing w:val="0"/>
          <w:sz w:val="24"/>
          <w:szCs w:val="24"/>
          <w:highlight w:val="none"/>
          <w14:textFill>
            <w14:solidFill>
              <w14:schemeClr w14:val="tx1"/>
            </w14:solidFill>
          </w14:textFill>
        </w:rPr>
        <w:t>日内向另一方提供不可抗力发生及持续期间的充分证据。基于以上行为，允许遭受不可抗力一方延期履行、部分履行或不履行合同，并根据情况可部分或全部免于承担违约责任。</w:t>
      </w:r>
    </w:p>
    <w:p w14:paraId="53AB9F9C">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13.2本合同中的不可抗力指不能预见、不能避免、不能克服的客观情况，包括但不限于：自然灾害如地震、台风、洪水、火灾及政府行为、法律规定或其适用的变化或其他任何无法预见、避免或控制的事件。</w:t>
      </w:r>
    </w:p>
    <w:p w14:paraId="3413577A">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14、合同</w:t>
      </w:r>
      <w:r>
        <w:rPr>
          <w:rFonts w:hint="eastAsia" w:ascii="宋体" w:hAnsi="宋体" w:cs="宋体"/>
          <w:color w:val="000000" w:themeColor="text1"/>
          <w:spacing w:val="0"/>
          <w:sz w:val="24"/>
          <w:szCs w:val="24"/>
          <w:highlight w:val="none"/>
          <w:lang w:val="en-US" w:eastAsia="zh-CN"/>
          <w14:textFill>
            <w14:solidFill>
              <w14:schemeClr w14:val="tx1"/>
            </w14:solidFill>
          </w14:textFill>
        </w:rPr>
        <w:t>其他</w:t>
      </w:r>
      <w:r>
        <w:rPr>
          <w:rFonts w:hint="eastAsia" w:ascii="宋体" w:hAnsi="宋体" w:eastAsia="宋体" w:cs="宋体"/>
          <w:color w:val="000000" w:themeColor="text1"/>
          <w:spacing w:val="0"/>
          <w:sz w:val="24"/>
          <w:szCs w:val="24"/>
          <w:highlight w:val="none"/>
          <w14:textFill>
            <w14:solidFill>
              <w14:schemeClr w14:val="tx1"/>
            </w14:solidFill>
          </w14:textFill>
        </w:rPr>
        <w:t>条款</w:t>
      </w:r>
    </w:p>
    <w:p w14:paraId="51282D80">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u w:val="single"/>
          <w14:textFill>
            <w14:solidFill>
              <w14:schemeClr w14:val="tx1"/>
            </w14:solidFill>
          </w14:textFill>
        </w:rPr>
        <w:t>（按照实际情况编制填写。）</w:t>
      </w:r>
      <w:r>
        <w:rPr>
          <w:rFonts w:hint="eastAsia" w:ascii="宋体" w:hAnsi="宋体" w:eastAsia="宋体" w:cs="宋体"/>
          <w:color w:val="000000" w:themeColor="text1"/>
          <w:spacing w:val="0"/>
          <w:sz w:val="24"/>
          <w:szCs w:val="24"/>
          <w:highlight w:val="none"/>
          <w14:textFill>
            <w14:solidFill>
              <w14:schemeClr w14:val="tx1"/>
            </w14:solidFill>
          </w14:textFill>
        </w:rPr>
        <w:t>。</w:t>
      </w:r>
    </w:p>
    <w:p w14:paraId="3ED49128">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15、其他约定</w:t>
      </w:r>
    </w:p>
    <w:p w14:paraId="6FA5C1D0">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15.1合同文件与本合同具有同等法律效力。</w:t>
      </w:r>
    </w:p>
    <w:p w14:paraId="5DA30A7A">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15.2本合同未尽事宜，双方可另行补充。</w:t>
      </w:r>
    </w:p>
    <w:p w14:paraId="5F7FE006">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15.3本合同自签订之日起生效。</w:t>
      </w:r>
    </w:p>
    <w:p w14:paraId="45A0366A">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15.4本合同一式</w:t>
      </w:r>
      <w:r>
        <w:rPr>
          <w:rFonts w:hint="eastAsia" w:ascii="宋体" w:hAnsi="宋体" w:eastAsia="宋体" w:cs="宋体"/>
          <w:color w:val="000000" w:themeColor="text1"/>
          <w:spacing w:val="0"/>
          <w:sz w:val="24"/>
          <w:szCs w:val="24"/>
          <w:highlight w:val="none"/>
          <w:u w:val="single"/>
          <w14:textFill>
            <w14:solidFill>
              <w14:schemeClr w14:val="tx1"/>
            </w14:solidFill>
          </w14:textFill>
        </w:rPr>
        <w:t>（填写具体份数）</w:t>
      </w:r>
      <w:r>
        <w:rPr>
          <w:rFonts w:hint="eastAsia" w:ascii="宋体" w:hAnsi="宋体" w:eastAsia="宋体" w:cs="宋体"/>
          <w:color w:val="000000" w:themeColor="text1"/>
          <w:spacing w:val="0"/>
          <w:sz w:val="24"/>
          <w:szCs w:val="24"/>
          <w:highlight w:val="none"/>
          <w14:textFill>
            <w14:solidFill>
              <w14:schemeClr w14:val="tx1"/>
            </w14:solidFill>
          </w14:textFill>
        </w:rPr>
        <w:t>份，经双方授权代表签字并盖章后生效。甲方、乙方各执</w:t>
      </w:r>
      <w:r>
        <w:rPr>
          <w:rFonts w:hint="eastAsia" w:ascii="宋体" w:hAnsi="宋体" w:eastAsia="宋体" w:cs="宋体"/>
          <w:color w:val="000000" w:themeColor="text1"/>
          <w:spacing w:val="0"/>
          <w:sz w:val="24"/>
          <w:szCs w:val="24"/>
          <w:highlight w:val="none"/>
          <w:u w:val="single"/>
          <w14:textFill>
            <w14:solidFill>
              <w14:schemeClr w14:val="tx1"/>
            </w14:solidFill>
          </w14:textFill>
        </w:rPr>
        <w:t>（填写具体份数）</w:t>
      </w:r>
      <w:r>
        <w:rPr>
          <w:rFonts w:hint="eastAsia" w:ascii="宋体" w:hAnsi="宋体" w:eastAsia="宋体" w:cs="宋体"/>
          <w:color w:val="000000" w:themeColor="text1"/>
          <w:spacing w:val="0"/>
          <w:sz w:val="24"/>
          <w:szCs w:val="24"/>
          <w:highlight w:val="none"/>
          <w14:textFill>
            <w14:solidFill>
              <w14:schemeClr w14:val="tx1"/>
            </w14:solidFill>
          </w14:textFill>
        </w:rPr>
        <w:t>份，送</w:t>
      </w:r>
      <w:r>
        <w:rPr>
          <w:rFonts w:hint="eastAsia" w:ascii="宋体" w:hAnsi="宋体" w:eastAsia="宋体" w:cs="宋体"/>
          <w:color w:val="000000" w:themeColor="text1"/>
          <w:spacing w:val="0"/>
          <w:sz w:val="24"/>
          <w:szCs w:val="24"/>
          <w:highlight w:val="none"/>
          <w:u w:val="single"/>
          <w14:textFill>
            <w14:solidFill>
              <w14:schemeClr w14:val="tx1"/>
            </w14:solidFill>
          </w14:textFill>
        </w:rPr>
        <w:t>（填写需要备案的监管部门的全称）</w:t>
      </w:r>
      <w:r>
        <w:rPr>
          <w:rFonts w:hint="eastAsia" w:ascii="宋体" w:hAnsi="宋体" w:eastAsia="宋体" w:cs="宋体"/>
          <w:color w:val="000000" w:themeColor="text1"/>
          <w:spacing w:val="0"/>
          <w:sz w:val="24"/>
          <w:szCs w:val="24"/>
          <w:highlight w:val="none"/>
          <w14:textFill>
            <w14:solidFill>
              <w14:schemeClr w14:val="tx1"/>
            </w14:solidFill>
          </w14:textFill>
        </w:rPr>
        <w:t>备案</w:t>
      </w:r>
      <w:r>
        <w:rPr>
          <w:rFonts w:hint="eastAsia" w:ascii="宋体" w:hAnsi="宋体" w:eastAsia="宋体" w:cs="宋体"/>
          <w:color w:val="000000" w:themeColor="text1"/>
          <w:spacing w:val="0"/>
          <w:sz w:val="24"/>
          <w:szCs w:val="24"/>
          <w:highlight w:val="none"/>
          <w:u w:val="single"/>
          <w14:textFill>
            <w14:solidFill>
              <w14:schemeClr w14:val="tx1"/>
            </w14:solidFill>
          </w14:textFill>
        </w:rPr>
        <w:t>（填写具体份数）</w:t>
      </w:r>
      <w:r>
        <w:rPr>
          <w:rFonts w:hint="eastAsia" w:ascii="宋体" w:hAnsi="宋体" w:eastAsia="宋体" w:cs="宋体"/>
          <w:color w:val="000000" w:themeColor="text1"/>
          <w:spacing w:val="0"/>
          <w:sz w:val="24"/>
          <w:szCs w:val="24"/>
          <w:highlight w:val="none"/>
          <w14:textFill>
            <w14:solidFill>
              <w14:schemeClr w14:val="tx1"/>
            </w14:solidFill>
          </w14:textFill>
        </w:rPr>
        <w:t>份，具有同等效力。</w:t>
      </w:r>
    </w:p>
    <w:p w14:paraId="24E800B4">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15.5其他：□无。□</w:t>
      </w:r>
      <w:r>
        <w:rPr>
          <w:rFonts w:hint="eastAsia" w:ascii="宋体" w:hAnsi="宋体" w:eastAsia="宋体" w:cs="宋体"/>
          <w:color w:val="000000" w:themeColor="text1"/>
          <w:spacing w:val="0"/>
          <w:sz w:val="24"/>
          <w:szCs w:val="24"/>
          <w:highlight w:val="none"/>
          <w:u w:val="single"/>
          <w14:textFill>
            <w14:solidFill>
              <w14:schemeClr w14:val="tx1"/>
            </w14:solidFill>
          </w14:textFill>
        </w:rPr>
        <w:t>（按照实际情况编制填写需要增加的内容）</w:t>
      </w:r>
      <w:r>
        <w:rPr>
          <w:rFonts w:hint="eastAsia" w:ascii="宋体" w:hAnsi="宋体" w:eastAsia="宋体" w:cs="宋体"/>
          <w:color w:val="000000" w:themeColor="text1"/>
          <w:spacing w:val="0"/>
          <w:sz w:val="24"/>
          <w:szCs w:val="24"/>
          <w:highlight w:val="none"/>
          <w14:textFill>
            <w14:solidFill>
              <w14:schemeClr w14:val="tx1"/>
            </w14:solidFill>
          </w14:textFill>
        </w:rPr>
        <w:t>。</w:t>
      </w:r>
    </w:p>
    <w:p w14:paraId="69747F29">
      <w:pPr>
        <w:pStyle w:val="7"/>
        <w:keepNext w:val="0"/>
        <w:keepLines w:val="0"/>
        <w:widowControl/>
        <w:suppressLineNumbers w:val="0"/>
        <w:spacing w:before="75" w:beforeAutospacing="0" w:after="75" w:afterAutospacing="0" w:line="240" w:lineRule="auto"/>
        <w:ind w:left="0" w:right="0" w:firstLine="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（以下无正文）</w:t>
      </w:r>
    </w:p>
    <w:p w14:paraId="58C90AE9">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1E52A340">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26984ED1">
      <w:pPr>
        <w:pStyle w:val="7"/>
        <w:keepNext w:val="0"/>
        <w:keepLines w:val="0"/>
        <w:widowControl/>
        <w:suppressLineNumbers w:val="0"/>
        <w:pBdr>
          <w:left w:val="none" w:color="auto" w:sz="0" w:space="0"/>
          <w:right w:val="none" w:color="auto" w:sz="0" w:space="0"/>
        </w:pBdr>
        <w:spacing w:before="75" w:beforeAutospacing="0" w:after="75" w:afterAutospacing="0" w:line="240" w:lineRule="auto"/>
        <w:ind w:left="-180" w:right="-18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甲方：</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乙方：</w:t>
      </w:r>
    </w:p>
    <w:p w14:paraId="7FD35AF5">
      <w:pPr>
        <w:pStyle w:val="7"/>
        <w:keepNext w:val="0"/>
        <w:keepLines w:val="0"/>
        <w:widowControl/>
        <w:suppressLineNumbers w:val="0"/>
        <w:pBdr>
          <w:left w:val="none" w:color="auto" w:sz="0" w:space="0"/>
          <w:right w:val="none" w:color="auto" w:sz="0" w:space="0"/>
        </w:pBdr>
        <w:spacing w:before="75" w:beforeAutospacing="0" w:after="75" w:afterAutospacing="0" w:line="240" w:lineRule="auto"/>
        <w:ind w:left="-180" w:right="-18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住所：</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住所：</w:t>
      </w:r>
    </w:p>
    <w:p w14:paraId="3BC62900">
      <w:pPr>
        <w:pStyle w:val="7"/>
        <w:keepNext w:val="0"/>
        <w:keepLines w:val="0"/>
        <w:widowControl/>
        <w:suppressLineNumbers w:val="0"/>
        <w:pBdr>
          <w:left w:val="none" w:color="auto" w:sz="0" w:space="0"/>
          <w:right w:val="none" w:color="auto" w:sz="0" w:space="0"/>
        </w:pBdr>
        <w:spacing w:before="75" w:beforeAutospacing="0" w:after="75" w:afterAutospacing="0" w:line="240" w:lineRule="auto"/>
        <w:ind w:left="-180" w:right="-18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单位负责人：</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单位负责人：</w:t>
      </w:r>
    </w:p>
    <w:p w14:paraId="0C2CB401">
      <w:pPr>
        <w:pStyle w:val="7"/>
        <w:keepNext w:val="0"/>
        <w:keepLines w:val="0"/>
        <w:widowControl/>
        <w:suppressLineNumbers w:val="0"/>
        <w:pBdr>
          <w:left w:val="none" w:color="auto" w:sz="0" w:space="0"/>
          <w:right w:val="none" w:color="auto" w:sz="0" w:space="0"/>
        </w:pBdr>
        <w:spacing w:before="75" w:beforeAutospacing="0" w:after="75" w:afterAutospacing="0" w:line="240" w:lineRule="auto"/>
        <w:ind w:left="-180" w:right="-18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委托代理人：</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委托代理人：</w:t>
      </w:r>
    </w:p>
    <w:p w14:paraId="251CB52C">
      <w:pPr>
        <w:pStyle w:val="7"/>
        <w:keepNext w:val="0"/>
        <w:keepLines w:val="0"/>
        <w:widowControl/>
        <w:suppressLineNumbers w:val="0"/>
        <w:pBdr>
          <w:left w:val="none" w:color="auto" w:sz="0" w:space="0"/>
          <w:right w:val="none" w:color="auto" w:sz="0" w:space="0"/>
        </w:pBdr>
        <w:spacing w:before="75" w:beforeAutospacing="0" w:after="75" w:afterAutospacing="0" w:line="240" w:lineRule="auto"/>
        <w:ind w:left="-180" w:right="-18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联系方法：</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联系方法：</w:t>
      </w:r>
    </w:p>
    <w:p w14:paraId="1BEB791D">
      <w:pPr>
        <w:pStyle w:val="7"/>
        <w:keepNext w:val="0"/>
        <w:keepLines w:val="0"/>
        <w:widowControl/>
        <w:suppressLineNumbers w:val="0"/>
        <w:pBdr>
          <w:left w:val="none" w:color="auto" w:sz="0" w:space="0"/>
          <w:right w:val="none" w:color="auto" w:sz="0" w:space="0"/>
        </w:pBdr>
        <w:spacing w:before="75" w:beforeAutospacing="0" w:after="75" w:afterAutospacing="0" w:line="240" w:lineRule="auto"/>
        <w:ind w:left="-180" w:right="-18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开户银行：</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开户银行：</w:t>
      </w:r>
    </w:p>
    <w:p w14:paraId="2A6CE91D">
      <w:pPr>
        <w:pStyle w:val="7"/>
        <w:keepNext w:val="0"/>
        <w:keepLines w:val="0"/>
        <w:widowControl/>
        <w:suppressLineNumbers w:val="0"/>
        <w:pBdr>
          <w:left w:val="none" w:color="auto" w:sz="0" w:space="0"/>
          <w:right w:val="none" w:color="auto" w:sz="0" w:space="0"/>
        </w:pBdr>
        <w:spacing w:before="75" w:beforeAutospacing="0" w:after="75" w:afterAutospacing="0" w:line="240" w:lineRule="auto"/>
        <w:ind w:left="-180" w:right="-18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账号：</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账号：</w:t>
      </w:r>
    </w:p>
    <w:p w14:paraId="79B5DCD4">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69177858">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74D6223C">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签订地点：</w:t>
      </w:r>
    </w:p>
    <w:p w14:paraId="2C994292">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签订日期：</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w:t>
      </w:r>
    </w:p>
    <w:p w14:paraId="16D5E59A">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6CA6E7B2">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2D072AA9">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62EBF465">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73FD0B3E">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22FE3D0D">
      <w:pPr>
        <w:keepNext w:val="0"/>
        <w:keepLines w:val="0"/>
        <w:widowControl/>
        <w:suppressLineNumbers w:val="0"/>
        <w:jc w:val="left"/>
        <w:rPr>
          <w:color w:val="000000" w:themeColor="text1"/>
          <w:highlight w:val="none"/>
          <w14:textFill>
            <w14:solidFill>
              <w14:schemeClr w14:val="tx1"/>
            </w14:solidFill>
          </w14:textFill>
        </w:rPr>
      </w:pPr>
      <w:r>
        <w:rPr>
          <w:rFonts w:ascii="宋体" w:hAnsi="宋体" w:eastAsia="宋体" w:cs="宋体"/>
          <w:color w:val="000000" w:themeColor="text1"/>
          <w:kern w:val="0"/>
          <w:sz w:val="24"/>
          <w:szCs w:val="24"/>
          <w:highlight w:val="none"/>
          <w:lang w:val="en-US" w:eastAsia="zh-CN" w:bidi="ar"/>
          <w14:textFill>
            <w14:solidFill>
              <w14:schemeClr w14:val="tx1"/>
            </w14:solidFill>
          </w14:textFill>
        </w:rPr>
        <w:t> </w:t>
      </w:r>
    </w:p>
    <w:p w14:paraId="09BFADE9">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  </w:t>
      </w:r>
    </w:p>
    <w:p w14:paraId="33A348BD">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 </w:t>
      </w:r>
    </w:p>
    <w:p w14:paraId="406FDC85">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br w:type="page"/>
      </w: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第五章  首次响应文件格式</w:t>
      </w:r>
    </w:p>
    <w:p w14:paraId="0580DE63">
      <w:pPr>
        <w:pStyle w:val="7"/>
        <w:keepNext w:val="0"/>
        <w:keepLines w:val="0"/>
        <w:widowControl/>
        <w:suppressLineNumbers w:val="0"/>
        <w:spacing w:before="75" w:beforeAutospacing="0" w:after="75" w:afterAutospacing="0"/>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 </w:t>
      </w:r>
    </w:p>
    <w:p w14:paraId="49C31989">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编制说明</w:t>
      </w:r>
    </w:p>
    <w:p w14:paraId="2D607CAA">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14:paraId="4E984AB6">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除磋商文件另有规定外，磋商文件要求原件的，供应商在纸质响应文件正本中应提供原件；磋商文件要求复印件的，供应商在纸质响应文件中可提供原件、复印件或扫描件；磋商文件对原件、复印件未作要求的，供应商可自行确定在纸质响应文件中提供原件、复印件或扫描件（若供应商提供注明“复印件无效”的材料或资料，供应商在纸质响应文件正本中应提供原件）。</w:t>
      </w:r>
    </w:p>
    <w:p w14:paraId="4A6D3EDD">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1EA1033E">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 </w:t>
      </w:r>
    </w:p>
    <w:p w14:paraId="62EDE52C">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 </w:t>
      </w:r>
    </w:p>
    <w:p w14:paraId="7E3032D0">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 </w:t>
      </w:r>
    </w:p>
    <w:p w14:paraId="3E55D05E">
      <w:pPr>
        <w:pStyle w:val="7"/>
        <w:keepNext w:val="0"/>
        <w:keepLines w:val="0"/>
        <w:widowControl/>
        <w:suppressLineNumbers w:val="0"/>
        <w:spacing w:before="75" w:beforeAutospacing="0" w:after="75" w:afterAutospacing="0"/>
        <w:ind w:left="0" w:right="0" w:firstLine="0"/>
        <w:rPr>
          <w:rStyle w:val="12"/>
          <w:rFonts w:hint="eastAsia" w:ascii="宋体" w:hAnsi="宋体" w:eastAsia="宋体" w:cs="宋体"/>
          <w:b/>
          <w:bCs/>
          <w:color w:val="000000" w:themeColor="text1"/>
          <w:spacing w:val="0"/>
          <w:sz w:val="36"/>
          <w:szCs w:val="36"/>
          <w:highlight w:val="none"/>
          <w14:textFill>
            <w14:solidFill>
              <w14:schemeClr w14:val="tx1"/>
            </w14:solidFill>
          </w14:textFill>
        </w:rPr>
      </w:pP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 xml:space="preserve">            </w:t>
      </w:r>
    </w:p>
    <w:p w14:paraId="06911D2C">
      <w:pPr>
        <w:pStyle w:val="7"/>
        <w:keepNext w:val="0"/>
        <w:keepLines w:val="0"/>
        <w:widowControl/>
        <w:suppressLineNumbers w:val="0"/>
        <w:spacing w:before="75" w:beforeAutospacing="0" w:after="75" w:afterAutospacing="0"/>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br w:type="page"/>
      </w: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福建省政府采购项目竞争性磋商</w:t>
      </w:r>
    </w:p>
    <w:p w14:paraId="09B05BE6">
      <w:pPr>
        <w:pStyle w:val="7"/>
        <w:keepNext w:val="0"/>
        <w:keepLines w:val="0"/>
        <w:widowControl/>
        <w:suppressLineNumbers w:val="0"/>
        <w:spacing w:before="75" w:beforeAutospacing="0" w:after="75" w:afterAutospacing="0"/>
        <w:ind w:left="0" w:right="0" w:firstLine="0"/>
        <w:rPr>
          <w:rStyle w:val="12"/>
          <w:rFonts w:hint="eastAsia" w:ascii="宋体" w:hAnsi="宋体" w:eastAsia="宋体" w:cs="宋体"/>
          <w:b/>
          <w:bCs/>
          <w:color w:val="000000" w:themeColor="text1"/>
          <w:spacing w:val="0"/>
          <w:sz w:val="24"/>
          <w:szCs w:val="24"/>
          <w:highlight w:val="none"/>
          <w:lang w:eastAsia="zh-CN"/>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响应文件</w:t>
      </w:r>
    </w:p>
    <w:p w14:paraId="1ECB82F3">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（首次）</w:t>
      </w:r>
    </w:p>
    <w:p w14:paraId="269F9296">
      <w:pPr>
        <w:pStyle w:val="7"/>
        <w:keepNext w:val="0"/>
        <w:keepLines w:val="0"/>
        <w:widowControl/>
        <w:suppressLineNumbers w:val="0"/>
        <w:spacing w:before="75" w:beforeAutospacing="0" w:after="75" w:afterAutospacing="0"/>
        <w:ind w:left="0" w:right="0" w:firstLine="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30"/>
          <w:szCs w:val="30"/>
          <w:highlight w:val="none"/>
          <w14:textFill>
            <w14:solidFill>
              <w14:schemeClr w14:val="tx1"/>
            </w14:solidFill>
          </w14:textFill>
        </w:rPr>
        <w:t> </w:t>
      </w:r>
    </w:p>
    <w:p w14:paraId="0E137F85">
      <w:pPr>
        <w:pStyle w:val="7"/>
        <w:keepNext w:val="0"/>
        <w:keepLines w:val="0"/>
        <w:widowControl/>
        <w:suppressLineNumbers w:val="0"/>
        <w:spacing w:before="75" w:beforeAutospacing="0" w:after="75" w:afterAutospacing="0"/>
        <w:ind w:left="0" w:right="0" w:firstLine="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30"/>
          <w:szCs w:val="30"/>
          <w:highlight w:val="none"/>
          <w14:textFill>
            <w14:solidFill>
              <w14:schemeClr w14:val="tx1"/>
            </w14:solidFill>
          </w14:textFill>
        </w:rPr>
        <w:t> </w:t>
      </w:r>
    </w:p>
    <w:p w14:paraId="3D5C0C11">
      <w:pPr>
        <w:pStyle w:val="7"/>
        <w:keepNext w:val="0"/>
        <w:keepLines w:val="0"/>
        <w:widowControl/>
        <w:suppressLineNumbers w:val="0"/>
        <w:spacing w:before="75" w:beforeAutospacing="0" w:after="75" w:afterAutospacing="0"/>
        <w:ind w:left="0" w:right="0" w:firstLine="126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项目名称：</w:t>
      </w:r>
      <w:r>
        <w:rPr>
          <w:rStyle w:val="12"/>
          <w:rFonts w:hint="eastAsia" w:ascii="宋体" w:hAnsi="宋体" w:eastAsia="宋体" w:cs="宋体"/>
          <w:b/>
          <w:bCs/>
          <w:color w:val="000000" w:themeColor="text1"/>
          <w:spacing w:val="0"/>
          <w:sz w:val="36"/>
          <w:szCs w:val="36"/>
          <w:highlight w:val="none"/>
          <w:u w:val="single"/>
          <w14:textFill>
            <w14:solidFill>
              <w14:schemeClr w14:val="tx1"/>
            </w14:solidFill>
          </w14:textFill>
        </w:rPr>
        <w:t>               </w:t>
      </w:r>
    </w:p>
    <w:p w14:paraId="2601B899">
      <w:pPr>
        <w:pStyle w:val="7"/>
        <w:keepNext w:val="0"/>
        <w:keepLines w:val="0"/>
        <w:widowControl/>
        <w:suppressLineNumbers w:val="0"/>
        <w:spacing w:before="75" w:beforeAutospacing="0" w:after="75" w:afterAutospacing="0"/>
        <w:ind w:left="0" w:right="0" w:firstLine="126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项目编号：</w:t>
      </w:r>
      <w:r>
        <w:rPr>
          <w:rStyle w:val="12"/>
          <w:rFonts w:hint="eastAsia" w:ascii="宋体" w:hAnsi="宋体" w:eastAsia="宋体" w:cs="宋体"/>
          <w:b/>
          <w:bCs/>
          <w:color w:val="000000" w:themeColor="text1"/>
          <w:spacing w:val="0"/>
          <w:sz w:val="36"/>
          <w:szCs w:val="36"/>
          <w:highlight w:val="none"/>
          <w:u w:val="single"/>
          <w14:textFill>
            <w14:solidFill>
              <w14:schemeClr w14:val="tx1"/>
            </w14:solidFill>
          </w14:textFill>
        </w:rPr>
        <w:t>                    </w:t>
      </w:r>
    </w:p>
    <w:p w14:paraId="100C36D6">
      <w:pPr>
        <w:pStyle w:val="7"/>
        <w:keepNext w:val="0"/>
        <w:keepLines w:val="0"/>
        <w:widowControl/>
        <w:suppressLineNumbers w:val="0"/>
        <w:spacing w:before="75" w:beforeAutospacing="0" w:after="75" w:afterAutospacing="0"/>
        <w:ind w:left="0" w:right="0" w:firstLine="126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合同包</w:t>
      </w: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 </w:t>
      </w:r>
      <w:r>
        <w:rPr>
          <w:rStyle w:val="12"/>
          <w:rFonts w:hint="eastAsia" w:ascii="宋体" w:hAnsi="宋体" w:eastAsia="宋体" w:cs="宋体"/>
          <w:b/>
          <w:bCs/>
          <w:color w:val="000000" w:themeColor="text1"/>
          <w:spacing w:val="0"/>
          <w:sz w:val="36"/>
          <w:szCs w:val="36"/>
          <w:highlight w:val="none"/>
          <w:u w:val="single"/>
          <w14:textFill>
            <w14:solidFill>
              <w14:schemeClr w14:val="tx1"/>
            </w14:solidFill>
          </w14:textFill>
        </w:rPr>
        <w:t>                    </w:t>
      </w:r>
    </w:p>
    <w:p w14:paraId="22690CE5">
      <w:pPr>
        <w:pStyle w:val="7"/>
        <w:keepNext w:val="0"/>
        <w:keepLines w:val="0"/>
        <w:widowControl/>
        <w:suppressLineNumbers w:val="0"/>
        <w:spacing w:before="75" w:beforeAutospacing="0" w:after="75" w:afterAutospacing="0"/>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 </w:t>
      </w:r>
    </w:p>
    <w:p w14:paraId="18E07900">
      <w:pPr>
        <w:pStyle w:val="7"/>
        <w:keepNext w:val="0"/>
        <w:keepLines w:val="0"/>
        <w:widowControl/>
        <w:suppressLineNumbers w:val="0"/>
        <w:spacing w:before="75" w:beforeAutospacing="0" w:after="75" w:afterAutospacing="0"/>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 </w:t>
      </w:r>
    </w:p>
    <w:p w14:paraId="5D59D299">
      <w:pPr>
        <w:pStyle w:val="7"/>
        <w:keepNext w:val="0"/>
        <w:keepLines w:val="0"/>
        <w:widowControl/>
        <w:suppressLineNumbers w:val="0"/>
        <w:spacing w:before="75" w:beforeAutospacing="0" w:after="75" w:afterAutospacing="0"/>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 </w:t>
      </w:r>
    </w:p>
    <w:p w14:paraId="596137B1">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 </w:t>
      </w:r>
    </w:p>
    <w:p w14:paraId="0B78F17E">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 </w:t>
      </w:r>
    </w:p>
    <w:p w14:paraId="0F0B5E30">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 </w:t>
      </w:r>
    </w:p>
    <w:p w14:paraId="508C265A">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供应商名称 ：</w:t>
      </w:r>
      <w:r>
        <w:rPr>
          <w:rStyle w:val="12"/>
          <w:rFonts w:hint="eastAsia" w:ascii="宋体" w:hAnsi="宋体" w:eastAsia="宋体" w:cs="宋体"/>
          <w:b/>
          <w:bCs/>
          <w:color w:val="000000" w:themeColor="text1"/>
          <w:spacing w:val="0"/>
          <w:sz w:val="24"/>
          <w:szCs w:val="24"/>
          <w:highlight w:val="none"/>
          <w:u w:val="single"/>
          <w14:textFill>
            <w14:solidFill>
              <w14:schemeClr w14:val="tx1"/>
            </w14:solidFill>
          </w14:textFill>
        </w:rPr>
        <w:t>               </w:t>
      </w:r>
    </w:p>
    <w:p w14:paraId="670BCADE">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日   期 ：</w:t>
      </w:r>
      <w:r>
        <w:rPr>
          <w:rStyle w:val="12"/>
          <w:rFonts w:hint="eastAsia" w:ascii="宋体" w:hAnsi="宋体" w:eastAsia="宋体" w:cs="宋体"/>
          <w:b/>
          <w:bCs/>
          <w:color w:val="000000" w:themeColor="text1"/>
          <w:spacing w:val="0"/>
          <w:sz w:val="24"/>
          <w:szCs w:val="24"/>
          <w:highlight w:val="none"/>
          <w:u w:val="single"/>
          <w14:textFill>
            <w14:solidFill>
              <w14:schemeClr w14:val="tx1"/>
            </w14:solidFill>
          </w14:textFill>
        </w:rPr>
        <w:t>               </w:t>
      </w:r>
    </w:p>
    <w:p w14:paraId="11D66ADD">
      <w:pPr>
        <w:pStyle w:val="7"/>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b/>
          <w:bCs/>
          <w:color w:val="000000" w:themeColor="text1"/>
          <w:spacing w:val="0"/>
          <w:sz w:val="24"/>
          <w:szCs w:val="24"/>
          <w:highlight w:val="none"/>
          <w:u w:val="single"/>
          <w:lang w:eastAsia="zh-CN"/>
          <w14:textFill>
            <w14:solidFill>
              <w14:schemeClr w14:val="tx1"/>
            </w14:solidFill>
          </w14:textFill>
        </w:rPr>
      </w:pPr>
    </w:p>
    <w:p w14:paraId="52834FA3">
      <w:pPr>
        <w:pStyle w:val="7"/>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b/>
          <w:bCs/>
          <w:color w:val="000000" w:themeColor="text1"/>
          <w:spacing w:val="0"/>
          <w:sz w:val="24"/>
          <w:szCs w:val="24"/>
          <w:highlight w:val="none"/>
          <w:u w:val="single"/>
          <w:lang w:eastAsia="zh-CN"/>
          <w14:textFill>
            <w14:solidFill>
              <w14:schemeClr w14:val="tx1"/>
            </w14:solidFill>
          </w14:textFill>
        </w:rPr>
      </w:pPr>
    </w:p>
    <w:p w14:paraId="54B700CF">
      <w:pPr>
        <w:pStyle w:val="7"/>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b/>
          <w:bCs/>
          <w:color w:val="000000" w:themeColor="text1"/>
          <w:spacing w:val="0"/>
          <w:sz w:val="24"/>
          <w:szCs w:val="24"/>
          <w:highlight w:val="none"/>
          <w:u w:val="single"/>
          <w:lang w:eastAsia="zh-CN"/>
          <w14:textFill>
            <w14:solidFill>
              <w14:schemeClr w14:val="tx1"/>
            </w14:solidFill>
          </w14:textFill>
        </w:rPr>
      </w:pPr>
    </w:p>
    <w:p w14:paraId="26883E8F">
      <w:pPr>
        <w:pStyle w:val="7"/>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b/>
          <w:bCs/>
          <w:color w:val="000000" w:themeColor="text1"/>
          <w:spacing w:val="0"/>
          <w:sz w:val="24"/>
          <w:szCs w:val="24"/>
          <w:highlight w:val="none"/>
          <w:u w:val="single"/>
          <w:lang w:eastAsia="zh-CN"/>
          <w14:textFill>
            <w14:solidFill>
              <w14:schemeClr w14:val="tx1"/>
            </w14:solidFill>
          </w14:textFill>
        </w:rPr>
      </w:pPr>
    </w:p>
    <w:p w14:paraId="5314936D">
      <w:pPr>
        <w:pStyle w:val="7"/>
        <w:keepNext w:val="0"/>
        <w:keepLines w:val="0"/>
        <w:widowControl/>
        <w:suppressLineNumbers w:val="0"/>
        <w:spacing w:before="75" w:beforeAutospacing="0" w:after="75" w:afterAutospacing="0"/>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u w:val="single"/>
          <w14:textFill>
            <w14:solidFill>
              <w14:schemeClr w14:val="tx1"/>
            </w14:solidFill>
          </w14:textFill>
        </w:rPr>
        <w:br w:type="page"/>
      </w: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目  录</w:t>
      </w:r>
    </w:p>
    <w:p w14:paraId="07928B0E">
      <w:pPr>
        <w:pStyle w:val="7"/>
        <w:keepNext w:val="0"/>
        <w:keepLines w:val="0"/>
        <w:widowControl/>
        <w:suppressLineNumbers w:val="0"/>
        <w:spacing w:before="75" w:beforeAutospacing="0" w:after="75" w:afterAutospacing="0" w:line="465" w:lineRule="atLeast"/>
        <w:ind w:left="0" w:right="0" w:firstLine="0"/>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29D8F73C">
      <w:pPr>
        <w:pStyle w:val="7"/>
        <w:keepNext w:val="0"/>
        <w:keepLines w:val="0"/>
        <w:widowControl/>
        <w:suppressLineNumbers w:val="0"/>
        <w:spacing w:before="75" w:beforeAutospacing="0" w:after="75" w:afterAutospacing="0" w:line="46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附件1：响应函</w:t>
      </w:r>
    </w:p>
    <w:p w14:paraId="341313DD">
      <w:pPr>
        <w:pStyle w:val="7"/>
        <w:keepNext w:val="0"/>
        <w:keepLines w:val="0"/>
        <w:widowControl/>
        <w:suppressLineNumbers w:val="0"/>
        <w:spacing w:before="75" w:beforeAutospacing="0" w:after="75" w:afterAutospacing="0" w:line="46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附件2：报价一览表（含详细报价书）</w:t>
      </w:r>
    </w:p>
    <w:p w14:paraId="6B66B69B">
      <w:pPr>
        <w:pStyle w:val="7"/>
        <w:keepNext w:val="0"/>
        <w:keepLines w:val="0"/>
        <w:widowControl/>
        <w:suppressLineNumbers w:val="0"/>
        <w:spacing w:before="75" w:beforeAutospacing="0" w:after="75" w:afterAutospacing="0" w:line="46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附件3：资格证明文件</w:t>
      </w:r>
    </w:p>
    <w:p w14:paraId="41B34E8A">
      <w:pPr>
        <w:pStyle w:val="7"/>
        <w:keepNext w:val="0"/>
        <w:keepLines w:val="0"/>
        <w:widowControl/>
        <w:suppressLineNumbers w:val="0"/>
        <w:spacing w:before="75" w:beforeAutospacing="0" w:after="75" w:afterAutospacing="0" w:line="46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附件4：磋商保证金凭证</w:t>
      </w:r>
    </w:p>
    <w:p w14:paraId="2252599F">
      <w:pPr>
        <w:pStyle w:val="7"/>
        <w:keepNext w:val="0"/>
        <w:keepLines w:val="0"/>
        <w:widowControl/>
        <w:suppressLineNumbers w:val="0"/>
        <w:spacing w:before="75" w:beforeAutospacing="0" w:after="75" w:afterAutospacing="0" w:line="46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附件5：技术和商务偏离表</w:t>
      </w:r>
    </w:p>
    <w:p w14:paraId="121D92E8">
      <w:pPr>
        <w:pStyle w:val="7"/>
        <w:keepNext w:val="0"/>
        <w:keepLines w:val="0"/>
        <w:widowControl/>
        <w:suppressLineNumbers w:val="0"/>
        <w:spacing w:before="75" w:beforeAutospacing="0" w:after="75" w:afterAutospacing="0" w:line="46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附件6：相关技术、商务、服务响应承诺及资料</w:t>
      </w:r>
    </w:p>
    <w:p w14:paraId="2F918E1F">
      <w:pPr>
        <w:pStyle w:val="7"/>
        <w:keepNext w:val="0"/>
        <w:keepLines w:val="0"/>
        <w:widowControl/>
        <w:suppressLineNumbers w:val="0"/>
        <w:spacing w:before="75" w:beforeAutospacing="0" w:after="75" w:afterAutospacing="0" w:line="46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附件7：供应商提交的其他资料</w:t>
      </w:r>
    </w:p>
    <w:p w14:paraId="18AAC267">
      <w:pPr>
        <w:pStyle w:val="7"/>
        <w:keepNext w:val="0"/>
        <w:keepLines w:val="0"/>
        <w:widowControl/>
        <w:suppressLineNumbers w:val="0"/>
        <w:spacing w:before="75" w:beforeAutospacing="0" w:after="75" w:afterAutospacing="0" w:line="46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附件8：要求作为响应文件组成部分的其他内容（若有）</w:t>
      </w:r>
    </w:p>
    <w:p w14:paraId="03359111">
      <w:pPr>
        <w:pStyle w:val="7"/>
        <w:keepNext w:val="0"/>
        <w:keepLines w:val="0"/>
        <w:widowControl/>
        <w:suppressLineNumbers w:val="0"/>
        <w:spacing w:before="75" w:beforeAutospacing="0" w:after="75" w:afterAutospacing="0" w:line="465" w:lineRule="atLeast"/>
        <w:ind w:left="0" w:right="0" w:firstLine="0"/>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27037E15">
      <w:pPr>
        <w:pStyle w:val="7"/>
        <w:keepNext w:val="0"/>
        <w:keepLines w:val="0"/>
        <w:widowControl/>
        <w:suppressLineNumbers w:val="0"/>
        <w:spacing w:before="75" w:beforeAutospacing="0" w:after="240" w:afterAutospacing="0" w:line="49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23C3AA90">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br w:type="page"/>
      </w:r>
      <w:r>
        <w:rPr>
          <w:rFonts w:hint="eastAsia" w:ascii="宋体" w:hAnsi="宋体" w:eastAsia="宋体" w:cs="宋体"/>
          <w:color w:val="000000" w:themeColor="text1"/>
          <w:spacing w:val="0"/>
          <w:sz w:val="24"/>
          <w:szCs w:val="24"/>
          <w:highlight w:val="none"/>
          <w14:textFill>
            <w14:solidFill>
              <w14:schemeClr w14:val="tx1"/>
            </w14:solidFill>
          </w14:textFill>
        </w:rPr>
        <w:t>附件1</w:t>
      </w:r>
      <w:r>
        <w:rPr>
          <w:rFonts w:hint="eastAsia" w:ascii="宋体" w:hAnsi="宋体" w:eastAsia="宋体" w:cs="宋体"/>
          <w:color w:val="000000" w:themeColor="text1"/>
          <w:spacing w:val="0"/>
          <w:sz w:val="21"/>
          <w:szCs w:val="21"/>
          <w:highlight w:val="none"/>
          <w14:textFill>
            <w14:solidFill>
              <w14:schemeClr w14:val="tx1"/>
            </w14:solidFill>
          </w14:textFill>
        </w:rPr>
        <w:t> </w:t>
      </w:r>
      <w:r>
        <w:rPr>
          <w:rFonts w:hint="eastAsia" w:ascii="宋体" w:hAnsi="宋体" w:eastAsia="宋体" w:cs="宋体"/>
          <w:color w:val="000000" w:themeColor="text1"/>
          <w:spacing w:val="0"/>
          <w:sz w:val="28"/>
          <w:szCs w:val="28"/>
          <w:highlight w:val="none"/>
          <w14:textFill>
            <w14:solidFill>
              <w14:schemeClr w14:val="tx1"/>
            </w14:solidFill>
          </w14:textFill>
        </w:rPr>
        <w:t>              </w:t>
      </w: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磋商响应声明</w:t>
      </w:r>
    </w:p>
    <w:p w14:paraId="7C0F9E2B">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352DA196">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致：</w:t>
      </w:r>
      <w:r>
        <w:rPr>
          <w:rFonts w:hint="eastAsia" w:ascii="宋体" w:hAnsi="宋体" w:eastAsia="宋体" w:cs="宋体"/>
          <w:color w:val="000000" w:themeColor="text1"/>
          <w:spacing w:val="0"/>
          <w:sz w:val="24"/>
          <w:szCs w:val="24"/>
          <w:highlight w:val="none"/>
          <w:u w:val="single"/>
          <w14:textFill>
            <w14:solidFill>
              <w14:schemeClr w14:val="tx1"/>
            </w14:solidFill>
          </w14:textFill>
        </w:rPr>
        <w:t>     (采购人或采购代理机构)       </w:t>
      </w:r>
    </w:p>
    <w:p w14:paraId="193FD99A">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1.根据贵方为</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项目（项目编号:</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）的采购公告（或采购邀请书），我方签字代表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（全名、职务）   </w:t>
      </w:r>
      <w:r>
        <w:rPr>
          <w:rFonts w:hint="eastAsia" w:ascii="宋体" w:hAnsi="宋体" w:eastAsia="宋体" w:cs="宋体"/>
          <w:color w:val="000000" w:themeColor="text1"/>
          <w:spacing w:val="0"/>
          <w:sz w:val="24"/>
          <w:szCs w:val="24"/>
          <w:highlight w:val="none"/>
          <w14:textFill>
            <w14:solidFill>
              <w14:schemeClr w14:val="tx1"/>
            </w14:solidFill>
          </w14:textFill>
        </w:rPr>
        <w:t>经正式授权并代表的供应商</w:t>
      </w:r>
      <w:r>
        <w:rPr>
          <w:rFonts w:hint="eastAsia" w:ascii="宋体" w:hAnsi="宋体" w:eastAsia="宋体" w:cs="宋体"/>
          <w:color w:val="000000" w:themeColor="text1"/>
          <w:spacing w:val="0"/>
          <w:sz w:val="24"/>
          <w:szCs w:val="24"/>
          <w:highlight w:val="none"/>
          <w:u w:val="single"/>
          <w14:textFill>
            <w14:solidFill>
              <w14:schemeClr w14:val="tx1"/>
            </w14:solidFill>
          </w14:textFill>
        </w:rPr>
        <w:t>          （供应商名称、地址）    </w:t>
      </w:r>
      <w:r>
        <w:rPr>
          <w:rFonts w:hint="eastAsia" w:ascii="宋体" w:hAnsi="宋体" w:eastAsia="宋体" w:cs="宋体"/>
          <w:color w:val="000000" w:themeColor="text1"/>
          <w:spacing w:val="0"/>
          <w:sz w:val="24"/>
          <w:szCs w:val="24"/>
          <w:highlight w:val="none"/>
          <w14:textFill>
            <w14:solidFill>
              <w14:schemeClr w14:val="tx1"/>
            </w14:solidFill>
          </w14:textFill>
        </w:rPr>
        <w:t>提交包含下述内容的首次响应文件纸质文本正本</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套，副本</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套及电子文档</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套。</w:t>
      </w:r>
    </w:p>
    <w:p w14:paraId="1355B321">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（1）响应函</w:t>
      </w:r>
    </w:p>
    <w:p w14:paraId="186F46B3">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（2）报价一览表（含详细报价书）</w:t>
      </w:r>
    </w:p>
    <w:p w14:paraId="728AA67D">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（3）资格证明文件</w:t>
      </w:r>
    </w:p>
    <w:p w14:paraId="1521D219">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（4）磋商保证金凭证</w:t>
      </w:r>
    </w:p>
    <w:p w14:paraId="30307908">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（5）技术和商务偏离表</w:t>
      </w:r>
    </w:p>
    <w:p w14:paraId="1DAED948">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（6）相关技术、商务、服务响应承诺及资料</w:t>
      </w:r>
    </w:p>
    <w:p w14:paraId="33238181">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（7）供应商提交的其他资料</w:t>
      </w:r>
    </w:p>
    <w:p w14:paraId="12E0E8EC">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（8）按照磋商文件规定，要求作为响应文件组成部分的其他内容（若有）</w:t>
      </w:r>
    </w:p>
    <w:p w14:paraId="3FD5FF98">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2.据此函，我方宣布响应承诺如下：</w:t>
      </w:r>
    </w:p>
    <w:p w14:paraId="3F3772BB">
      <w:pPr>
        <w:pStyle w:val="7"/>
        <w:keepNext w:val="0"/>
        <w:keepLines w:val="0"/>
        <w:widowControl/>
        <w:suppressLineNumbers w:val="0"/>
        <w:spacing w:before="75" w:beforeAutospacing="0" w:after="75" w:afterAutospacing="0" w:line="240" w:lineRule="auto"/>
        <w:ind w:left="0" w:right="0" w:firstLine="48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14:paraId="0278867F">
      <w:pPr>
        <w:pStyle w:val="7"/>
        <w:keepNext w:val="0"/>
        <w:keepLines w:val="0"/>
        <w:widowControl/>
        <w:suppressLineNumbers w:val="0"/>
        <w:spacing w:before="75" w:beforeAutospacing="0" w:after="75" w:afterAutospacing="0" w:line="240" w:lineRule="auto"/>
        <w:ind w:left="0" w:right="0" w:firstLine="48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14:paraId="4AB13A85">
      <w:pPr>
        <w:pStyle w:val="7"/>
        <w:keepNext w:val="0"/>
        <w:keepLines w:val="0"/>
        <w:widowControl/>
        <w:suppressLineNumbers w:val="0"/>
        <w:spacing w:before="75" w:beforeAutospacing="0" w:after="75" w:afterAutospacing="0" w:line="240" w:lineRule="auto"/>
        <w:ind w:left="0" w:right="0" w:firstLine="48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14:paraId="2D8810FF">
      <w:pPr>
        <w:pStyle w:val="7"/>
        <w:keepNext w:val="0"/>
        <w:keepLines w:val="0"/>
        <w:widowControl/>
        <w:suppressLineNumbers w:val="0"/>
        <w:spacing w:before="75" w:beforeAutospacing="0" w:after="75" w:afterAutospacing="0" w:line="240" w:lineRule="auto"/>
        <w:ind w:left="0" w:right="0" w:firstLine="48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2.4我方已经按照磋商文件要求提交磋商保证金。我方如果发生任何竞争性磋商文件中所述不予退还磋商保证金的情况，则我方的磋商保证金将被贵方不予退还，我方对此无异议。</w:t>
      </w:r>
    </w:p>
    <w:p w14:paraId="6C0E0837">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2.5我方愿意向贵方提供任何与本项目磋商采购有关的数据或资料。若贵方需要，我方愿意提供我方作出的一切承诺的证明材料。</w:t>
      </w:r>
    </w:p>
    <w:p w14:paraId="1ABA4190">
      <w:pPr>
        <w:pStyle w:val="7"/>
        <w:keepNext w:val="0"/>
        <w:keepLines w:val="0"/>
        <w:widowControl/>
        <w:suppressLineNumbers w:val="0"/>
        <w:spacing w:before="75" w:beforeAutospacing="0" w:after="75" w:afterAutospacing="0" w:line="240" w:lineRule="auto"/>
        <w:ind w:left="0" w:right="0" w:firstLine="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14:paraId="2E9EAD7D">
      <w:pPr>
        <w:pStyle w:val="7"/>
        <w:keepNext w:val="0"/>
        <w:keepLines w:val="0"/>
        <w:widowControl/>
        <w:suppressLineNumbers w:val="0"/>
        <w:spacing w:before="75" w:beforeAutospacing="0" w:after="75" w:afterAutospacing="0" w:line="240" w:lineRule="auto"/>
        <w:ind w:left="0" w:right="0" w:firstLine="0"/>
        <w:rPr>
          <w:rFonts w:hint="default" w:ascii="宋体" w:hAnsi="宋体" w:eastAsia="宋体" w:cs="宋体"/>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r>
        <w:rPr>
          <w:rFonts w:hint="eastAsia" w:ascii="宋体" w:hAnsi="宋体" w:cs="宋体"/>
          <w:color w:val="000000" w:themeColor="text1"/>
          <w:spacing w:val="0"/>
          <w:sz w:val="24"/>
          <w:szCs w:val="24"/>
          <w:highlight w:val="none"/>
          <w:lang w:val="en-US" w:eastAsia="zh-CN"/>
          <w14:textFill>
            <w14:solidFill>
              <w14:schemeClr w14:val="tx1"/>
            </w14:solidFill>
          </w14:textFill>
        </w:rPr>
        <w:t>2.7我方承诺响应文件所提供的全部资料真实可靠，并接受磋商小组、采购人、采购代理机构、监管部门进一步审查其中任何资料真实性的要求。</w:t>
      </w:r>
    </w:p>
    <w:p w14:paraId="09700969">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1F0AFD5E">
      <w:pPr>
        <w:pStyle w:val="7"/>
        <w:keepNext w:val="0"/>
        <w:keepLines w:val="0"/>
        <w:widowControl/>
        <w:suppressLineNumbers w:val="0"/>
        <w:spacing w:before="75" w:beforeAutospacing="0" w:after="75" w:afterAutospacing="0" w:line="240" w:lineRule="auto"/>
        <w:ind w:left="0" w:right="0" w:firstLine="7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4C197EA0">
      <w:pPr>
        <w:pStyle w:val="7"/>
        <w:keepNext w:val="0"/>
        <w:keepLines w:val="0"/>
        <w:widowControl/>
        <w:suppressLineNumbers w:val="0"/>
        <w:spacing w:before="75" w:beforeAutospacing="0" w:after="75" w:afterAutospacing="0" w:line="240" w:lineRule="auto"/>
        <w:ind w:left="0" w:right="0" w:firstLine="7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通信地址:</w:t>
      </w:r>
      <w:r>
        <w:rPr>
          <w:rFonts w:hint="eastAsia" w:ascii="宋体" w:hAnsi="宋体" w:eastAsia="宋体" w:cs="宋体"/>
          <w:color w:val="000000" w:themeColor="text1"/>
          <w:spacing w:val="0"/>
          <w:sz w:val="24"/>
          <w:szCs w:val="24"/>
          <w:highlight w:val="none"/>
          <w:u w:val="single"/>
          <w14:textFill>
            <w14:solidFill>
              <w14:schemeClr w14:val="tx1"/>
            </w14:solidFill>
          </w14:textFill>
        </w:rPr>
        <w:t xml:space="preserve">                                          </w:t>
      </w:r>
    </w:p>
    <w:p w14:paraId="7E8C7326">
      <w:pPr>
        <w:pStyle w:val="7"/>
        <w:keepNext w:val="0"/>
        <w:keepLines w:val="0"/>
        <w:widowControl/>
        <w:suppressLineNumbers w:val="0"/>
        <w:spacing w:before="75" w:beforeAutospacing="0" w:after="75" w:afterAutospacing="0" w:line="240" w:lineRule="auto"/>
        <w:ind w:left="0" w:right="0" w:firstLine="7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邮编：</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   传真号：</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p>
    <w:p w14:paraId="5167CF8E">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联系电话（固定电话和移动电话）：</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p>
    <w:p w14:paraId="2B4EA103">
      <w:pPr>
        <w:pStyle w:val="7"/>
        <w:keepNext w:val="0"/>
        <w:keepLines w:val="0"/>
        <w:widowControl/>
        <w:suppressLineNumbers w:val="0"/>
        <w:spacing w:before="75" w:beforeAutospacing="0" w:after="75" w:afterAutospacing="0" w:line="240" w:lineRule="auto"/>
        <w:ind w:left="0" w:right="0" w:firstLine="0"/>
        <w:rPr>
          <w:rFonts w:hint="eastAsia" w:eastAsia="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xml:space="preserve">             （签字）                 </w:t>
      </w:r>
      <w:r>
        <w:rPr>
          <w:rFonts w:hint="eastAsia" w:ascii="宋体" w:hAnsi="宋体" w:cs="宋体"/>
          <w:color w:val="000000" w:themeColor="text1"/>
          <w:spacing w:val="0"/>
          <w:sz w:val="24"/>
          <w:szCs w:val="24"/>
          <w:highlight w:val="none"/>
          <w:u w:val="single"/>
          <w:lang w:val="en-US" w:eastAsia="zh-CN"/>
          <w14:textFill>
            <w14:solidFill>
              <w14:schemeClr w14:val="tx1"/>
            </w14:solidFill>
          </w14:textFill>
        </w:rPr>
        <w:t xml:space="preserve"> </w:t>
      </w:r>
    </w:p>
    <w:p w14:paraId="6B2F4B8F">
      <w:pPr>
        <w:pStyle w:val="7"/>
        <w:keepNext w:val="0"/>
        <w:keepLines w:val="0"/>
        <w:widowControl/>
        <w:suppressLineNumbers w:val="0"/>
        <w:spacing w:before="75" w:beforeAutospacing="0" w:after="75" w:afterAutospacing="0" w:line="240" w:lineRule="auto"/>
        <w:ind w:left="0" w:right="0" w:firstLine="720"/>
        <w:rPr>
          <w:rFonts w:hint="eastAsia" w:eastAsia="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供应商代表电子信箱：</w:t>
      </w:r>
      <w:r>
        <w:rPr>
          <w:rFonts w:hint="eastAsia" w:ascii="宋体" w:hAnsi="宋体" w:eastAsia="宋体" w:cs="宋体"/>
          <w:color w:val="000000" w:themeColor="text1"/>
          <w:spacing w:val="0"/>
          <w:sz w:val="24"/>
          <w:szCs w:val="24"/>
          <w:highlight w:val="none"/>
          <w:u w:val="single"/>
          <w14:textFill>
            <w14:solidFill>
              <w14:schemeClr w14:val="tx1"/>
            </w14:solidFill>
          </w14:textFill>
        </w:rPr>
        <w:t xml:space="preserve">                                  </w:t>
      </w:r>
      <w:r>
        <w:rPr>
          <w:rFonts w:hint="eastAsia" w:ascii="宋体" w:hAnsi="宋体" w:cs="宋体"/>
          <w:color w:val="000000" w:themeColor="text1"/>
          <w:spacing w:val="0"/>
          <w:sz w:val="24"/>
          <w:szCs w:val="24"/>
          <w:highlight w:val="none"/>
          <w:u w:val="single"/>
          <w:lang w:val="en-US" w:eastAsia="zh-CN"/>
          <w14:textFill>
            <w14:solidFill>
              <w14:schemeClr w14:val="tx1"/>
            </w14:solidFill>
          </w14:textFill>
        </w:rPr>
        <w:t xml:space="preserve"> </w:t>
      </w:r>
    </w:p>
    <w:p w14:paraId="1DF951AB">
      <w:pPr>
        <w:pStyle w:val="7"/>
        <w:keepNext w:val="0"/>
        <w:keepLines w:val="0"/>
        <w:widowControl/>
        <w:suppressLineNumbers w:val="0"/>
        <w:spacing w:before="75" w:beforeAutospacing="0" w:after="75" w:afterAutospacing="0" w:line="240" w:lineRule="auto"/>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供应商：</w:t>
      </w:r>
      <w:r>
        <w:rPr>
          <w:rFonts w:hint="eastAsia" w:ascii="宋体" w:hAnsi="宋体" w:eastAsia="宋体" w:cs="宋体"/>
          <w:color w:val="000000" w:themeColor="text1"/>
          <w:spacing w:val="0"/>
          <w:sz w:val="24"/>
          <w:szCs w:val="24"/>
          <w:highlight w:val="none"/>
          <w:u w:val="single"/>
          <w14:textFill>
            <w14:solidFill>
              <w14:schemeClr w14:val="tx1"/>
            </w14:solidFill>
          </w14:textFill>
        </w:rPr>
        <w:t>         （全称并加盖公章）              </w:t>
      </w:r>
    </w:p>
    <w:p w14:paraId="1C01BF1F">
      <w:pPr>
        <w:pStyle w:val="7"/>
        <w:keepNext w:val="0"/>
        <w:keepLines w:val="0"/>
        <w:widowControl/>
        <w:suppressLineNumbers w:val="0"/>
        <w:spacing w:before="75" w:beforeAutospacing="0" w:after="75" w:afterAutospacing="0" w:line="240" w:lineRule="auto"/>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日 期：</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w:t>
      </w:r>
    </w:p>
    <w:p w14:paraId="143C874E">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27469026">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p>
    <w:p w14:paraId="6F051365">
      <w:pPr>
        <w:pStyle w:val="7"/>
        <w:keepNext w:val="0"/>
        <w:keepLines w:val="0"/>
        <w:widowControl/>
        <w:suppressLineNumbers w:val="0"/>
        <w:spacing w:before="75" w:beforeAutospacing="0" w:after="75" w:afterAutospacing="0" w:line="375" w:lineRule="atLeast"/>
        <w:ind w:left="0" w:right="0" w:firstLine="0"/>
        <w:rPr>
          <w:color w:val="000000" w:themeColor="text1"/>
          <w:highlight w:val="none"/>
          <w14:textFill>
            <w14:solidFill>
              <w14:schemeClr w14:val="tx1"/>
            </w14:solidFill>
          </w14:textFill>
        </w:rPr>
      </w:pPr>
      <w:r>
        <w:rPr>
          <w:rStyle w:val="12"/>
          <w:rFonts w:ascii="仿宋_GB2312" w:eastAsia="仿宋_GB2312" w:cs="仿宋_GB2312"/>
          <w:b/>
          <w:bCs/>
          <w:color w:val="000000" w:themeColor="text1"/>
          <w:spacing w:val="0"/>
          <w:sz w:val="24"/>
          <w:szCs w:val="24"/>
          <w:highlight w:val="none"/>
          <w14:textFill>
            <w14:solidFill>
              <w14:schemeClr w14:val="tx1"/>
            </w14:solidFill>
          </w14:textFill>
        </w:rPr>
        <w:t> </w:t>
      </w:r>
    </w:p>
    <w:p w14:paraId="74D49F5A">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732E7000">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br w:type="page"/>
      </w:r>
      <w:r>
        <w:rPr>
          <w:rFonts w:hint="eastAsia" w:ascii="宋体" w:hAnsi="宋体" w:eastAsia="宋体" w:cs="宋体"/>
          <w:color w:val="000000" w:themeColor="text1"/>
          <w:spacing w:val="0"/>
          <w:sz w:val="24"/>
          <w:szCs w:val="24"/>
          <w:highlight w:val="none"/>
          <w14:textFill>
            <w14:solidFill>
              <w14:schemeClr w14:val="tx1"/>
            </w14:solidFill>
          </w14:textFill>
        </w:rPr>
        <w:t>附件2</w:t>
      </w:r>
      <w:r>
        <w:rPr>
          <w:rFonts w:hint="eastAsia" w:ascii="宋体" w:hAnsi="宋体" w:eastAsia="宋体" w:cs="宋体"/>
          <w:color w:val="000000" w:themeColor="text1"/>
          <w:spacing w:val="0"/>
          <w:sz w:val="28"/>
          <w:szCs w:val="28"/>
          <w:highlight w:val="none"/>
          <w14:textFill>
            <w14:solidFill>
              <w14:schemeClr w14:val="tx1"/>
            </w14:solidFill>
          </w14:textFill>
        </w:rPr>
        <w:t>             </w:t>
      </w: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报价一览表</w:t>
      </w:r>
    </w:p>
    <w:p w14:paraId="278225F3">
      <w:pPr>
        <w:pStyle w:val="7"/>
        <w:keepNext w:val="0"/>
        <w:keepLines w:val="0"/>
        <w:widowControl/>
        <w:suppressLineNumbers w:val="0"/>
        <w:spacing w:before="75" w:beforeAutospacing="0" w:after="75" w:afterAutospacing="0" w:line="37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10284E25">
      <w:pPr>
        <w:pStyle w:val="7"/>
        <w:keepNext w:val="0"/>
        <w:keepLines w:val="0"/>
        <w:widowControl/>
        <w:suppressLineNumbers w:val="0"/>
        <w:spacing w:before="75" w:beforeAutospacing="0" w:after="75" w:afterAutospacing="0" w:line="37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供应商名称：</w:t>
      </w:r>
      <w:r>
        <w:rPr>
          <w:rFonts w:hint="eastAsia" w:ascii="宋体" w:hAnsi="宋体" w:eastAsia="宋体" w:cs="宋体"/>
          <w:color w:val="000000" w:themeColor="text1"/>
          <w:spacing w:val="0"/>
          <w:sz w:val="24"/>
          <w:szCs w:val="24"/>
          <w:highlight w:val="none"/>
          <w:u w:val="single"/>
          <w14:textFill>
            <w14:solidFill>
              <w14:schemeClr w14:val="tx1"/>
            </w14:solidFill>
          </w14:textFill>
        </w:rPr>
        <w:t>（全称加盖单位公章）</w:t>
      </w:r>
      <w:r>
        <w:rPr>
          <w:rFonts w:hint="eastAsia" w:ascii="宋体" w:hAnsi="宋体" w:eastAsia="宋体" w:cs="宋体"/>
          <w:color w:val="000000" w:themeColor="text1"/>
          <w:spacing w:val="0"/>
          <w:sz w:val="24"/>
          <w:szCs w:val="24"/>
          <w:highlight w:val="none"/>
          <w14:textFill>
            <w14:solidFill>
              <w14:schemeClr w14:val="tx1"/>
            </w14:solidFill>
          </w14:textFill>
        </w:rPr>
        <w:t>项目编号∶</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 货币单位：元人民币</w:t>
      </w:r>
    </w:p>
    <w:tbl>
      <w:tblPr>
        <w:tblStyle w:val="10"/>
        <w:tblW w:w="9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37"/>
        <w:gridCol w:w="3756"/>
        <w:gridCol w:w="2355"/>
        <w:gridCol w:w="1806"/>
        <w:gridCol w:w="995"/>
      </w:tblGrid>
      <w:tr w14:paraId="7F5F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1037" w:type="dxa"/>
            <w:noWrap w:val="0"/>
            <w:tcMar>
              <w:top w:w="0" w:type="dxa"/>
              <w:left w:w="105" w:type="dxa"/>
              <w:bottom w:w="0" w:type="dxa"/>
              <w:right w:w="105" w:type="dxa"/>
            </w:tcMar>
            <w:vAlign w:val="center"/>
          </w:tcPr>
          <w:p w14:paraId="27787050">
            <w:pPr>
              <w:pStyle w:val="7"/>
              <w:keepNext w:val="0"/>
              <w:keepLines w:val="0"/>
              <w:widowControl/>
              <w:suppressLineNumbers w:val="0"/>
              <w:spacing w:before="0" w:beforeAutospacing="0" w:after="0" w:afterAutospacing="0" w:line="465" w:lineRule="atLeast"/>
              <w:ind w:left="0" w:right="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合同包</w:t>
            </w:r>
          </w:p>
        </w:tc>
        <w:tc>
          <w:tcPr>
            <w:tcW w:w="3756" w:type="dxa"/>
            <w:noWrap w:val="0"/>
            <w:tcMar>
              <w:top w:w="0" w:type="dxa"/>
              <w:left w:w="105" w:type="dxa"/>
              <w:bottom w:w="0" w:type="dxa"/>
              <w:right w:w="105" w:type="dxa"/>
            </w:tcMar>
            <w:vAlign w:val="center"/>
          </w:tcPr>
          <w:p w14:paraId="7EDE33D8">
            <w:pPr>
              <w:pStyle w:val="7"/>
              <w:keepNext w:val="0"/>
              <w:keepLines w:val="0"/>
              <w:widowControl/>
              <w:suppressLineNumbers w:val="0"/>
              <w:spacing w:before="0" w:beforeAutospacing="0" w:after="0" w:afterAutospacing="0" w:line="465" w:lineRule="atLeast"/>
              <w:ind w:left="0" w:right="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首次报价</w:t>
            </w:r>
          </w:p>
        </w:tc>
        <w:tc>
          <w:tcPr>
            <w:tcW w:w="2355" w:type="dxa"/>
            <w:noWrap w:val="0"/>
            <w:tcMar>
              <w:top w:w="0" w:type="dxa"/>
              <w:left w:w="105" w:type="dxa"/>
              <w:bottom w:w="0" w:type="dxa"/>
              <w:right w:w="105" w:type="dxa"/>
            </w:tcMar>
            <w:vAlign w:val="center"/>
          </w:tcPr>
          <w:p w14:paraId="612A41B7">
            <w:pPr>
              <w:pStyle w:val="7"/>
              <w:keepNext w:val="0"/>
              <w:keepLines w:val="0"/>
              <w:widowControl/>
              <w:suppressLineNumbers w:val="0"/>
              <w:spacing w:before="0" w:beforeAutospacing="0" w:after="0" w:afterAutospacing="0" w:line="465" w:lineRule="atLeast"/>
              <w:ind w:left="0" w:right="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交货期/工期/项目完成时间/服务时间</w:t>
            </w:r>
          </w:p>
        </w:tc>
        <w:tc>
          <w:tcPr>
            <w:tcW w:w="1806" w:type="dxa"/>
            <w:noWrap w:val="0"/>
            <w:tcMar>
              <w:top w:w="0" w:type="dxa"/>
              <w:left w:w="105" w:type="dxa"/>
              <w:bottom w:w="0" w:type="dxa"/>
              <w:right w:w="105" w:type="dxa"/>
            </w:tcMar>
            <w:vAlign w:val="center"/>
          </w:tcPr>
          <w:p w14:paraId="272EACCF">
            <w:pPr>
              <w:pStyle w:val="7"/>
              <w:keepNext w:val="0"/>
              <w:keepLines w:val="0"/>
              <w:widowControl/>
              <w:suppressLineNumbers w:val="0"/>
              <w:spacing w:before="0" w:beforeAutospacing="0" w:after="0" w:afterAutospacing="0" w:line="465" w:lineRule="atLeast"/>
              <w:ind w:left="0" w:right="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磋商保证金</w:t>
            </w:r>
          </w:p>
        </w:tc>
        <w:tc>
          <w:tcPr>
            <w:tcW w:w="995" w:type="dxa"/>
            <w:noWrap w:val="0"/>
            <w:tcMar>
              <w:top w:w="0" w:type="dxa"/>
              <w:left w:w="105" w:type="dxa"/>
              <w:bottom w:w="0" w:type="dxa"/>
              <w:right w:w="105" w:type="dxa"/>
            </w:tcMar>
            <w:vAlign w:val="center"/>
          </w:tcPr>
          <w:p w14:paraId="25CBE74B">
            <w:pPr>
              <w:pStyle w:val="7"/>
              <w:keepNext w:val="0"/>
              <w:keepLines w:val="0"/>
              <w:widowControl/>
              <w:suppressLineNumbers w:val="0"/>
              <w:spacing w:before="0" w:beforeAutospacing="0" w:after="0" w:afterAutospacing="0" w:line="465" w:lineRule="atLeast"/>
              <w:ind w:left="0" w:right="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备注</w:t>
            </w:r>
          </w:p>
        </w:tc>
      </w:tr>
      <w:tr w14:paraId="330F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1037" w:type="dxa"/>
            <w:noWrap w:val="0"/>
            <w:tcMar>
              <w:top w:w="0" w:type="dxa"/>
              <w:left w:w="105" w:type="dxa"/>
              <w:bottom w:w="0" w:type="dxa"/>
              <w:right w:w="105" w:type="dxa"/>
            </w:tcMar>
            <w:vAlign w:val="center"/>
          </w:tcPr>
          <w:p w14:paraId="7B013E36">
            <w:pPr>
              <w:pStyle w:val="7"/>
              <w:keepNext w:val="0"/>
              <w:keepLines w:val="0"/>
              <w:widowControl/>
              <w:suppressLineNumbers w:val="0"/>
              <w:spacing w:before="0" w:beforeAutospacing="0" w:after="0" w:afterAutospacing="0" w:line="465" w:lineRule="atLeast"/>
              <w:ind w:left="0" w:right="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w:t>
            </w:r>
          </w:p>
        </w:tc>
        <w:tc>
          <w:tcPr>
            <w:tcW w:w="3756" w:type="dxa"/>
            <w:noWrap w:val="0"/>
            <w:tcMar>
              <w:top w:w="0" w:type="dxa"/>
              <w:left w:w="105" w:type="dxa"/>
              <w:bottom w:w="0" w:type="dxa"/>
              <w:right w:w="105" w:type="dxa"/>
            </w:tcMar>
            <w:vAlign w:val="center"/>
          </w:tcPr>
          <w:p w14:paraId="079AB963">
            <w:pPr>
              <w:keepNext w:val="0"/>
              <w:keepLines w:val="0"/>
              <w:widowControl/>
              <w:suppressLineNumbers w:val="0"/>
              <w:jc w:val="left"/>
              <w:rPr>
                <w:color w:val="000000" w:themeColor="text1"/>
                <w:highlight w:val="none"/>
                <w14:textFill>
                  <w14:solidFill>
                    <w14:schemeClr w14:val="tx1"/>
                  </w14:solidFill>
                </w14:textFill>
              </w:rPr>
            </w:pPr>
          </w:p>
        </w:tc>
        <w:tc>
          <w:tcPr>
            <w:tcW w:w="2355" w:type="dxa"/>
            <w:noWrap w:val="0"/>
            <w:tcMar>
              <w:top w:w="0" w:type="dxa"/>
              <w:left w:w="105" w:type="dxa"/>
              <w:bottom w:w="0" w:type="dxa"/>
              <w:right w:w="105" w:type="dxa"/>
            </w:tcMar>
            <w:vAlign w:val="center"/>
          </w:tcPr>
          <w:p w14:paraId="5D4AC5ED">
            <w:pPr>
              <w:keepNext w:val="0"/>
              <w:keepLines w:val="0"/>
              <w:widowControl/>
              <w:suppressLineNumbers w:val="0"/>
              <w:jc w:val="left"/>
              <w:rPr>
                <w:color w:val="000000" w:themeColor="text1"/>
                <w:highlight w:val="none"/>
                <w14:textFill>
                  <w14:solidFill>
                    <w14:schemeClr w14:val="tx1"/>
                  </w14:solidFill>
                </w14:textFill>
              </w:rPr>
            </w:pPr>
          </w:p>
        </w:tc>
        <w:tc>
          <w:tcPr>
            <w:tcW w:w="1806" w:type="dxa"/>
            <w:noWrap w:val="0"/>
            <w:tcMar>
              <w:top w:w="0" w:type="dxa"/>
              <w:left w:w="105" w:type="dxa"/>
              <w:bottom w:w="0" w:type="dxa"/>
              <w:right w:w="105" w:type="dxa"/>
            </w:tcMar>
            <w:vAlign w:val="center"/>
          </w:tcPr>
          <w:p w14:paraId="7F2E81D5">
            <w:pPr>
              <w:keepNext w:val="0"/>
              <w:keepLines w:val="0"/>
              <w:widowControl/>
              <w:suppressLineNumbers w:val="0"/>
              <w:jc w:val="left"/>
              <w:rPr>
                <w:color w:val="000000" w:themeColor="text1"/>
                <w:highlight w:val="none"/>
                <w14:textFill>
                  <w14:solidFill>
                    <w14:schemeClr w14:val="tx1"/>
                  </w14:solidFill>
                </w14:textFill>
              </w:rPr>
            </w:pPr>
          </w:p>
        </w:tc>
        <w:tc>
          <w:tcPr>
            <w:tcW w:w="995" w:type="dxa"/>
            <w:noWrap w:val="0"/>
            <w:tcMar>
              <w:top w:w="0" w:type="dxa"/>
              <w:left w:w="105" w:type="dxa"/>
              <w:bottom w:w="0" w:type="dxa"/>
              <w:right w:w="105" w:type="dxa"/>
            </w:tcMar>
            <w:vAlign w:val="center"/>
          </w:tcPr>
          <w:p w14:paraId="40660B95">
            <w:pPr>
              <w:keepNext w:val="0"/>
              <w:keepLines w:val="0"/>
              <w:widowControl/>
              <w:suppressLineNumbers w:val="0"/>
              <w:jc w:val="left"/>
              <w:rPr>
                <w:color w:val="000000" w:themeColor="text1"/>
                <w:highlight w:val="none"/>
                <w14:textFill>
                  <w14:solidFill>
                    <w14:schemeClr w14:val="tx1"/>
                  </w14:solidFill>
                </w14:textFill>
              </w:rPr>
            </w:pPr>
          </w:p>
        </w:tc>
      </w:tr>
      <w:tr w14:paraId="2E7E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1037" w:type="dxa"/>
            <w:noWrap w:val="0"/>
            <w:tcMar>
              <w:top w:w="0" w:type="dxa"/>
              <w:left w:w="105" w:type="dxa"/>
              <w:bottom w:w="0" w:type="dxa"/>
              <w:right w:w="105" w:type="dxa"/>
            </w:tcMar>
            <w:vAlign w:val="center"/>
          </w:tcPr>
          <w:p w14:paraId="4C1D2C4C">
            <w:pPr>
              <w:pStyle w:val="7"/>
              <w:keepNext w:val="0"/>
              <w:keepLines w:val="0"/>
              <w:widowControl/>
              <w:suppressLineNumbers w:val="0"/>
              <w:spacing w:before="0" w:beforeAutospacing="0" w:after="0" w:afterAutospacing="0" w:line="465" w:lineRule="atLeast"/>
              <w:ind w:left="0" w:right="0"/>
              <w:jc w:val="center"/>
              <w:rPr>
                <w:color w:val="000000" w:themeColor="text1"/>
                <w:highlight w:val="none"/>
                <w14:textFill>
                  <w14:solidFill>
                    <w14:schemeClr w14:val="tx1"/>
                  </w14:solidFill>
                </w14:textFill>
              </w:rPr>
            </w:pPr>
            <w:r>
              <w:rPr>
                <w:rFonts w:hint="default" w:ascii="Calibri" w:hAnsi="Calibri" w:cs="Calibri"/>
                <w:color w:val="000000" w:themeColor="text1"/>
                <w:spacing w:val="0"/>
                <w:sz w:val="21"/>
                <w:szCs w:val="21"/>
                <w:highlight w:val="none"/>
                <w14:textFill>
                  <w14:solidFill>
                    <w14:schemeClr w14:val="tx1"/>
                  </w14:solidFill>
                </w14:textFill>
              </w:rPr>
              <w:t>…</w:t>
            </w:r>
          </w:p>
        </w:tc>
        <w:tc>
          <w:tcPr>
            <w:tcW w:w="3756" w:type="dxa"/>
            <w:noWrap w:val="0"/>
            <w:tcMar>
              <w:top w:w="0" w:type="dxa"/>
              <w:left w:w="105" w:type="dxa"/>
              <w:bottom w:w="0" w:type="dxa"/>
              <w:right w:w="105" w:type="dxa"/>
            </w:tcMar>
            <w:vAlign w:val="center"/>
          </w:tcPr>
          <w:p w14:paraId="5F6F6614">
            <w:pPr>
              <w:keepNext w:val="0"/>
              <w:keepLines w:val="0"/>
              <w:widowControl/>
              <w:suppressLineNumbers w:val="0"/>
              <w:jc w:val="left"/>
              <w:rPr>
                <w:color w:val="000000" w:themeColor="text1"/>
                <w:highlight w:val="none"/>
                <w14:textFill>
                  <w14:solidFill>
                    <w14:schemeClr w14:val="tx1"/>
                  </w14:solidFill>
                </w14:textFill>
              </w:rPr>
            </w:pPr>
          </w:p>
        </w:tc>
        <w:tc>
          <w:tcPr>
            <w:tcW w:w="2355" w:type="dxa"/>
            <w:noWrap w:val="0"/>
            <w:tcMar>
              <w:top w:w="0" w:type="dxa"/>
              <w:left w:w="105" w:type="dxa"/>
              <w:bottom w:w="0" w:type="dxa"/>
              <w:right w:w="105" w:type="dxa"/>
            </w:tcMar>
            <w:vAlign w:val="center"/>
          </w:tcPr>
          <w:p w14:paraId="37D23B3F">
            <w:pPr>
              <w:keepNext w:val="0"/>
              <w:keepLines w:val="0"/>
              <w:widowControl/>
              <w:suppressLineNumbers w:val="0"/>
              <w:jc w:val="left"/>
              <w:rPr>
                <w:color w:val="000000" w:themeColor="text1"/>
                <w:highlight w:val="none"/>
                <w14:textFill>
                  <w14:solidFill>
                    <w14:schemeClr w14:val="tx1"/>
                  </w14:solidFill>
                </w14:textFill>
              </w:rPr>
            </w:pPr>
          </w:p>
        </w:tc>
        <w:tc>
          <w:tcPr>
            <w:tcW w:w="1806" w:type="dxa"/>
            <w:noWrap w:val="0"/>
            <w:tcMar>
              <w:top w:w="0" w:type="dxa"/>
              <w:left w:w="105" w:type="dxa"/>
              <w:bottom w:w="0" w:type="dxa"/>
              <w:right w:w="105" w:type="dxa"/>
            </w:tcMar>
            <w:vAlign w:val="center"/>
          </w:tcPr>
          <w:p w14:paraId="70B21DEC">
            <w:pPr>
              <w:keepNext w:val="0"/>
              <w:keepLines w:val="0"/>
              <w:widowControl/>
              <w:suppressLineNumbers w:val="0"/>
              <w:jc w:val="left"/>
              <w:rPr>
                <w:color w:val="000000" w:themeColor="text1"/>
                <w:highlight w:val="none"/>
                <w14:textFill>
                  <w14:solidFill>
                    <w14:schemeClr w14:val="tx1"/>
                  </w14:solidFill>
                </w14:textFill>
              </w:rPr>
            </w:pPr>
          </w:p>
        </w:tc>
        <w:tc>
          <w:tcPr>
            <w:tcW w:w="995" w:type="dxa"/>
            <w:noWrap w:val="0"/>
            <w:tcMar>
              <w:top w:w="0" w:type="dxa"/>
              <w:left w:w="105" w:type="dxa"/>
              <w:bottom w:w="0" w:type="dxa"/>
              <w:right w:w="105" w:type="dxa"/>
            </w:tcMar>
            <w:vAlign w:val="center"/>
          </w:tcPr>
          <w:p w14:paraId="635B366B">
            <w:pPr>
              <w:keepNext w:val="0"/>
              <w:keepLines w:val="0"/>
              <w:widowControl/>
              <w:suppressLineNumbers w:val="0"/>
              <w:jc w:val="left"/>
              <w:rPr>
                <w:color w:val="000000" w:themeColor="text1"/>
                <w:highlight w:val="none"/>
                <w14:textFill>
                  <w14:solidFill>
                    <w14:schemeClr w14:val="tx1"/>
                  </w14:solidFill>
                </w14:textFill>
              </w:rPr>
            </w:pPr>
          </w:p>
        </w:tc>
      </w:tr>
      <w:tr w14:paraId="78F1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1037" w:type="dxa"/>
            <w:noWrap w:val="0"/>
            <w:tcMar>
              <w:top w:w="0" w:type="dxa"/>
              <w:left w:w="105" w:type="dxa"/>
              <w:bottom w:w="0" w:type="dxa"/>
              <w:right w:w="105" w:type="dxa"/>
            </w:tcMar>
            <w:vAlign w:val="center"/>
          </w:tcPr>
          <w:p w14:paraId="347B4EF7">
            <w:pPr>
              <w:pStyle w:val="7"/>
              <w:keepNext w:val="0"/>
              <w:keepLines w:val="0"/>
              <w:widowControl/>
              <w:suppressLineNumbers w:val="0"/>
              <w:spacing w:before="0" w:beforeAutospacing="0" w:after="0" w:afterAutospacing="0" w:line="465" w:lineRule="atLeast"/>
              <w:ind w:left="0" w:right="0"/>
              <w:jc w:val="center"/>
              <w:rPr>
                <w:color w:val="000000" w:themeColor="text1"/>
                <w:highlight w:val="none"/>
                <w14:textFill>
                  <w14:solidFill>
                    <w14:schemeClr w14:val="tx1"/>
                  </w14:solidFill>
                </w14:textFill>
              </w:rPr>
            </w:pPr>
            <w:r>
              <w:rPr>
                <w:rFonts w:hint="default" w:ascii="Calibri" w:hAnsi="Calibri" w:cs="Calibri"/>
                <w:color w:val="000000" w:themeColor="text1"/>
                <w:spacing w:val="0"/>
                <w:sz w:val="21"/>
                <w:szCs w:val="21"/>
                <w:highlight w:val="none"/>
                <w14:textFill>
                  <w14:solidFill>
                    <w14:schemeClr w14:val="tx1"/>
                  </w14:solidFill>
                </w14:textFill>
              </w:rPr>
              <w:t>…</w:t>
            </w:r>
          </w:p>
        </w:tc>
        <w:tc>
          <w:tcPr>
            <w:tcW w:w="3756" w:type="dxa"/>
            <w:noWrap w:val="0"/>
            <w:tcMar>
              <w:top w:w="0" w:type="dxa"/>
              <w:left w:w="105" w:type="dxa"/>
              <w:bottom w:w="0" w:type="dxa"/>
              <w:right w:w="105" w:type="dxa"/>
            </w:tcMar>
            <w:vAlign w:val="center"/>
          </w:tcPr>
          <w:p w14:paraId="7BD98D2A">
            <w:pPr>
              <w:keepNext w:val="0"/>
              <w:keepLines w:val="0"/>
              <w:widowControl/>
              <w:suppressLineNumbers w:val="0"/>
              <w:jc w:val="left"/>
              <w:rPr>
                <w:color w:val="000000" w:themeColor="text1"/>
                <w:highlight w:val="none"/>
                <w14:textFill>
                  <w14:solidFill>
                    <w14:schemeClr w14:val="tx1"/>
                  </w14:solidFill>
                </w14:textFill>
              </w:rPr>
            </w:pPr>
          </w:p>
        </w:tc>
        <w:tc>
          <w:tcPr>
            <w:tcW w:w="2355" w:type="dxa"/>
            <w:noWrap w:val="0"/>
            <w:tcMar>
              <w:top w:w="0" w:type="dxa"/>
              <w:left w:w="105" w:type="dxa"/>
              <w:bottom w:w="0" w:type="dxa"/>
              <w:right w:w="105" w:type="dxa"/>
            </w:tcMar>
            <w:vAlign w:val="center"/>
          </w:tcPr>
          <w:p w14:paraId="3BE38D0E">
            <w:pPr>
              <w:keepNext w:val="0"/>
              <w:keepLines w:val="0"/>
              <w:widowControl/>
              <w:suppressLineNumbers w:val="0"/>
              <w:jc w:val="left"/>
              <w:rPr>
                <w:color w:val="000000" w:themeColor="text1"/>
                <w:highlight w:val="none"/>
                <w14:textFill>
                  <w14:solidFill>
                    <w14:schemeClr w14:val="tx1"/>
                  </w14:solidFill>
                </w14:textFill>
              </w:rPr>
            </w:pPr>
          </w:p>
        </w:tc>
        <w:tc>
          <w:tcPr>
            <w:tcW w:w="1806" w:type="dxa"/>
            <w:noWrap w:val="0"/>
            <w:tcMar>
              <w:top w:w="0" w:type="dxa"/>
              <w:left w:w="105" w:type="dxa"/>
              <w:bottom w:w="0" w:type="dxa"/>
              <w:right w:w="105" w:type="dxa"/>
            </w:tcMar>
            <w:vAlign w:val="center"/>
          </w:tcPr>
          <w:p w14:paraId="213473E9">
            <w:pPr>
              <w:keepNext w:val="0"/>
              <w:keepLines w:val="0"/>
              <w:widowControl/>
              <w:suppressLineNumbers w:val="0"/>
              <w:jc w:val="left"/>
              <w:rPr>
                <w:color w:val="000000" w:themeColor="text1"/>
                <w:highlight w:val="none"/>
                <w14:textFill>
                  <w14:solidFill>
                    <w14:schemeClr w14:val="tx1"/>
                  </w14:solidFill>
                </w14:textFill>
              </w:rPr>
            </w:pPr>
          </w:p>
        </w:tc>
        <w:tc>
          <w:tcPr>
            <w:tcW w:w="995" w:type="dxa"/>
            <w:noWrap w:val="0"/>
            <w:tcMar>
              <w:top w:w="0" w:type="dxa"/>
              <w:left w:w="105" w:type="dxa"/>
              <w:bottom w:w="0" w:type="dxa"/>
              <w:right w:w="105" w:type="dxa"/>
            </w:tcMar>
            <w:vAlign w:val="center"/>
          </w:tcPr>
          <w:p w14:paraId="79E419C4">
            <w:pPr>
              <w:keepNext w:val="0"/>
              <w:keepLines w:val="0"/>
              <w:widowControl/>
              <w:suppressLineNumbers w:val="0"/>
              <w:jc w:val="left"/>
              <w:rPr>
                <w:color w:val="000000" w:themeColor="text1"/>
                <w:highlight w:val="none"/>
                <w14:textFill>
                  <w14:solidFill>
                    <w14:schemeClr w14:val="tx1"/>
                  </w14:solidFill>
                </w14:textFill>
              </w:rPr>
            </w:pPr>
          </w:p>
        </w:tc>
      </w:tr>
      <w:tr w14:paraId="4650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1037" w:type="dxa"/>
            <w:noWrap w:val="0"/>
            <w:tcMar>
              <w:top w:w="0" w:type="dxa"/>
              <w:left w:w="105" w:type="dxa"/>
              <w:bottom w:w="0" w:type="dxa"/>
              <w:right w:w="105" w:type="dxa"/>
            </w:tcMar>
            <w:vAlign w:val="center"/>
          </w:tcPr>
          <w:p w14:paraId="34056923">
            <w:pPr>
              <w:pStyle w:val="7"/>
              <w:keepNext w:val="0"/>
              <w:keepLines w:val="0"/>
              <w:widowControl/>
              <w:suppressLineNumbers w:val="0"/>
              <w:spacing w:before="0" w:beforeAutospacing="0" w:after="0" w:afterAutospacing="0" w:line="465" w:lineRule="atLeast"/>
              <w:ind w:left="0" w:right="0"/>
              <w:jc w:val="center"/>
              <w:rPr>
                <w:color w:val="000000" w:themeColor="text1"/>
                <w:highlight w:val="none"/>
                <w14:textFill>
                  <w14:solidFill>
                    <w14:schemeClr w14:val="tx1"/>
                  </w14:solidFill>
                </w14:textFill>
              </w:rPr>
            </w:pPr>
            <w:r>
              <w:rPr>
                <w:rFonts w:hint="default" w:ascii="Calibri" w:hAnsi="Calibri" w:cs="Calibri"/>
                <w:color w:val="000000" w:themeColor="text1"/>
                <w:spacing w:val="0"/>
                <w:sz w:val="21"/>
                <w:szCs w:val="21"/>
                <w:highlight w:val="none"/>
                <w14:textFill>
                  <w14:solidFill>
                    <w14:schemeClr w14:val="tx1"/>
                  </w14:solidFill>
                </w14:textFill>
              </w:rPr>
              <w:t>…</w:t>
            </w:r>
          </w:p>
        </w:tc>
        <w:tc>
          <w:tcPr>
            <w:tcW w:w="3756" w:type="dxa"/>
            <w:noWrap w:val="0"/>
            <w:tcMar>
              <w:top w:w="0" w:type="dxa"/>
              <w:left w:w="105" w:type="dxa"/>
              <w:bottom w:w="0" w:type="dxa"/>
              <w:right w:w="105" w:type="dxa"/>
            </w:tcMar>
            <w:vAlign w:val="center"/>
          </w:tcPr>
          <w:p w14:paraId="39F71CC3">
            <w:pPr>
              <w:keepNext w:val="0"/>
              <w:keepLines w:val="0"/>
              <w:widowControl/>
              <w:suppressLineNumbers w:val="0"/>
              <w:jc w:val="left"/>
              <w:rPr>
                <w:color w:val="000000" w:themeColor="text1"/>
                <w:highlight w:val="none"/>
                <w14:textFill>
                  <w14:solidFill>
                    <w14:schemeClr w14:val="tx1"/>
                  </w14:solidFill>
                </w14:textFill>
              </w:rPr>
            </w:pPr>
          </w:p>
        </w:tc>
        <w:tc>
          <w:tcPr>
            <w:tcW w:w="2355" w:type="dxa"/>
            <w:noWrap w:val="0"/>
            <w:tcMar>
              <w:top w:w="0" w:type="dxa"/>
              <w:left w:w="105" w:type="dxa"/>
              <w:bottom w:w="0" w:type="dxa"/>
              <w:right w:w="105" w:type="dxa"/>
            </w:tcMar>
            <w:vAlign w:val="center"/>
          </w:tcPr>
          <w:p w14:paraId="4B42D61D">
            <w:pPr>
              <w:keepNext w:val="0"/>
              <w:keepLines w:val="0"/>
              <w:widowControl/>
              <w:suppressLineNumbers w:val="0"/>
              <w:jc w:val="left"/>
              <w:rPr>
                <w:color w:val="000000" w:themeColor="text1"/>
                <w:highlight w:val="none"/>
                <w14:textFill>
                  <w14:solidFill>
                    <w14:schemeClr w14:val="tx1"/>
                  </w14:solidFill>
                </w14:textFill>
              </w:rPr>
            </w:pPr>
          </w:p>
        </w:tc>
        <w:tc>
          <w:tcPr>
            <w:tcW w:w="1806" w:type="dxa"/>
            <w:noWrap w:val="0"/>
            <w:tcMar>
              <w:top w:w="0" w:type="dxa"/>
              <w:left w:w="105" w:type="dxa"/>
              <w:bottom w:w="0" w:type="dxa"/>
              <w:right w:w="105" w:type="dxa"/>
            </w:tcMar>
            <w:vAlign w:val="center"/>
          </w:tcPr>
          <w:p w14:paraId="3CB74A73">
            <w:pPr>
              <w:keepNext w:val="0"/>
              <w:keepLines w:val="0"/>
              <w:widowControl/>
              <w:suppressLineNumbers w:val="0"/>
              <w:jc w:val="left"/>
              <w:rPr>
                <w:color w:val="000000" w:themeColor="text1"/>
                <w:highlight w:val="none"/>
                <w14:textFill>
                  <w14:solidFill>
                    <w14:schemeClr w14:val="tx1"/>
                  </w14:solidFill>
                </w14:textFill>
              </w:rPr>
            </w:pPr>
          </w:p>
        </w:tc>
        <w:tc>
          <w:tcPr>
            <w:tcW w:w="995" w:type="dxa"/>
            <w:noWrap w:val="0"/>
            <w:tcMar>
              <w:top w:w="0" w:type="dxa"/>
              <w:left w:w="105" w:type="dxa"/>
              <w:bottom w:w="0" w:type="dxa"/>
              <w:right w:w="105" w:type="dxa"/>
            </w:tcMar>
            <w:vAlign w:val="center"/>
          </w:tcPr>
          <w:p w14:paraId="400BC3E7">
            <w:pPr>
              <w:keepNext w:val="0"/>
              <w:keepLines w:val="0"/>
              <w:widowControl/>
              <w:suppressLineNumbers w:val="0"/>
              <w:jc w:val="left"/>
              <w:rPr>
                <w:color w:val="000000" w:themeColor="text1"/>
                <w:highlight w:val="none"/>
                <w14:textFill>
                  <w14:solidFill>
                    <w14:schemeClr w14:val="tx1"/>
                  </w14:solidFill>
                </w14:textFill>
              </w:rPr>
            </w:pPr>
          </w:p>
        </w:tc>
      </w:tr>
      <w:tr w14:paraId="4A81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rPr>
        <w:tc>
          <w:tcPr>
            <w:tcW w:w="1037" w:type="dxa"/>
            <w:noWrap w:val="0"/>
            <w:tcMar>
              <w:top w:w="0" w:type="dxa"/>
              <w:left w:w="105" w:type="dxa"/>
              <w:bottom w:w="0" w:type="dxa"/>
              <w:right w:w="105" w:type="dxa"/>
            </w:tcMar>
            <w:vAlign w:val="center"/>
          </w:tcPr>
          <w:p w14:paraId="509A9884">
            <w:pPr>
              <w:pStyle w:val="7"/>
              <w:keepNext w:val="0"/>
              <w:keepLines w:val="0"/>
              <w:widowControl/>
              <w:suppressLineNumbers w:val="0"/>
              <w:spacing w:before="0" w:beforeAutospacing="0" w:after="0" w:afterAutospacing="0" w:line="465" w:lineRule="atLeast"/>
              <w:ind w:left="0" w:right="0"/>
              <w:jc w:val="center"/>
              <w:rPr>
                <w:color w:val="000000" w:themeColor="text1"/>
                <w:highlight w:val="none"/>
                <w14:textFill>
                  <w14:solidFill>
                    <w14:schemeClr w14:val="tx1"/>
                  </w14:solidFill>
                </w14:textFill>
              </w:rPr>
            </w:pPr>
            <w:r>
              <w:rPr>
                <w:rFonts w:hint="default" w:ascii="Calibri" w:hAnsi="Calibri" w:cs="Calibri"/>
                <w:color w:val="000000" w:themeColor="text1"/>
                <w:spacing w:val="0"/>
                <w:sz w:val="21"/>
                <w:szCs w:val="21"/>
                <w:highlight w:val="none"/>
                <w14:textFill>
                  <w14:solidFill>
                    <w14:schemeClr w14:val="tx1"/>
                  </w14:solidFill>
                </w14:textFill>
              </w:rPr>
              <w:t>…</w:t>
            </w:r>
          </w:p>
        </w:tc>
        <w:tc>
          <w:tcPr>
            <w:tcW w:w="3756" w:type="dxa"/>
            <w:noWrap w:val="0"/>
            <w:tcMar>
              <w:top w:w="0" w:type="dxa"/>
              <w:left w:w="105" w:type="dxa"/>
              <w:bottom w:w="0" w:type="dxa"/>
              <w:right w:w="105" w:type="dxa"/>
            </w:tcMar>
            <w:vAlign w:val="center"/>
          </w:tcPr>
          <w:p w14:paraId="73E0E28A">
            <w:pPr>
              <w:keepNext w:val="0"/>
              <w:keepLines w:val="0"/>
              <w:widowControl/>
              <w:suppressLineNumbers w:val="0"/>
              <w:jc w:val="left"/>
              <w:rPr>
                <w:color w:val="000000" w:themeColor="text1"/>
                <w:highlight w:val="none"/>
                <w14:textFill>
                  <w14:solidFill>
                    <w14:schemeClr w14:val="tx1"/>
                  </w14:solidFill>
                </w14:textFill>
              </w:rPr>
            </w:pPr>
          </w:p>
        </w:tc>
        <w:tc>
          <w:tcPr>
            <w:tcW w:w="2355" w:type="dxa"/>
            <w:noWrap w:val="0"/>
            <w:tcMar>
              <w:top w:w="0" w:type="dxa"/>
              <w:left w:w="105" w:type="dxa"/>
              <w:bottom w:w="0" w:type="dxa"/>
              <w:right w:w="105" w:type="dxa"/>
            </w:tcMar>
            <w:vAlign w:val="center"/>
          </w:tcPr>
          <w:p w14:paraId="6A20094C">
            <w:pPr>
              <w:keepNext w:val="0"/>
              <w:keepLines w:val="0"/>
              <w:widowControl/>
              <w:suppressLineNumbers w:val="0"/>
              <w:jc w:val="left"/>
              <w:rPr>
                <w:color w:val="000000" w:themeColor="text1"/>
                <w:highlight w:val="none"/>
                <w14:textFill>
                  <w14:solidFill>
                    <w14:schemeClr w14:val="tx1"/>
                  </w14:solidFill>
                </w14:textFill>
              </w:rPr>
            </w:pPr>
          </w:p>
        </w:tc>
        <w:tc>
          <w:tcPr>
            <w:tcW w:w="1806" w:type="dxa"/>
            <w:noWrap w:val="0"/>
            <w:tcMar>
              <w:top w:w="0" w:type="dxa"/>
              <w:left w:w="105" w:type="dxa"/>
              <w:bottom w:w="0" w:type="dxa"/>
              <w:right w:w="105" w:type="dxa"/>
            </w:tcMar>
            <w:vAlign w:val="center"/>
          </w:tcPr>
          <w:p w14:paraId="25753077">
            <w:pPr>
              <w:keepNext w:val="0"/>
              <w:keepLines w:val="0"/>
              <w:widowControl/>
              <w:suppressLineNumbers w:val="0"/>
              <w:jc w:val="left"/>
              <w:rPr>
                <w:color w:val="000000" w:themeColor="text1"/>
                <w:highlight w:val="none"/>
                <w14:textFill>
                  <w14:solidFill>
                    <w14:schemeClr w14:val="tx1"/>
                  </w14:solidFill>
                </w14:textFill>
              </w:rPr>
            </w:pPr>
          </w:p>
        </w:tc>
        <w:tc>
          <w:tcPr>
            <w:tcW w:w="995" w:type="dxa"/>
            <w:noWrap w:val="0"/>
            <w:tcMar>
              <w:top w:w="0" w:type="dxa"/>
              <w:left w:w="105" w:type="dxa"/>
              <w:bottom w:w="0" w:type="dxa"/>
              <w:right w:w="105" w:type="dxa"/>
            </w:tcMar>
            <w:vAlign w:val="center"/>
          </w:tcPr>
          <w:p w14:paraId="4A32D13C">
            <w:pPr>
              <w:keepNext w:val="0"/>
              <w:keepLines w:val="0"/>
              <w:widowControl/>
              <w:suppressLineNumbers w:val="0"/>
              <w:jc w:val="left"/>
              <w:rPr>
                <w:color w:val="000000" w:themeColor="text1"/>
                <w:highlight w:val="none"/>
                <w14:textFill>
                  <w14:solidFill>
                    <w14:schemeClr w14:val="tx1"/>
                  </w14:solidFill>
                </w14:textFill>
              </w:rPr>
            </w:pPr>
          </w:p>
        </w:tc>
      </w:tr>
    </w:tbl>
    <w:p w14:paraId="61E30CEA">
      <w:pPr>
        <w:pStyle w:val="7"/>
        <w:keepNext w:val="0"/>
        <w:keepLines w:val="0"/>
        <w:widowControl/>
        <w:suppressLineNumbers w:val="0"/>
        <w:spacing w:before="75" w:beforeAutospacing="0" w:after="75" w:afterAutospacing="0" w:line="37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264B9FA6">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备注：详细报价书另纸详列，格式自拟。</w:t>
      </w:r>
    </w:p>
    <w:p w14:paraId="7760C097">
      <w:pPr>
        <w:pStyle w:val="7"/>
        <w:keepNext w:val="0"/>
        <w:keepLines w:val="0"/>
        <w:widowControl/>
        <w:suppressLineNumbers w:val="0"/>
        <w:spacing w:before="75" w:beforeAutospacing="0" w:after="75" w:afterAutospacing="0" w:line="375" w:lineRule="atLeast"/>
        <w:ind w:left="0" w:right="0" w:firstLine="0"/>
        <w:jc w:val="right"/>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（签字）</w:t>
      </w: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4D2A9ABF">
      <w:pPr>
        <w:pStyle w:val="7"/>
        <w:keepNext w:val="0"/>
        <w:keepLines w:val="0"/>
        <w:widowControl/>
        <w:suppressLineNumbers w:val="0"/>
        <w:spacing w:before="75" w:beforeAutospacing="0" w:after="75" w:afterAutospacing="0" w:line="37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28ADC47D">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407C43C4">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25F5D74E">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br w:type="page"/>
      </w:r>
      <w:r>
        <w:rPr>
          <w:rFonts w:hint="eastAsia" w:ascii="宋体" w:hAnsi="宋体" w:eastAsia="宋体" w:cs="宋体"/>
          <w:color w:val="000000" w:themeColor="text1"/>
          <w:spacing w:val="0"/>
          <w:sz w:val="24"/>
          <w:szCs w:val="24"/>
          <w:highlight w:val="none"/>
          <w14:textFill>
            <w14:solidFill>
              <w14:schemeClr w14:val="tx1"/>
            </w14:solidFill>
          </w14:textFill>
        </w:rPr>
        <w:t>附件2-1 </w:t>
      </w:r>
      <w:r>
        <w:rPr>
          <w:rFonts w:hint="eastAsia" w:ascii="宋体" w:hAnsi="宋体" w:eastAsia="宋体" w:cs="宋体"/>
          <w:color w:val="000000" w:themeColor="text1"/>
          <w:spacing w:val="0"/>
          <w:sz w:val="28"/>
          <w:szCs w:val="28"/>
          <w:highlight w:val="none"/>
          <w14:textFill>
            <w14:solidFill>
              <w14:schemeClr w14:val="tx1"/>
            </w14:solidFill>
          </w14:textFill>
        </w:rPr>
        <w:t>               </w:t>
      </w:r>
      <w:r>
        <w:rPr>
          <w:rStyle w:val="12"/>
          <w:rFonts w:hint="eastAsia" w:ascii="宋体" w:hAnsi="宋体" w:eastAsia="宋体" w:cs="宋体"/>
          <w:b/>
          <w:bCs/>
          <w:color w:val="000000" w:themeColor="text1"/>
          <w:spacing w:val="0"/>
          <w:sz w:val="36"/>
          <w:szCs w:val="36"/>
          <w:highlight w:val="none"/>
          <w14:textFill>
            <w14:solidFill>
              <w14:schemeClr w14:val="tx1"/>
            </w14:solidFill>
          </w14:textFill>
        </w:rPr>
        <w:t>详细报价书</w:t>
      </w:r>
    </w:p>
    <w:p w14:paraId="5C87B0FB">
      <w:pPr>
        <w:pStyle w:val="7"/>
        <w:keepNext w:val="0"/>
        <w:keepLines w:val="0"/>
        <w:widowControl/>
        <w:suppressLineNumbers w:val="0"/>
        <w:spacing w:before="75" w:beforeAutospacing="0" w:after="75" w:afterAutospacing="0" w:line="495" w:lineRule="atLeast"/>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p>
    <w:p w14:paraId="1BCBD519">
      <w:pPr>
        <w:pStyle w:val="7"/>
        <w:keepNext w:val="0"/>
        <w:keepLines w:val="0"/>
        <w:widowControl/>
        <w:suppressLineNumbers w:val="0"/>
        <w:spacing w:before="75" w:beforeAutospacing="0" w:after="75" w:afterAutospacing="0" w:line="495" w:lineRule="atLeast"/>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说明：</w:t>
      </w:r>
    </w:p>
    <w:p w14:paraId="3F6B6CE4">
      <w:pPr>
        <w:pStyle w:val="7"/>
        <w:keepNext w:val="0"/>
        <w:keepLines w:val="0"/>
        <w:widowControl/>
        <w:suppressLineNumbers w:val="0"/>
        <w:spacing w:before="75" w:beforeAutospacing="0" w:after="75" w:afterAutospacing="0" w:line="46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各供应商应根据竞争性磋商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14:paraId="58600DA1">
      <w:pPr>
        <w:pStyle w:val="7"/>
        <w:keepNext w:val="0"/>
        <w:keepLines w:val="0"/>
        <w:widowControl/>
        <w:suppressLineNumbers w:val="0"/>
        <w:spacing w:before="75" w:beforeAutospacing="0" w:after="75" w:afterAutospacing="0" w:line="495" w:lineRule="atLeast"/>
        <w:ind w:left="0" w:right="0" w:firstLine="48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4B67297E">
      <w:pPr>
        <w:pStyle w:val="7"/>
        <w:keepNext w:val="0"/>
        <w:keepLines w:val="0"/>
        <w:widowControl/>
        <w:suppressLineNumbers w:val="0"/>
        <w:spacing w:before="75" w:beforeAutospacing="0" w:after="75" w:afterAutospacing="0" w:line="49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14:paraId="594A910A">
      <w:pPr>
        <w:pStyle w:val="7"/>
        <w:keepNext w:val="0"/>
        <w:keepLines w:val="0"/>
        <w:widowControl/>
        <w:suppressLineNumbers w:val="0"/>
        <w:spacing w:before="75" w:beforeAutospacing="0" w:after="75" w:afterAutospacing="0" w:line="495" w:lineRule="atLeast"/>
        <w:ind w:right="0"/>
        <w:rPr>
          <w:color w:val="000000" w:themeColor="text1"/>
          <w:highlight w:val="none"/>
          <w14:textFill>
            <w14:solidFill>
              <w14:schemeClr w14:val="tx1"/>
            </w14:solidFill>
          </w14:textFill>
        </w:rPr>
      </w:pPr>
    </w:p>
    <w:p w14:paraId="343B5970">
      <w:pPr>
        <w:pStyle w:val="7"/>
        <w:keepNext w:val="0"/>
        <w:keepLines w:val="0"/>
        <w:widowControl/>
        <w:suppressLineNumbers w:val="0"/>
        <w:spacing w:before="75" w:beforeAutospacing="0" w:after="75" w:afterAutospacing="0" w:line="435" w:lineRule="atLeast"/>
        <w:ind w:left="0" w:right="0" w:firstLine="480" w:firstLineChars="200"/>
        <w:rPr>
          <w:rFonts w:hint="default" w:ascii="宋体" w:hAnsi="宋体" w:eastAsia="宋体" w:cs="宋体"/>
          <w:b/>
          <w:bCs/>
          <w:color w:val="000000" w:themeColor="text1"/>
          <w:spacing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r>
        <w:rPr>
          <w:rFonts w:hint="eastAsia" w:ascii="宋体" w:hAnsi="宋体" w:cs="宋体"/>
          <w:b/>
          <w:bCs/>
          <w:color w:val="000000" w:themeColor="text1"/>
          <w:spacing w:val="0"/>
          <w:sz w:val="24"/>
          <w:szCs w:val="24"/>
          <w:highlight w:val="none"/>
          <w:lang w:val="en-US" w:eastAsia="zh-CN"/>
          <w14:textFill>
            <w14:solidFill>
              <w14:schemeClr w14:val="tx1"/>
            </w14:solidFill>
          </w14:textFill>
        </w:rPr>
        <w:t>格式参考：</w:t>
      </w:r>
    </w:p>
    <w:tbl>
      <w:tblPr>
        <w:tblStyle w:val="10"/>
        <w:tblpPr w:leftFromText="180" w:rightFromText="180" w:vertAnchor="page" w:horzAnchor="page" w:tblpX="1414" w:tblpY="10944"/>
        <w:tblOverlap w:val="never"/>
        <w:tblW w:w="9491"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34"/>
        <w:gridCol w:w="912"/>
        <w:gridCol w:w="1284"/>
        <w:gridCol w:w="835"/>
        <w:gridCol w:w="1330"/>
        <w:gridCol w:w="1298"/>
        <w:gridCol w:w="1037"/>
        <w:gridCol w:w="866"/>
        <w:gridCol w:w="1195"/>
      </w:tblGrid>
      <w:tr w14:paraId="5FB9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8" w:hRule="atLeast"/>
          <w:tblCellSpacing w:w="15" w:type="dxa"/>
          <w:jc w:val="center"/>
        </w:trPr>
        <w:tc>
          <w:tcPr>
            <w:tcW w:w="689" w:type="dxa"/>
            <w:noWrap w:val="0"/>
            <w:tcMar>
              <w:top w:w="0" w:type="dxa"/>
              <w:left w:w="105" w:type="dxa"/>
              <w:bottom w:w="0" w:type="dxa"/>
              <w:right w:w="105" w:type="dxa"/>
            </w:tcMar>
            <w:vAlign w:val="center"/>
          </w:tcPr>
          <w:p w14:paraId="325C9933">
            <w:pPr>
              <w:widowControl/>
              <w:jc w:val="center"/>
              <w:rPr>
                <w:rFonts w:hAnsi="宋体"/>
                <w:color w:val="000000" w:themeColor="text1"/>
                <w:kern w:val="0"/>
                <w:sz w:val="21"/>
                <w:szCs w:val="21"/>
                <w:highlight w:val="none"/>
                <w14:textFill>
                  <w14:solidFill>
                    <w14:schemeClr w14:val="tx1"/>
                  </w14:solidFill>
                </w14:textFill>
              </w:rPr>
            </w:pPr>
            <w:r>
              <w:rPr>
                <w:rFonts w:hAnsi="宋体"/>
                <w:color w:val="000000" w:themeColor="text1"/>
                <w:kern w:val="0"/>
                <w:sz w:val="21"/>
                <w:szCs w:val="21"/>
                <w:highlight w:val="none"/>
                <w14:textFill>
                  <w14:solidFill>
                    <w14:schemeClr w14:val="tx1"/>
                  </w14:solidFill>
                </w14:textFill>
              </w:rPr>
              <w:t>合</w:t>
            </w:r>
          </w:p>
          <w:p w14:paraId="14DF6F7C">
            <w:pPr>
              <w:widowControl/>
              <w:jc w:val="center"/>
              <w:rPr>
                <w:rFonts w:hAnsi="宋体"/>
                <w:color w:val="000000" w:themeColor="text1"/>
                <w:kern w:val="0"/>
                <w:sz w:val="21"/>
                <w:szCs w:val="21"/>
                <w:highlight w:val="none"/>
                <w14:textFill>
                  <w14:solidFill>
                    <w14:schemeClr w14:val="tx1"/>
                  </w14:solidFill>
                </w14:textFill>
              </w:rPr>
            </w:pPr>
            <w:r>
              <w:rPr>
                <w:rFonts w:hAnsi="宋体"/>
                <w:color w:val="000000" w:themeColor="text1"/>
                <w:kern w:val="0"/>
                <w:sz w:val="21"/>
                <w:szCs w:val="21"/>
                <w:highlight w:val="none"/>
                <w14:textFill>
                  <w14:solidFill>
                    <w14:schemeClr w14:val="tx1"/>
                  </w14:solidFill>
                </w14:textFill>
              </w:rPr>
              <w:t>同</w:t>
            </w:r>
          </w:p>
          <w:p w14:paraId="5D7BEFFC">
            <w:pPr>
              <w:widowControl/>
              <w:jc w:val="center"/>
              <w:rPr>
                <w:color w:val="000000" w:themeColor="text1"/>
                <w:kern w:val="0"/>
                <w:sz w:val="21"/>
                <w:szCs w:val="21"/>
                <w:highlight w:val="none"/>
                <w14:textFill>
                  <w14:solidFill>
                    <w14:schemeClr w14:val="tx1"/>
                  </w14:solidFill>
                </w14:textFill>
              </w:rPr>
            </w:pPr>
            <w:r>
              <w:rPr>
                <w:rFonts w:hAnsi="宋体"/>
                <w:color w:val="000000" w:themeColor="text1"/>
                <w:kern w:val="0"/>
                <w:sz w:val="21"/>
                <w:szCs w:val="21"/>
                <w:highlight w:val="none"/>
                <w14:textFill>
                  <w14:solidFill>
                    <w14:schemeClr w14:val="tx1"/>
                  </w14:solidFill>
                </w14:textFill>
              </w:rPr>
              <w:t>包</w:t>
            </w:r>
          </w:p>
        </w:tc>
        <w:tc>
          <w:tcPr>
            <w:tcW w:w="882" w:type="dxa"/>
            <w:noWrap w:val="0"/>
            <w:tcMar>
              <w:top w:w="0" w:type="dxa"/>
              <w:left w:w="105" w:type="dxa"/>
              <w:bottom w:w="0" w:type="dxa"/>
              <w:right w:w="105" w:type="dxa"/>
            </w:tcMar>
            <w:vAlign w:val="center"/>
          </w:tcPr>
          <w:p w14:paraId="20A76C06">
            <w:pPr>
              <w:widowControl/>
              <w:jc w:val="center"/>
              <w:rPr>
                <w:color w:val="000000" w:themeColor="text1"/>
                <w:kern w:val="0"/>
                <w:sz w:val="21"/>
                <w:szCs w:val="21"/>
                <w:highlight w:val="none"/>
                <w14:textFill>
                  <w14:solidFill>
                    <w14:schemeClr w14:val="tx1"/>
                  </w14:solidFill>
                </w14:textFill>
              </w:rPr>
            </w:pPr>
            <w:r>
              <w:rPr>
                <w:rFonts w:hAnsi="宋体"/>
                <w:color w:val="000000" w:themeColor="text1"/>
                <w:kern w:val="0"/>
                <w:sz w:val="21"/>
                <w:szCs w:val="21"/>
                <w:highlight w:val="none"/>
                <w14:textFill>
                  <w14:solidFill>
                    <w14:schemeClr w14:val="tx1"/>
                  </w14:solidFill>
                </w14:textFill>
              </w:rPr>
              <w:t>品目号</w:t>
            </w:r>
          </w:p>
        </w:tc>
        <w:tc>
          <w:tcPr>
            <w:tcW w:w="1254" w:type="dxa"/>
            <w:noWrap w:val="0"/>
            <w:tcMar>
              <w:top w:w="0" w:type="dxa"/>
              <w:left w:w="105" w:type="dxa"/>
              <w:bottom w:w="0" w:type="dxa"/>
              <w:right w:w="105" w:type="dxa"/>
            </w:tcMar>
            <w:vAlign w:val="center"/>
          </w:tcPr>
          <w:p w14:paraId="513C0E7E">
            <w:pPr>
              <w:widowControl/>
              <w:jc w:val="center"/>
              <w:rPr>
                <w:rFonts w:hint="default" w:eastAsia="宋体"/>
                <w:color w:val="000000" w:themeColor="text1"/>
                <w:kern w:val="0"/>
                <w:sz w:val="21"/>
                <w:szCs w:val="21"/>
                <w:highlight w:val="none"/>
                <w:lang w:val="en-US" w:eastAsia="zh-CN"/>
                <w14:textFill>
                  <w14:solidFill>
                    <w14:schemeClr w14:val="tx1"/>
                  </w14:solidFill>
                </w14:textFill>
              </w:rPr>
            </w:pPr>
            <w:r>
              <w:rPr>
                <w:rFonts w:hint="default" w:eastAsia="宋体"/>
                <w:color w:val="000000" w:themeColor="text1"/>
                <w:kern w:val="0"/>
                <w:sz w:val="21"/>
                <w:szCs w:val="21"/>
                <w:highlight w:val="none"/>
                <w:lang w:val="en-US" w:eastAsia="zh-CN"/>
                <w14:textFill>
                  <w14:solidFill>
                    <w14:schemeClr w14:val="tx1"/>
                  </w14:solidFill>
                </w14:textFill>
              </w:rPr>
              <w:t>采购标的</w:t>
            </w:r>
          </w:p>
        </w:tc>
        <w:tc>
          <w:tcPr>
            <w:tcW w:w="805" w:type="dxa"/>
            <w:noWrap w:val="0"/>
            <w:tcMar>
              <w:top w:w="0" w:type="dxa"/>
              <w:left w:w="105" w:type="dxa"/>
              <w:bottom w:w="0" w:type="dxa"/>
              <w:right w:w="105" w:type="dxa"/>
            </w:tcMar>
            <w:vAlign w:val="center"/>
          </w:tcPr>
          <w:p w14:paraId="1476462D">
            <w:pPr>
              <w:widowControl/>
              <w:jc w:val="center"/>
              <w:rPr>
                <w:rFonts w:hint="default" w:eastAsia="宋体"/>
                <w:color w:val="000000" w:themeColor="text1"/>
                <w:kern w:val="0"/>
                <w:sz w:val="21"/>
                <w:szCs w:val="21"/>
                <w:highlight w:val="none"/>
                <w:lang w:val="en-US" w:eastAsia="zh-CN"/>
                <w14:textFill>
                  <w14:solidFill>
                    <w14:schemeClr w14:val="tx1"/>
                  </w14:solidFill>
                </w14:textFill>
              </w:rPr>
            </w:pPr>
            <w:r>
              <w:rPr>
                <w:rFonts w:hint="eastAsia" w:hAnsi="宋体"/>
                <w:color w:val="000000" w:themeColor="text1"/>
                <w:kern w:val="0"/>
                <w:sz w:val="21"/>
                <w:szCs w:val="21"/>
                <w:highlight w:val="none"/>
                <w:lang w:val="en-US" w:eastAsia="zh-CN"/>
                <w14:textFill>
                  <w14:solidFill>
                    <w14:schemeClr w14:val="tx1"/>
                  </w14:solidFill>
                </w14:textFill>
              </w:rPr>
              <w:t>品牌</w:t>
            </w:r>
          </w:p>
        </w:tc>
        <w:tc>
          <w:tcPr>
            <w:tcW w:w="1300" w:type="dxa"/>
            <w:noWrap w:val="0"/>
            <w:tcMar>
              <w:top w:w="0" w:type="dxa"/>
              <w:left w:w="105" w:type="dxa"/>
              <w:bottom w:w="0" w:type="dxa"/>
              <w:right w:w="105" w:type="dxa"/>
            </w:tcMar>
            <w:vAlign w:val="center"/>
          </w:tcPr>
          <w:p w14:paraId="193F68F7">
            <w:pPr>
              <w:widowControl/>
              <w:jc w:val="center"/>
              <w:rPr>
                <w:rFonts w:hint="default" w:eastAsia="宋体"/>
                <w:color w:val="000000" w:themeColor="text1"/>
                <w:kern w:val="0"/>
                <w:sz w:val="21"/>
                <w:szCs w:val="21"/>
                <w:highlight w:val="none"/>
                <w:lang w:val="en-US" w:eastAsia="zh-CN"/>
                <w14:textFill>
                  <w14:solidFill>
                    <w14:schemeClr w14:val="tx1"/>
                  </w14:solidFill>
                </w14:textFill>
              </w:rPr>
            </w:pPr>
            <w:r>
              <w:rPr>
                <w:rFonts w:hAnsi="宋体"/>
                <w:color w:val="000000" w:themeColor="text1"/>
                <w:kern w:val="0"/>
                <w:sz w:val="21"/>
                <w:szCs w:val="21"/>
                <w:highlight w:val="none"/>
                <w14:textFill>
                  <w14:solidFill>
                    <w14:schemeClr w14:val="tx1"/>
                  </w14:solidFill>
                </w14:textFill>
              </w:rPr>
              <w:t>规格</w:t>
            </w:r>
            <w:r>
              <w:rPr>
                <w:rFonts w:hint="eastAsia" w:hAnsi="宋体"/>
                <w:color w:val="000000" w:themeColor="text1"/>
                <w:kern w:val="0"/>
                <w:sz w:val="21"/>
                <w:szCs w:val="21"/>
                <w:highlight w:val="none"/>
                <w:lang w:val="en-US" w:eastAsia="zh-CN"/>
                <w14:textFill>
                  <w14:solidFill>
                    <w14:schemeClr w14:val="tx1"/>
                  </w14:solidFill>
                </w14:textFill>
              </w:rPr>
              <w:t>/型号</w:t>
            </w:r>
          </w:p>
        </w:tc>
        <w:tc>
          <w:tcPr>
            <w:tcW w:w="1268" w:type="dxa"/>
            <w:noWrap w:val="0"/>
            <w:tcMar>
              <w:top w:w="0" w:type="dxa"/>
              <w:left w:w="105" w:type="dxa"/>
              <w:bottom w:w="0" w:type="dxa"/>
              <w:right w:w="105" w:type="dxa"/>
            </w:tcMar>
            <w:vAlign w:val="center"/>
          </w:tcPr>
          <w:p w14:paraId="578F4104">
            <w:pPr>
              <w:widowControl/>
              <w:jc w:val="center"/>
              <w:rPr>
                <w:rFonts w:hint="default" w:eastAsia="宋体"/>
                <w:color w:val="000000" w:themeColor="text1"/>
                <w:kern w:val="0"/>
                <w:sz w:val="21"/>
                <w:szCs w:val="21"/>
                <w:highlight w:val="none"/>
                <w:lang w:val="en-US" w:eastAsia="zh-CN"/>
                <w14:textFill>
                  <w14:solidFill>
                    <w14:schemeClr w14:val="tx1"/>
                  </w14:solidFill>
                </w14:textFill>
              </w:rPr>
            </w:pPr>
            <w:r>
              <w:rPr>
                <w:rFonts w:hint="eastAsia" w:hAnsi="宋体"/>
                <w:color w:val="000000" w:themeColor="text1"/>
                <w:kern w:val="0"/>
                <w:sz w:val="21"/>
                <w:szCs w:val="21"/>
                <w:highlight w:val="none"/>
                <w:lang w:val="en-US" w:eastAsia="zh-CN"/>
                <w14:textFill>
                  <w14:solidFill>
                    <w14:schemeClr w14:val="tx1"/>
                  </w14:solidFill>
                </w14:textFill>
              </w:rPr>
              <w:t>生产产地</w:t>
            </w:r>
          </w:p>
        </w:tc>
        <w:tc>
          <w:tcPr>
            <w:tcW w:w="1007" w:type="dxa"/>
            <w:noWrap w:val="0"/>
            <w:tcMar>
              <w:top w:w="0" w:type="dxa"/>
              <w:left w:w="105" w:type="dxa"/>
              <w:bottom w:w="0" w:type="dxa"/>
              <w:right w:w="105" w:type="dxa"/>
            </w:tcMar>
            <w:vAlign w:val="center"/>
          </w:tcPr>
          <w:p w14:paraId="075A6D77">
            <w:pPr>
              <w:widowControl/>
              <w:jc w:val="center"/>
              <w:rPr>
                <w:rFonts w:hint="eastAsia" w:eastAsia="宋体"/>
                <w:color w:val="000000" w:themeColor="text1"/>
                <w:kern w:val="0"/>
                <w:sz w:val="21"/>
                <w:szCs w:val="21"/>
                <w:highlight w:val="none"/>
                <w:lang w:eastAsia="zh-CN"/>
                <w14:textFill>
                  <w14:solidFill>
                    <w14:schemeClr w14:val="tx1"/>
                  </w14:solidFill>
                </w14:textFill>
              </w:rPr>
            </w:pPr>
            <w:r>
              <w:rPr>
                <w:rFonts w:hint="eastAsia" w:hAnsi="宋体"/>
                <w:color w:val="000000" w:themeColor="text1"/>
                <w:kern w:val="0"/>
                <w:sz w:val="21"/>
                <w:szCs w:val="21"/>
                <w:highlight w:val="none"/>
                <w:lang w:val="en-US" w:eastAsia="zh-CN"/>
                <w14:textFill>
                  <w14:solidFill>
                    <w14:schemeClr w14:val="tx1"/>
                  </w14:solidFill>
                </w14:textFill>
              </w:rPr>
              <w:t>数量</w:t>
            </w:r>
          </w:p>
        </w:tc>
        <w:tc>
          <w:tcPr>
            <w:tcW w:w="836" w:type="dxa"/>
            <w:noWrap w:val="0"/>
            <w:tcMar>
              <w:top w:w="0" w:type="dxa"/>
              <w:left w:w="105" w:type="dxa"/>
              <w:bottom w:w="0" w:type="dxa"/>
              <w:right w:w="105" w:type="dxa"/>
            </w:tcMar>
            <w:vAlign w:val="center"/>
          </w:tcPr>
          <w:p w14:paraId="0EC9C5F0">
            <w:pPr>
              <w:widowControl/>
              <w:jc w:val="center"/>
              <w:rPr>
                <w:rFonts w:hint="default" w:hAnsi="宋体"/>
                <w:color w:val="000000" w:themeColor="text1"/>
                <w:kern w:val="0"/>
                <w:sz w:val="21"/>
                <w:szCs w:val="21"/>
                <w:highlight w:val="none"/>
                <w:lang w:val="en-US" w:eastAsia="zh-CN"/>
                <w14:textFill>
                  <w14:solidFill>
                    <w14:schemeClr w14:val="tx1"/>
                  </w14:solidFill>
                </w14:textFill>
              </w:rPr>
            </w:pPr>
            <w:r>
              <w:rPr>
                <w:rFonts w:hint="eastAsia" w:hAnsi="宋体"/>
                <w:color w:val="000000" w:themeColor="text1"/>
                <w:kern w:val="0"/>
                <w:sz w:val="21"/>
                <w:szCs w:val="21"/>
                <w:highlight w:val="none"/>
                <w:lang w:val="en-US" w:eastAsia="zh-CN"/>
                <w14:textFill>
                  <w14:solidFill>
                    <w14:schemeClr w14:val="tx1"/>
                  </w14:solidFill>
                </w14:textFill>
              </w:rPr>
              <w:t>单价</w:t>
            </w:r>
          </w:p>
        </w:tc>
        <w:tc>
          <w:tcPr>
            <w:tcW w:w="1150" w:type="dxa"/>
            <w:noWrap w:val="0"/>
            <w:tcMar>
              <w:top w:w="0" w:type="dxa"/>
              <w:left w:w="105" w:type="dxa"/>
              <w:bottom w:w="0" w:type="dxa"/>
              <w:right w:w="105" w:type="dxa"/>
            </w:tcMar>
            <w:vAlign w:val="center"/>
          </w:tcPr>
          <w:p w14:paraId="2CA595D8">
            <w:pPr>
              <w:widowControl/>
              <w:jc w:val="center"/>
              <w:rPr>
                <w:rFonts w:hint="default" w:hAnsi="宋体"/>
                <w:color w:val="000000" w:themeColor="text1"/>
                <w:kern w:val="0"/>
                <w:sz w:val="21"/>
                <w:szCs w:val="21"/>
                <w:highlight w:val="none"/>
                <w:lang w:val="en-US" w:eastAsia="zh-CN"/>
                <w14:textFill>
                  <w14:solidFill>
                    <w14:schemeClr w14:val="tx1"/>
                  </w14:solidFill>
                </w14:textFill>
              </w:rPr>
            </w:pPr>
            <w:r>
              <w:rPr>
                <w:rFonts w:hint="eastAsia" w:hAnsi="宋体"/>
                <w:color w:val="000000" w:themeColor="text1"/>
                <w:kern w:val="0"/>
                <w:sz w:val="21"/>
                <w:szCs w:val="21"/>
                <w:highlight w:val="none"/>
                <w:lang w:val="en-US" w:eastAsia="zh-CN"/>
                <w14:textFill>
                  <w14:solidFill>
                    <w14:schemeClr w14:val="tx1"/>
                  </w14:solidFill>
                </w14:textFill>
              </w:rPr>
              <w:t>备注</w:t>
            </w:r>
          </w:p>
        </w:tc>
      </w:tr>
      <w:tr w14:paraId="1A3A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15" w:type="dxa"/>
          <w:jc w:val="center"/>
        </w:trPr>
        <w:tc>
          <w:tcPr>
            <w:tcW w:w="689" w:type="dxa"/>
            <w:vMerge w:val="restart"/>
            <w:noWrap w:val="0"/>
            <w:tcMar>
              <w:top w:w="0" w:type="dxa"/>
              <w:left w:w="105" w:type="dxa"/>
              <w:bottom w:w="0" w:type="dxa"/>
              <w:right w:w="105" w:type="dxa"/>
            </w:tcMar>
            <w:vAlign w:val="center"/>
          </w:tcPr>
          <w:p w14:paraId="7E598B13">
            <w:pPr>
              <w:widowControl/>
              <w:jc w:val="center"/>
              <w:rPr>
                <w:color w:val="000000" w:themeColor="text1"/>
                <w:kern w:val="0"/>
                <w:sz w:val="21"/>
                <w:szCs w:val="21"/>
                <w:highlight w:val="none"/>
                <w14:textFill>
                  <w14:solidFill>
                    <w14:schemeClr w14:val="tx1"/>
                  </w14:solidFill>
                </w14:textFill>
              </w:rPr>
            </w:pPr>
            <w:r>
              <w:rPr>
                <w:color w:val="000000" w:themeColor="text1"/>
                <w:kern w:val="0"/>
                <w:sz w:val="21"/>
                <w:szCs w:val="21"/>
                <w:highlight w:val="none"/>
                <w14:textFill>
                  <w14:solidFill>
                    <w14:schemeClr w14:val="tx1"/>
                  </w14:solidFill>
                </w14:textFill>
              </w:rPr>
              <w:t>*</w:t>
            </w:r>
          </w:p>
        </w:tc>
        <w:tc>
          <w:tcPr>
            <w:tcW w:w="882" w:type="dxa"/>
            <w:noWrap w:val="0"/>
            <w:tcMar>
              <w:top w:w="0" w:type="dxa"/>
              <w:left w:w="105" w:type="dxa"/>
              <w:bottom w:w="0" w:type="dxa"/>
              <w:right w:w="105" w:type="dxa"/>
            </w:tcMar>
            <w:vAlign w:val="center"/>
          </w:tcPr>
          <w:p w14:paraId="198E779A">
            <w:pPr>
              <w:widowControl/>
              <w:jc w:val="center"/>
              <w:rPr>
                <w:color w:val="000000" w:themeColor="text1"/>
                <w:kern w:val="0"/>
                <w:sz w:val="21"/>
                <w:szCs w:val="21"/>
                <w:highlight w:val="none"/>
                <w14:textFill>
                  <w14:solidFill>
                    <w14:schemeClr w14:val="tx1"/>
                  </w14:solidFill>
                </w14:textFill>
              </w:rPr>
            </w:pPr>
            <w:r>
              <w:rPr>
                <w:color w:val="000000" w:themeColor="text1"/>
                <w:kern w:val="0"/>
                <w:sz w:val="21"/>
                <w:szCs w:val="21"/>
                <w:highlight w:val="none"/>
                <w14:textFill>
                  <w14:solidFill>
                    <w14:schemeClr w14:val="tx1"/>
                  </w14:solidFill>
                </w14:textFill>
              </w:rPr>
              <w:t>*-1</w:t>
            </w:r>
          </w:p>
        </w:tc>
        <w:tc>
          <w:tcPr>
            <w:tcW w:w="1254" w:type="dxa"/>
            <w:noWrap w:val="0"/>
            <w:tcMar>
              <w:top w:w="0" w:type="dxa"/>
              <w:left w:w="105" w:type="dxa"/>
              <w:bottom w:w="0" w:type="dxa"/>
              <w:right w:w="105" w:type="dxa"/>
            </w:tcMar>
            <w:vAlign w:val="top"/>
          </w:tcPr>
          <w:p w14:paraId="47347E11">
            <w:pPr>
              <w:widowControl/>
              <w:jc w:val="left"/>
              <w:rPr>
                <w:color w:val="000000" w:themeColor="text1"/>
                <w:kern w:val="0"/>
                <w:sz w:val="21"/>
                <w:szCs w:val="21"/>
                <w:highlight w:val="none"/>
                <w14:textFill>
                  <w14:solidFill>
                    <w14:schemeClr w14:val="tx1"/>
                  </w14:solidFill>
                </w14:textFill>
              </w:rPr>
            </w:pPr>
          </w:p>
        </w:tc>
        <w:tc>
          <w:tcPr>
            <w:tcW w:w="805" w:type="dxa"/>
            <w:noWrap w:val="0"/>
            <w:tcMar>
              <w:top w:w="0" w:type="dxa"/>
              <w:left w:w="105" w:type="dxa"/>
              <w:bottom w:w="0" w:type="dxa"/>
              <w:right w:w="105" w:type="dxa"/>
            </w:tcMar>
            <w:vAlign w:val="top"/>
          </w:tcPr>
          <w:p w14:paraId="59B98913">
            <w:pPr>
              <w:widowControl/>
              <w:jc w:val="left"/>
              <w:rPr>
                <w:color w:val="000000" w:themeColor="text1"/>
                <w:kern w:val="0"/>
                <w:sz w:val="21"/>
                <w:szCs w:val="21"/>
                <w:highlight w:val="none"/>
                <w14:textFill>
                  <w14:solidFill>
                    <w14:schemeClr w14:val="tx1"/>
                  </w14:solidFill>
                </w14:textFill>
              </w:rPr>
            </w:pPr>
          </w:p>
        </w:tc>
        <w:tc>
          <w:tcPr>
            <w:tcW w:w="1300" w:type="dxa"/>
            <w:noWrap w:val="0"/>
            <w:tcMar>
              <w:top w:w="0" w:type="dxa"/>
              <w:left w:w="105" w:type="dxa"/>
              <w:bottom w:w="0" w:type="dxa"/>
              <w:right w:w="105" w:type="dxa"/>
            </w:tcMar>
            <w:vAlign w:val="top"/>
          </w:tcPr>
          <w:p w14:paraId="1D9384E4">
            <w:pPr>
              <w:widowControl/>
              <w:jc w:val="left"/>
              <w:rPr>
                <w:color w:val="000000" w:themeColor="text1"/>
                <w:kern w:val="0"/>
                <w:sz w:val="21"/>
                <w:szCs w:val="21"/>
                <w:highlight w:val="none"/>
                <w14:textFill>
                  <w14:solidFill>
                    <w14:schemeClr w14:val="tx1"/>
                  </w14:solidFill>
                </w14:textFill>
              </w:rPr>
            </w:pPr>
          </w:p>
        </w:tc>
        <w:tc>
          <w:tcPr>
            <w:tcW w:w="1268" w:type="dxa"/>
            <w:noWrap w:val="0"/>
            <w:tcMar>
              <w:top w:w="0" w:type="dxa"/>
              <w:left w:w="105" w:type="dxa"/>
              <w:bottom w:w="0" w:type="dxa"/>
              <w:right w:w="105" w:type="dxa"/>
            </w:tcMar>
            <w:vAlign w:val="top"/>
          </w:tcPr>
          <w:p w14:paraId="0A28A605">
            <w:pPr>
              <w:widowControl/>
              <w:jc w:val="left"/>
              <w:rPr>
                <w:color w:val="000000" w:themeColor="text1"/>
                <w:kern w:val="0"/>
                <w:sz w:val="21"/>
                <w:szCs w:val="21"/>
                <w:highlight w:val="none"/>
                <w14:textFill>
                  <w14:solidFill>
                    <w14:schemeClr w14:val="tx1"/>
                  </w14:solidFill>
                </w14:textFill>
              </w:rPr>
            </w:pPr>
          </w:p>
        </w:tc>
        <w:tc>
          <w:tcPr>
            <w:tcW w:w="1007" w:type="dxa"/>
            <w:noWrap w:val="0"/>
            <w:tcMar>
              <w:top w:w="0" w:type="dxa"/>
              <w:left w:w="105" w:type="dxa"/>
              <w:bottom w:w="0" w:type="dxa"/>
              <w:right w:w="105" w:type="dxa"/>
            </w:tcMar>
            <w:vAlign w:val="top"/>
          </w:tcPr>
          <w:p w14:paraId="0E08C8B1">
            <w:pPr>
              <w:widowControl/>
              <w:jc w:val="left"/>
              <w:rPr>
                <w:color w:val="000000" w:themeColor="text1"/>
                <w:kern w:val="0"/>
                <w:sz w:val="21"/>
                <w:szCs w:val="21"/>
                <w:highlight w:val="none"/>
                <w14:textFill>
                  <w14:solidFill>
                    <w14:schemeClr w14:val="tx1"/>
                  </w14:solidFill>
                </w14:textFill>
              </w:rPr>
            </w:pPr>
          </w:p>
        </w:tc>
        <w:tc>
          <w:tcPr>
            <w:tcW w:w="836" w:type="dxa"/>
            <w:noWrap w:val="0"/>
            <w:tcMar>
              <w:top w:w="0" w:type="dxa"/>
              <w:left w:w="105" w:type="dxa"/>
              <w:bottom w:w="0" w:type="dxa"/>
              <w:right w:w="105" w:type="dxa"/>
            </w:tcMar>
            <w:vAlign w:val="top"/>
          </w:tcPr>
          <w:p w14:paraId="21F219DE">
            <w:pPr>
              <w:widowControl/>
              <w:jc w:val="left"/>
              <w:rPr>
                <w:color w:val="000000" w:themeColor="text1"/>
                <w:kern w:val="0"/>
                <w:sz w:val="21"/>
                <w:szCs w:val="21"/>
                <w:highlight w:val="none"/>
                <w14:textFill>
                  <w14:solidFill>
                    <w14:schemeClr w14:val="tx1"/>
                  </w14:solidFill>
                </w14:textFill>
              </w:rPr>
            </w:pPr>
          </w:p>
        </w:tc>
        <w:tc>
          <w:tcPr>
            <w:tcW w:w="1150" w:type="dxa"/>
            <w:noWrap w:val="0"/>
            <w:tcMar>
              <w:top w:w="0" w:type="dxa"/>
              <w:left w:w="105" w:type="dxa"/>
              <w:bottom w:w="0" w:type="dxa"/>
              <w:right w:w="105" w:type="dxa"/>
            </w:tcMar>
            <w:vAlign w:val="top"/>
          </w:tcPr>
          <w:p w14:paraId="4A2C8968">
            <w:pPr>
              <w:widowControl/>
              <w:jc w:val="left"/>
              <w:rPr>
                <w:color w:val="000000" w:themeColor="text1"/>
                <w:kern w:val="0"/>
                <w:sz w:val="21"/>
                <w:szCs w:val="21"/>
                <w:highlight w:val="none"/>
                <w14:textFill>
                  <w14:solidFill>
                    <w14:schemeClr w14:val="tx1"/>
                  </w14:solidFill>
                </w14:textFill>
              </w:rPr>
            </w:pPr>
          </w:p>
        </w:tc>
      </w:tr>
      <w:tr w14:paraId="449A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1" w:hRule="atLeast"/>
          <w:tblCellSpacing w:w="15" w:type="dxa"/>
          <w:jc w:val="center"/>
        </w:trPr>
        <w:tc>
          <w:tcPr>
            <w:tcW w:w="689" w:type="dxa"/>
            <w:vMerge w:val="continue"/>
            <w:noWrap w:val="0"/>
            <w:vAlign w:val="center"/>
          </w:tcPr>
          <w:p w14:paraId="361F1A79">
            <w:pPr>
              <w:widowControl/>
              <w:jc w:val="left"/>
              <w:rPr>
                <w:color w:val="000000" w:themeColor="text1"/>
                <w:kern w:val="0"/>
                <w:sz w:val="21"/>
                <w:szCs w:val="21"/>
                <w:highlight w:val="none"/>
                <w14:textFill>
                  <w14:solidFill>
                    <w14:schemeClr w14:val="tx1"/>
                  </w14:solidFill>
                </w14:textFill>
              </w:rPr>
            </w:pPr>
          </w:p>
        </w:tc>
        <w:tc>
          <w:tcPr>
            <w:tcW w:w="882" w:type="dxa"/>
            <w:noWrap w:val="0"/>
            <w:tcMar>
              <w:top w:w="0" w:type="dxa"/>
              <w:left w:w="105" w:type="dxa"/>
              <w:bottom w:w="0" w:type="dxa"/>
              <w:right w:w="105" w:type="dxa"/>
            </w:tcMar>
            <w:vAlign w:val="center"/>
          </w:tcPr>
          <w:p w14:paraId="5EA74B4F">
            <w:pPr>
              <w:widowControl/>
              <w:jc w:val="center"/>
              <w:rPr>
                <w:color w:val="000000" w:themeColor="text1"/>
                <w:kern w:val="0"/>
                <w:sz w:val="21"/>
                <w:szCs w:val="21"/>
                <w:highlight w:val="none"/>
                <w14:textFill>
                  <w14:solidFill>
                    <w14:schemeClr w14:val="tx1"/>
                  </w14:solidFill>
                </w14:textFill>
              </w:rPr>
            </w:pPr>
            <w:r>
              <w:rPr>
                <w:color w:val="000000" w:themeColor="text1"/>
                <w:kern w:val="0"/>
                <w:sz w:val="21"/>
                <w:szCs w:val="21"/>
                <w:highlight w:val="none"/>
                <w14:textFill>
                  <w14:solidFill>
                    <w14:schemeClr w14:val="tx1"/>
                  </w14:solidFill>
                </w14:textFill>
              </w:rPr>
              <w:t>…</w:t>
            </w:r>
          </w:p>
        </w:tc>
        <w:tc>
          <w:tcPr>
            <w:tcW w:w="1254" w:type="dxa"/>
            <w:noWrap w:val="0"/>
            <w:tcMar>
              <w:top w:w="0" w:type="dxa"/>
              <w:left w:w="105" w:type="dxa"/>
              <w:bottom w:w="0" w:type="dxa"/>
              <w:right w:w="105" w:type="dxa"/>
            </w:tcMar>
            <w:vAlign w:val="top"/>
          </w:tcPr>
          <w:p w14:paraId="01F70F4B">
            <w:pPr>
              <w:widowControl/>
              <w:jc w:val="left"/>
              <w:rPr>
                <w:color w:val="000000" w:themeColor="text1"/>
                <w:kern w:val="0"/>
                <w:sz w:val="21"/>
                <w:szCs w:val="21"/>
                <w:highlight w:val="none"/>
                <w14:textFill>
                  <w14:solidFill>
                    <w14:schemeClr w14:val="tx1"/>
                  </w14:solidFill>
                </w14:textFill>
              </w:rPr>
            </w:pPr>
          </w:p>
        </w:tc>
        <w:tc>
          <w:tcPr>
            <w:tcW w:w="805" w:type="dxa"/>
            <w:noWrap w:val="0"/>
            <w:tcMar>
              <w:top w:w="0" w:type="dxa"/>
              <w:left w:w="105" w:type="dxa"/>
              <w:bottom w:w="0" w:type="dxa"/>
              <w:right w:w="105" w:type="dxa"/>
            </w:tcMar>
            <w:vAlign w:val="top"/>
          </w:tcPr>
          <w:p w14:paraId="26D96503">
            <w:pPr>
              <w:widowControl/>
              <w:jc w:val="left"/>
              <w:rPr>
                <w:color w:val="000000" w:themeColor="text1"/>
                <w:kern w:val="0"/>
                <w:sz w:val="21"/>
                <w:szCs w:val="21"/>
                <w:highlight w:val="none"/>
                <w14:textFill>
                  <w14:solidFill>
                    <w14:schemeClr w14:val="tx1"/>
                  </w14:solidFill>
                </w14:textFill>
              </w:rPr>
            </w:pPr>
          </w:p>
        </w:tc>
        <w:tc>
          <w:tcPr>
            <w:tcW w:w="1300" w:type="dxa"/>
            <w:noWrap w:val="0"/>
            <w:tcMar>
              <w:top w:w="0" w:type="dxa"/>
              <w:left w:w="105" w:type="dxa"/>
              <w:bottom w:w="0" w:type="dxa"/>
              <w:right w:w="105" w:type="dxa"/>
            </w:tcMar>
            <w:vAlign w:val="top"/>
          </w:tcPr>
          <w:p w14:paraId="4D9047C3">
            <w:pPr>
              <w:widowControl/>
              <w:jc w:val="left"/>
              <w:rPr>
                <w:color w:val="000000" w:themeColor="text1"/>
                <w:kern w:val="0"/>
                <w:sz w:val="21"/>
                <w:szCs w:val="21"/>
                <w:highlight w:val="none"/>
                <w14:textFill>
                  <w14:solidFill>
                    <w14:schemeClr w14:val="tx1"/>
                  </w14:solidFill>
                </w14:textFill>
              </w:rPr>
            </w:pPr>
          </w:p>
        </w:tc>
        <w:tc>
          <w:tcPr>
            <w:tcW w:w="1268" w:type="dxa"/>
            <w:noWrap w:val="0"/>
            <w:tcMar>
              <w:top w:w="0" w:type="dxa"/>
              <w:left w:w="105" w:type="dxa"/>
              <w:bottom w:w="0" w:type="dxa"/>
              <w:right w:w="105" w:type="dxa"/>
            </w:tcMar>
            <w:vAlign w:val="top"/>
          </w:tcPr>
          <w:p w14:paraId="76686602">
            <w:pPr>
              <w:widowControl/>
              <w:jc w:val="left"/>
              <w:rPr>
                <w:color w:val="000000" w:themeColor="text1"/>
                <w:kern w:val="0"/>
                <w:sz w:val="21"/>
                <w:szCs w:val="21"/>
                <w:highlight w:val="none"/>
                <w14:textFill>
                  <w14:solidFill>
                    <w14:schemeClr w14:val="tx1"/>
                  </w14:solidFill>
                </w14:textFill>
              </w:rPr>
            </w:pPr>
          </w:p>
        </w:tc>
        <w:tc>
          <w:tcPr>
            <w:tcW w:w="1007" w:type="dxa"/>
            <w:noWrap w:val="0"/>
            <w:tcMar>
              <w:top w:w="0" w:type="dxa"/>
              <w:left w:w="105" w:type="dxa"/>
              <w:bottom w:w="0" w:type="dxa"/>
              <w:right w:w="105" w:type="dxa"/>
            </w:tcMar>
            <w:vAlign w:val="top"/>
          </w:tcPr>
          <w:p w14:paraId="03916028">
            <w:pPr>
              <w:widowControl/>
              <w:jc w:val="left"/>
              <w:rPr>
                <w:color w:val="000000" w:themeColor="text1"/>
                <w:kern w:val="0"/>
                <w:sz w:val="21"/>
                <w:szCs w:val="21"/>
                <w:highlight w:val="none"/>
                <w14:textFill>
                  <w14:solidFill>
                    <w14:schemeClr w14:val="tx1"/>
                  </w14:solidFill>
                </w14:textFill>
              </w:rPr>
            </w:pPr>
          </w:p>
        </w:tc>
        <w:tc>
          <w:tcPr>
            <w:tcW w:w="836" w:type="dxa"/>
            <w:noWrap w:val="0"/>
            <w:tcMar>
              <w:top w:w="0" w:type="dxa"/>
              <w:left w:w="105" w:type="dxa"/>
              <w:bottom w:w="0" w:type="dxa"/>
              <w:right w:w="105" w:type="dxa"/>
            </w:tcMar>
            <w:vAlign w:val="top"/>
          </w:tcPr>
          <w:p w14:paraId="6BD18589">
            <w:pPr>
              <w:widowControl/>
              <w:jc w:val="left"/>
              <w:rPr>
                <w:color w:val="000000" w:themeColor="text1"/>
                <w:kern w:val="0"/>
                <w:sz w:val="21"/>
                <w:szCs w:val="21"/>
                <w:highlight w:val="none"/>
                <w14:textFill>
                  <w14:solidFill>
                    <w14:schemeClr w14:val="tx1"/>
                  </w14:solidFill>
                </w14:textFill>
              </w:rPr>
            </w:pPr>
          </w:p>
        </w:tc>
        <w:tc>
          <w:tcPr>
            <w:tcW w:w="1150" w:type="dxa"/>
            <w:noWrap w:val="0"/>
            <w:tcMar>
              <w:top w:w="0" w:type="dxa"/>
              <w:left w:w="105" w:type="dxa"/>
              <w:bottom w:w="0" w:type="dxa"/>
              <w:right w:w="105" w:type="dxa"/>
            </w:tcMar>
            <w:vAlign w:val="top"/>
          </w:tcPr>
          <w:p w14:paraId="6EAC856B">
            <w:pPr>
              <w:widowControl/>
              <w:jc w:val="left"/>
              <w:rPr>
                <w:color w:val="000000" w:themeColor="text1"/>
                <w:kern w:val="0"/>
                <w:sz w:val="21"/>
                <w:szCs w:val="21"/>
                <w:highlight w:val="none"/>
                <w14:textFill>
                  <w14:solidFill>
                    <w14:schemeClr w14:val="tx1"/>
                  </w14:solidFill>
                </w14:textFill>
              </w:rPr>
            </w:pPr>
          </w:p>
        </w:tc>
      </w:tr>
      <w:tr w14:paraId="7EA3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1" w:hRule="atLeast"/>
          <w:tblCellSpacing w:w="15" w:type="dxa"/>
          <w:jc w:val="center"/>
        </w:trPr>
        <w:tc>
          <w:tcPr>
            <w:tcW w:w="689" w:type="dxa"/>
            <w:vMerge w:val="continue"/>
            <w:noWrap w:val="0"/>
            <w:vAlign w:val="center"/>
          </w:tcPr>
          <w:p w14:paraId="0A926C90">
            <w:pPr>
              <w:widowControl/>
              <w:jc w:val="left"/>
              <w:rPr>
                <w:color w:val="000000" w:themeColor="text1"/>
                <w:kern w:val="0"/>
                <w:sz w:val="21"/>
                <w:szCs w:val="21"/>
                <w:highlight w:val="none"/>
                <w14:textFill>
                  <w14:solidFill>
                    <w14:schemeClr w14:val="tx1"/>
                  </w14:solidFill>
                </w14:textFill>
              </w:rPr>
            </w:pPr>
          </w:p>
        </w:tc>
        <w:tc>
          <w:tcPr>
            <w:tcW w:w="882" w:type="dxa"/>
            <w:noWrap w:val="0"/>
            <w:tcMar>
              <w:top w:w="0" w:type="dxa"/>
              <w:left w:w="105" w:type="dxa"/>
              <w:bottom w:w="0" w:type="dxa"/>
              <w:right w:w="105" w:type="dxa"/>
            </w:tcMar>
            <w:vAlign w:val="center"/>
          </w:tcPr>
          <w:p w14:paraId="5781FBA9">
            <w:pPr>
              <w:widowControl/>
              <w:jc w:val="center"/>
              <w:rPr>
                <w:color w:val="000000" w:themeColor="text1"/>
                <w:kern w:val="0"/>
                <w:sz w:val="21"/>
                <w:szCs w:val="21"/>
                <w:highlight w:val="none"/>
                <w14:textFill>
                  <w14:solidFill>
                    <w14:schemeClr w14:val="tx1"/>
                  </w14:solidFill>
                </w14:textFill>
              </w:rPr>
            </w:pPr>
            <w:r>
              <w:rPr>
                <w:color w:val="000000" w:themeColor="text1"/>
                <w:kern w:val="0"/>
                <w:sz w:val="21"/>
                <w:szCs w:val="21"/>
                <w:highlight w:val="none"/>
                <w14:textFill>
                  <w14:solidFill>
                    <w14:schemeClr w14:val="tx1"/>
                  </w14:solidFill>
                </w14:textFill>
              </w:rPr>
              <w:t>…</w:t>
            </w:r>
          </w:p>
        </w:tc>
        <w:tc>
          <w:tcPr>
            <w:tcW w:w="1254" w:type="dxa"/>
            <w:noWrap w:val="0"/>
            <w:tcMar>
              <w:top w:w="0" w:type="dxa"/>
              <w:left w:w="105" w:type="dxa"/>
              <w:bottom w:w="0" w:type="dxa"/>
              <w:right w:w="105" w:type="dxa"/>
            </w:tcMar>
            <w:vAlign w:val="top"/>
          </w:tcPr>
          <w:p w14:paraId="72D803EF">
            <w:pPr>
              <w:widowControl/>
              <w:jc w:val="left"/>
              <w:rPr>
                <w:color w:val="000000" w:themeColor="text1"/>
                <w:kern w:val="0"/>
                <w:sz w:val="21"/>
                <w:szCs w:val="21"/>
                <w:highlight w:val="none"/>
                <w14:textFill>
                  <w14:solidFill>
                    <w14:schemeClr w14:val="tx1"/>
                  </w14:solidFill>
                </w14:textFill>
              </w:rPr>
            </w:pPr>
          </w:p>
        </w:tc>
        <w:tc>
          <w:tcPr>
            <w:tcW w:w="805" w:type="dxa"/>
            <w:noWrap w:val="0"/>
            <w:tcMar>
              <w:top w:w="0" w:type="dxa"/>
              <w:left w:w="105" w:type="dxa"/>
              <w:bottom w:w="0" w:type="dxa"/>
              <w:right w:w="105" w:type="dxa"/>
            </w:tcMar>
            <w:vAlign w:val="top"/>
          </w:tcPr>
          <w:p w14:paraId="3047302E">
            <w:pPr>
              <w:widowControl/>
              <w:jc w:val="left"/>
              <w:rPr>
                <w:color w:val="000000" w:themeColor="text1"/>
                <w:kern w:val="0"/>
                <w:sz w:val="21"/>
                <w:szCs w:val="21"/>
                <w:highlight w:val="none"/>
                <w14:textFill>
                  <w14:solidFill>
                    <w14:schemeClr w14:val="tx1"/>
                  </w14:solidFill>
                </w14:textFill>
              </w:rPr>
            </w:pPr>
          </w:p>
        </w:tc>
        <w:tc>
          <w:tcPr>
            <w:tcW w:w="1300" w:type="dxa"/>
            <w:noWrap w:val="0"/>
            <w:tcMar>
              <w:top w:w="0" w:type="dxa"/>
              <w:left w:w="105" w:type="dxa"/>
              <w:bottom w:w="0" w:type="dxa"/>
              <w:right w:w="105" w:type="dxa"/>
            </w:tcMar>
            <w:vAlign w:val="top"/>
          </w:tcPr>
          <w:p w14:paraId="3AE328AA">
            <w:pPr>
              <w:widowControl/>
              <w:jc w:val="left"/>
              <w:rPr>
                <w:color w:val="000000" w:themeColor="text1"/>
                <w:kern w:val="0"/>
                <w:sz w:val="21"/>
                <w:szCs w:val="21"/>
                <w:highlight w:val="none"/>
                <w14:textFill>
                  <w14:solidFill>
                    <w14:schemeClr w14:val="tx1"/>
                  </w14:solidFill>
                </w14:textFill>
              </w:rPr>
            </w:pPr>
          </w:p>
        </w:tc>
        <w:tc>
          <w:tcPr>
            <w:tcW w:w="1268" w:type="dxa"/>
            <w:noWrap w:val="0"/>
            <w:tcMar>
              <w:top w:w="0" w:type="dxa"/>
              <w:left w:w="105" w:type="dxa"/>
              <w:bottom w:w="0" w:type="dxa"/>
              <w:right w:w="105" w:type="dxa"/>
            </w:tcMar>
            <w:vAlign w:val="top"/>
          </w:tcPr>
          <w:p w14:paraId="2ECFDD66">
            <w:pPr>
              <w:widowControl/>
              <w:jc w:val="left"/>
              <w:rPr>
                <w:color w:val="000000" w:themeColor="text1"/>
                <w:kern w:val="0"/>
                <w:sz w:val="21"/>
                <w:szCs w:val="21"/>
                <w:highlight w:val="none"/>
                <w14:textFill>
                  <w14:solidFill>
                    <w14:schemeClr w14:val="tx1"/>
                  </w14:solidFill>
                </w14:textFill>
              </w:rPr>
            </w:pPr>
          </w:p>
        </w:tc>
        <w:tc>
          <w:tcPr>
            <w:tcW w:w="1007" w:type="dxa"/>
            <w:noWrap w:val="0"/>
            <w:tcMar>
              <w:top w:w="0" w:type="dxa"/>
              <w:left w:w="105" w:type="dxa"/>
              <w:bottom w:w="0" w:type="dxa"/>
              <w:right w:w="105" w:type="dxa"/>
            </w:tcMar>
            <w:vAlign w:val="top"/>
          </w:tcPr>
          <w:p w14:paraId="588FCE33">
            <w:pPr>
              <w:widowControl/>
              <w:jc w:val="left"/>
              <w:rPr>
                <w:color w:val="000000" w:themeColor="text1"/>
                <w:kern w:val="0"/>
                <w:sz w:val="21"/>
                <w:szCs w:val="21"/>
                <w:highlight w:val="none"/>
                <w14:textFill>
                  <w14:solidFill>
                    <w14:schemeClr w14:val="tx1"/>
                  </w14:solidFill>
                </w14:textFill>
              </w:rPr>
            </w:pPr>
          </w:p>
        </w:tc>
        <w:tc>
          <w:tcPr>
            <w:tcW w:w="836" w:type="dxa"/>
            <w:noWrap w:val="0"/>
            <w:tcMar>
              <w:top w:w="0" w:type="dxa"/>
              <w:left w:w="105" w:type="dxa"/>
              <w:bottom w:w="0" w:type="dxa"/>
              <w:right w:w="105" w:type="dxa"/>
            </w:tcMar>
            <w:vAlign w:val="top"/>
          </w:tcPr>
          <w:p w14:paraId="6F91A890">
            <w:pPr>
              <w:widowControl/>
              <w:jc w:val="left"/>
              <w:rPr>
                <w:color w:val="000000" w:themeColor="text1"/>
                <w:kern w:val="0"/>
                <w:sz w:val="21"/>
                <w:szCs w:val="21"/>
                <w:highlight w:val="none"/>
                <w14:textFill>
                  <w14:solidFill>
                    <w14:schemeClr w14:val="tx1"/>
                  </w14:solidFill>
                </w14:textFill>
              </w:rPr>
            </w:pPr>
          </w:p>
        </w:tc>
        <w:tc>
          <w:tcPr>
            <w:tcW w:w="1150" w:type="dxa"/>
            <w:noWrap w:val="0"/>
            <w:tcMar>
              <w:top w:w="0" w:type="dxa"/>
              <w:left w:w="105" w:type="dxa"/>
              <w:bottom w:w="0" w:type="dxa"/>
              <w:right w:w="105" w:type="dxa"/>
            </w:tcMar>
            <w:vAlign w:val="top"/>
          </w:tcPr>
          <w:p w14:paraId="59F495DD">
            <w:pPr>
              <w:widowControl/>
              <w:jc w:val="left"/>
              <w:rPr>
                <w:color w:val="000000" w:themeColor="text1"/>
                <w:kern w:val="0"/>
                <w:sz w:val="21"/>
                <w:szCs w:val="21"/>
                <w:highlight w:val="none"/>
                <w14:textFill>
                  <w14:solidFill>
                    <w14:schemeClr w14:val="tx1"/>
                  </w14:solidFill>
                </w14:textFill>
              </w:rPr>
            </w:pPr>
          </w:p>
        </w:tc>
      </w:tr>
    </w:tbl>
    <w:p w14:paraId="32B4F837">
      <w:pPr>
        <w:pStyle w:val="7"/>
        <w:keepNext w:val="0"/>
        <w:keepLines w:val="0"/>
        <w:widowControl/>
        <w:suppressLineNumbers w:val="0"/>
        <w:spacing w:before="75" w:beforeAutospacing="0" w:after="75" w:afterAutospacing="0" w:line="495" w:lineRule="atLeast"/>
        <w:ind w:left="0" w:right="0" w:firstLine="0"/>
        <w:rPr>
          <w:color w:val="000000" w:themeColor="text1"/>
          <w:highlight w:val="none"/>
          <w14:textFill>
            <w14:solidFill>
              <w14:schemeClr w14:val="tx1"/>
            </w14:solidFill>
          </w14:textFill>
        </w:rPr>
      </w:pPr>
    </w:p>
    <w:p w14:paraId="7912A7C7">
      <w:pPr>
        <w:pStyle w:val="7"/>
        <w:keepNext w:val="0"/>
        <w:keepLines w:val="0"/>
        <w:widowControl/>
        <w:suppressLineNumbers w:val="0"/>
        <w:spacing w:before="75" w:beforeAutospacing="0" w:after="75" w:afterAutospacing="0" w:line="435" w:lineRule="atLeast"/>
        <w:ind w:left="0" w:right="0" w:firstLine="0"/>
        <w:jc w:val="right"/>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（签字） </w:t>
      </w:r>
    </w:p>
    <w:p w14:paraId="7A7438FE">
      <w:pPr>
        <w:pStyle w:val="7"/>
        <w:keepNext w:val="0"/>
        <w:keepLines w:val="0"/>
        <w:widowControl/>
        <w:suppressLineNumbers w:val="0"/>
        <w:spacing w:before="75" w:beforeAutospacing="0" w:after="75" w:afterAutospacing="0" w:line="435" w:lineRule="atLeast"/>
        <w:ind w:left="0" w:right="0" w:firstLine="0"/>
        <w:jc w:val="right"/>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供应商名称：</w:t>
      </w:r>
      <w:r>
        <w:rPr>
          <w:rFonts w:hint="eastAsia" w:ascii="宋体" w:hAnsi="宋体" w:eastAsia="宋体" w:cs="宋体"/>
          <w:color w:val="000000" w:themeColor="text1"/>
          <w:spacing w:val="0"/>
          <w:sz w:val="24"/>
          <w:szCs w:val="24"/>
          <w:highlight w:val="none"/>
          <w:u w:val="single"/>
          <w14:textFill>
            <w14:solidFill>
              <w14:schemeClr w14:val="tx1"/>
            </w14:solidFill>
          </w14:textFill>
        </w:rPr>
        <w:t>         （全称并加盖公章）</w:t>
      </w:r>
    </w:p>
    <w:p w14:paraId="2237D327">
      <w:pPr>
        <w:pStyle w:val="7"/>
        <w:keepNext w:val="0"/>
        <w:keepLines w:val="0"/>
        <w:widowControl/>
        <w:suppressLineNumbers w:val="0"/>
        <w:spacing w:before="75" w:beforeAutospacing="0" w:after="75" w:afterAutospacing="0" w:line="435" w:lineRule="atLeast"/>
        <w:ind w:left="0" w:right="0" w:firstLine="0"/>
        <w:jc w:val="right"/>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日  期：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w:t>
      </w:r>
    </w:p>
    <w:p w14:paraId="611DF04A">
      <w:pPr>
        <w:pStyle w:val="7"/>
        <w:keepNext w:val="0"/>
        <w:keepLines w:val="0"/>
        <w:widowControl/>
        <w:suppressLineNumbers w:val="0"/>
        <w:spacing w:before="75" w:beforeAutospacing="0" w:after="75" w:afterAutospacing="0" w:line="37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bookmarkStart w:id="18" w:name="_GoBack"/>
      <w:bookmarkEnd w:id="18"/>
    </w:p>
    <w:p w14:paraId="1C9B169B">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附件3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资格证明文件</w:t>
      </w: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3D77E215">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690B6416">
      <w:pPr>
        <w:pStyle w:val="7"/>
        <w:keepNext w:val="0"/>
        <w:keepLines w:val="0"/>
        <w:widowControl/>
        <w:suppressLineNumbers w:val="0"/>
        <w:spacing w:before="75" w:beforeAutospacing="0" w:after="75" w:afterAutospacing="0" w:line="46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附件3-1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参加竞争性磋商的声明函</w:t>
      </w: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47D67343">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2CE06C2E">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致：</w:t>
      </w:r>
      <w:r>
        <w:rPr>
          <w:rFonts w:hint="eastAsia" w:ascii="宋体" w:hAnsi="宋体" w:eastAsia="宋体" w:cs="宋体"/>
          <w:color w:val="000000" w:themeColor="text1"/>
          <w:spacing w:val="0"/>
          <w:sz w:val="24"/>
          <w:szCs w:val="24"/>
          <w:highlight w:val="none"/>
          <w:u w:val="single"/>
          <w14:textFill>
            <w14:solidFill>
              <w14:schemeClr w14:val="tx1"/>
            </w14:solidFill>
          </w14:textFill>
        </w:rPr>
        <w:t>     (采购人或采购代理机构</w:t>
      </w:r>
      <w:r>
        <w:rPr>
          <w:rFonts w:hint="default" w:ascii="Calibri" w:hAnsi="Calibri" w:cs="Calibri"/>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2D82B4C6">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1、关于贵方______年______月______日</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项目（项目编号:</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14:paraId="557B9CA7">
      <w:pPr>
        <w:pStyle w:val="7"/>
        <w:keepNext w:val="0"/>
        <w:keepLines w:val="0"/>
        <w:widowControl/>
        <w:suppressLineNumbers w:val="0"/>
        <w:spacing w:before="75" w:beforeAutospacing="0" w:after="75" w:afterAutospacing="0" w:line="360" w:lineRule="atLeast"/>
        <w:ind w:left="54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2、供应商的基本概况：</w:t>
      </w:r>
    </w:p>
    <w:p w14:paraId="040F8CF9">
      <w:pPr>
        <w:pStyle w:val="7"/>
        <w:keepNext w:val="0"/>
        <w:keepLines w:val="0"/>
        <w:widowControl/>
        <w:suppressLineNumbers w:val="0"/>
        <w:spacing w:before="75" w:beforeAutospacing="0" w:after="75" w:afterAutospacing="0" w:line="360" w:lineRule="atLeast"/>
        <w:ind w:left="540" w:right="0" w:firstLine="0"/>
        <w:rPr>
          <w:rFonts w:hint="eastAsia" w:ascii="宋体" w:hAnsi="宋体" w:eastAsia="宋体" w:cs="宋体"/>
          <w:color w:val="000000" w:themeColor="text1"/>
          <w:spacing w:val="0"/>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2.1供应商单位名称：</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p>
    <w:p w14:paraId="28FA32A6">
      <w:pPr>
        <w:pStyle w:val="7"/>
        <w:keepNext w:val="0"/>
        <w:keepLines w:val="0"/>
        <w:widowControl/>
        <w:suppressLineNumbers w:val="0"/>
        <w:spacing w:before="75" w:beforeAutospacing="0" w:after="75" w:afterAutospacing="0" w:line="360" w:lineRule="atLeast"/>
        <w:ind w:left="540" w:right="0" w:firstLine="0"/>
        <w:rPr>
          <w:rFonts w:hint="eastAsia" w:ascii="宋体" w:hAnsi="宋体" w:eastAsia="宋体" w:cs="宋体"/>
          <w:color w:val="000000" w:themeColor="text1"/>
          <w:spacing w:val="0"/>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2.2注册地址：</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p>
    <w:p w14:paraId="2CC28A42">
      <w:pPr>
        <w:pStyle w:val="7"/>
        <w:keepNext w:val="0"/>
        <w:keepLines w:val="0"/>
        <w:widowControl/>
        <w:suppressLineNumbers w:val="0"/>
        <w:spacing w:before="75" w:beforeAutospacing="0" w:after="75" w:afterAutospacing="0" w:line="360" w:lineRule="atLeast"/>
        <w:ind w:left="54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2.3单位负责人姓名：</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性别：</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年龄：</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职务：</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w:t>
      </w:r>
    </w:p>
    <w:p w14:paraId="0F328949">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备注：“单位负责人”指单位法定代表人（供应商为法人的）或法律、法规规定代表单位行使职权的主要负责人（供应商为其他组织的）。</w:t>
      </w:r>
    </w:p>
    <w:p w14:paraId="6FA9A8BC">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对于接受联合体形式的磋商且供应商是联合体的，则联合体各成员都应当提交本资格证明文件。</w:t>
      </w:r>
    </w:p>
    <w:p w14:paraId="27BFD063">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230F29AB">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2B6115F5">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（签字） </w:t>
      </w:r>
    </w:p>
    <w:p w14:paraId="703F3D01">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供应商名称：</w:t>
      </w:r>
      <w:r>
        <w:rPr>
          <w:rFonts w:hint="eastAsia" w:ascii="宋体" w:hAnsi="宋体" w:eastAsia="宋体" w:cs="宋体"/>
          <w:color w:val="000000" w:themeColor="text1"/>
          <w:spacing w:val="0"/>
          <w:sz w:val="24"/>
          <w:szCs w:val="24"/>
          <w:highlight w:val="none"/>
          <w:u w:val="single"/>
          <w14:textFill>
            <w14:solidFill>
              <w14:schemeClr w14:val="tx1"/>
            </w14:solidFill>
          </w14:textFill>
        </w:rPr>
        <w:t>         （全称并加盖公章）</w:t>
      </w:r>
    </w:p>
    <w:p w14:paraId="2A22AE79">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日  期：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w:t>
      </w:r>
    </w:p>
    <w:p w14:paraId="5C4E48A3">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7A563A9F">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2E40D6A1">
      <w:pPr>
        <w:pStyle w:val="7"/>
        <w:keepNext w:val="0"/>
        <w:keepLines w:val="0"/>
        <w:widowControl/>
        <w:suppressLineNumbers w:val="0"/>
        <w:spacing w:before="75" w:beforeAutospacing="0" w:after="75" w:afterAutospacing="0" w:line="375" w:lineRule="atLeast"/>
        <w:ind w:left="0" w:right="0" w:firstLine="0"/>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70C6171A">
      <w:pPr>
        <w:pStyle w:val="7"/>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6854EAEF">
      <w:pPr>
        <w:pStyle w:val="7"/>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4862148C">
      <w:pPr>
        <w:pStyle w:val="7"/>
        <w:keepNext w:val="0"/>
        <w:keepLines w:val="0"/>
        <w:widowControl/>
        <w:suppressLineNumbers w:val="0"/>
        <w:spacing w:before="75" w:beforeAutospacing="0" w:after="75" w:afterAutospacing="0" w:line="37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br w:type="page"/>
      </w:r>
      <w:r>
        <w:rPr>
          <w:rFonts w:hint="eastAsia" w:ascii="宋体" w:hAnsi="宋体" w:eastAsia="宋体" w:cs="宋体"/>
          <w:color w:val="000000" w:themeColor="text1"/>
          <w:spacing w:val="0"/>
          <w:sz w:val="24"/>
          <w:szCs w:val="24"/>
          <w:highlight w:val="none"/>
          <w14:textFill>
            <w14:solidFill>
              <w14:schemeClr w14:val="tx1"/>
            </w14:solidFill>
          </w14:textFill>
        </w:rPr>
        <w:t>附件3-2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供应商的资格声明</w:t>
      </w: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55964752">
      <w:pPr>
        <w:pStyle w:val="7"/>
        <w:keepNext w:val="0"/>
        <w:keepLines w:val="0"/>
        <w:widowControl/>
        <w:suppressLineNumbers w:val="0"/>
        <w:spacing w:before="75" w:beforeAutospacing="0" w:after="75" w:afterAutospacing="0" w:line="37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62DF1861">
      <w:pPr>
        <w:pStyle w:val="7"/>
        <w:keepNext w:val="0"/>
        <w:keepLines w:val="0"/>
        <w:widowControl/>
        <w:suppressLineNumbers w:val="0"/>
        <w:spacing w:before="75" w:beforeAutospacing="0" w:after="75" w:afterAutospacing="0" w:line="37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致：</w:t>
      </w:r>
      <w:r>
        <w:rPr>
          <w:rFonts w:hint="eastAsia" w:ascii="宋体" w:hAnsi="宋体" w:eastAsia="宋体" w:cs="宋体"/>
          <w:color w:val="000000" w:themeColor="text1"/>
          <w:spacing w:val="0"/>
          <w:sz w:val="24"/>
          <w:szCs w:val="24"/>
          <w:highlight w:val="none"/>
          <w:u w:val="single"/>
          <w14:textFill>
            <w14:solidFill>
              <w14:schemeClr w14:val="tx1"/>
            </w14:solidFill>
          </w14:textFill>
        </w:rPr>
        <w:t>     (采购人或采购代理机构)       </w:t>
      </w:r>
    </w:p>
    <w:p w14:paraId="06AA886D">
      <w:pPr>
        <w:pStyle w:val="7"/>
        <w:keepNext w:val="0"/>
        <w:keepLines w:val="0"/>
        <w:widowControl/>
        <w:suppressLineNumbers w:val="0"/>
        <w:spacing w:before="75" w:beforeAutospacing="0" w:after="75" w:afterAutospacing="0" w:line="375" w:lineRule="atLeast"/>
        <w:ind w:left="0" w:right="0" w:firstLine="0"/>
        <w:jc w:val="both"/>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r>
        <w:rPr>
          <w:rStyle w:val="12"/>
          <w:rFonts w:hint="eastAsia" w:ascii="宋体" w:hAnsi="宋体" w:eastAsia="宋体" w:cs="宋体"/>
          <w:b w:val="0"/>
          <w:bCs w:val="0"/>
          <w:color w:val="000000" w:themeColor="text1"/>
          <w:spacing w:val="0"/>
          <w:sz w:val="24"/>
          <w:szCs w:val="24"/>
          <w:highlight w:val="none"/>
          <w14:textFill>
            <w14:solidFill>
              <w14:schemeClr w14:val="tx1"/>
            </w14:solidFill>
          </w14:textFill>
        </w:rPr>
        <w:t>1、</w:t>
      </w:r>
      <w:r>
        <w:rPr>
          <w:rFonts w:hint="eastAsia" w:ascii="宋体" w:hAnsi="宋体" w:eastAsia="宋体" w:cs="宋体"/>
          <w:b w:val="0"/>
          <w:bCs w:val="0"/>
          <w:color w:val="000000" w:themeColor="text1"/>
          <w:spacing w:val="0"/>
          <w:sz w:val="24"/>
          <w:szCs w:val="24"/>
          <w:highlight w:val="none"/>
          <w14:textFill>
            <w14:solidFill>
              <w14:schemeClr w14:val="tx1"/>
            </w14:solidFill>
          </w14:textFill>
        </w:rPr>
        <w:t>我</w:t>
      </w:r>
      <w:r>
        <w:rPr>
          <w:rFonts w:hint="eastAsia" w:ascii="宋体" w:hAnsi="宋体" w:eastAsia="宋体" w:cs="宋体"/>
          <w:color w:val="000000" w:themeColor="text1"/>
          <w:spacing w:val="0"/>
          <w:sz w:val="24"/>
          <w:szCs w:val="24"/>
          <w:highlight w:val="none"/>
          <w14:textFill>
            <w14:solidFill>
              <w14:schemeClr w14:val="tx1"/>
            </w14:solidFill>
          </w14:textFill>
        </w:rPr>
        <w:t>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10"/>
        <w:tblW w:w="9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980"/>
        <w:gridCol w:w="3916"/>
      </w:tblGrid>
      <w:tr w14:paraId="2590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80" w:type="dxa"/>
            <w:noWrap w:val="0"/>
            <w:tcMar>
              <w:top w:w="0" w:type="dxa"/>
              <w:left w:w="105" w:type="dxa"/>
              <w:bottom w:w="0" w:type="dxa"/>
              <w:right w:w="105" w:type="dxa"/>
            </w:tcMar>
            <w:vAlign w:val="center"/>
          </w:tcPr>
          <w:p w14:paraId="035072B9">
            <w:pPr>
              <w:pStyle w:val="7"/>
              <w:keepNext w:val="0"/>
              <w:keepLines w:val="0"/>
              <w:widowControl/>
              <w:suppressLineNumbers w:val="0"/>
              <w:spacing w:before="0" w:beforeAutospacing="0" w:after="0" w:afterAutospacing="0" w:line="375" w:lineRule="atLeast"/>
              <w:ind w:left="0" w:right="0" w:firstLine="0"/>
              <w:jc w:val="both"/>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《中华人民共和国政府采购法》第二十二条对供应商的要求</w:t>
            </w:r>
          </w:p>
        </w:tc>
        <w:tc>
          <w:tcPr>
            <w:tcW w:w="3916" w:type="dxa"/>
            <w:noWrap w:val="0"/>
            <w:tcMar>
              <w:top w:w="0" w:type="dxa"/>
              <w:left w:w="105" w:type="dxa"/>
              <w:bottom w:w="0" w:type="dxa"/>
              <w:right w:w="105" w:type="dxa"/>
            </w:tcMar>
            <w:vAlign w:val="center"/>
          </w:tcPr>
          <w:p w14:paraId="55B2EA5E">
            <w:pPr>
              <w:pStyle w:val="7"/>
              <w:keepNext w:val="0"/>
              <w:keepLines w:val="0"/>
              <w:widowControl/>
              <w:suppressLineNumbers w:val="0"/>
              <w:spacing w:before="0" w:beforeAutospacing="0" w:after="0" w:afterAutospacing="0" w:line="375" w:lineRule="atLeast"/>
              <w:ind w:left="0" w:right="0" w:firstLine="0"/>
              <w:jc w:val="both"/>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供应商对是否符合要求做如实声明</w:t>
            </w:r>
          </w:p>
        </w:tc>
      </w:tr>
      <w:tr w14:paraId="60EE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80" w:type="dxa"/>
            <w:noWrap w:val="0"/>
            <w:tcMar>
              <w:top w:w="0" w:type="dxa"/>
              <w:left w:w="105" w:type="dxa"/>
              <w:bottom w:w="0" w:type="dxa"/>
              <w:right w:w="105" w:type="dxa"/>
            </w:tcMar>
            <w:vAlign w:val="center"/>
          </w:tcPr>
          <w:p w14:paraId="41982C38">
            <w:pPr>
              <w:pStyle w:val="7"/>
              <w:keepNext w:val="0"/>
              <w:keepLines w:val="0"/>
              <w:widowControl/>
              <w:suppressLineNumbers w:val="0"/>
              <w:spacing w:before="0" w:beforeAutospacing="0" w:after="0" w:afterAutospacing="0" w:line="240" w:lineRule="auto"/>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（1）具有独立承担民事责任的能力</w:t>
            </w:r>
          </w:p>
        </w:tc>
        <w:tc>
          <w:tcPr>
            <w:tcW w:w="3916" w:type="dxa"/>
            <w:noWrap w:val="0"/>
            <w:tcMar>
              <w:top w:w="0" w:type="dxa"/>
              <w:left w:w="105" w:type="dxa"/>
              <w:bottom w:w="0" w:type="dxa"/>
              <w:right w:w="105" w:type="dxa"/>
            </w:tcMar>
            <w:vAlign w:val="center"/>
          </w:tcPr>
          <w:p w14:paraId="03B7BE4F">
            <w:pPr>
              <w:keepNext w:val="0"/>
              <w:keepLines w:val="0"/>
              <w:widowControl/>
              <w:suppressLineNumbers w:val="0"/>
              <w:spacing w:line="240" w:lineRule="auto"/>
              <w:jc w:val="left"/>
              <w:rPr>
                <w:color w:val="000000" w:themeColor="text1"/>
                <w:highlight w:val="none"/>
                <w14:textFill>
                  <w14:solidFill>
                    <w14:schemeClr w14:val="tx1"/>
                  </w14:solidFill>
                </w14:textFill>
              </w:rPr>
            </w:pPr>
          </w:p>
        </w:tc>
      </w:tr>
      <w:tr w14:paraId="13C7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80" w:type="dxa"/>
            <w:noWrap w:val="0"/>
            <w:tcMar>
              <w:top w:w="0" w:type="dxa"/>
              <w:left w:w="105" w:type="dxa"/>
              <w:bottom w:w="0" w:type="dxa"/>
              <w:right w:w="105" w:type="dxa"/>
            </w:tcMar>
            <w:vAlign w:val="center"/>
          </w:tcPr>
          <w:p w14:paraId="54BB6051">
            <w:pPr>
              <w:pStyle w:val="7"/>
              <w:keepNext w:val="0"/>
              <w:keepLines w:val="0"/>
              <w:widowControl/>
              <w:suppressLineNumbers w:val="0"/>
              <w:spacing w:before="0" w:beforeAutospacing="0" w:after="0" w:afterAutospacing="0" w:line="240" w:lineRule="auto"/>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（2）具有良好的商业信誉和健全的财务会计制度</w:t>
            </w:r>
          </w:p>
        </w:tc>
        <w:tc>
          <w:tcPr>
            <w:tcW w:w="3916" w:type="dxa"/>
            <w:noWrap w:val="0"/>
            <w:tcMar>
              <w:top w:w="0" w:type="dxa"/>
              <w:left w:w="105" w:type="dxa"/>
              <w:bottom w:w="0" w:type="dxa"/>
              <w:right w:w="105" w:type="dxa"/>
            </w:tcMar>
            <w:vAlign w:val="center"/>
          </w:tcPr>
          <w:p w14:paraId="5793C661">
            <w:pPr>
              <w:keepNext w:val="0"/>
              <w:keepLines w:val="0"/>
              <w:widowControl/>
              <w:suppressLineNumbers w:val="0"/>
              <w:spacing w:line="240" w:lineRule="auto"/>
              <w:jc w:val="left"/>
              <w:rPr>
                <w:color w:val="000000" w:themeColor="text1"/>
                <w:highlight w:val="none"/>
                <w14:textFill>
                  <w14:solidFill>
                    <w14:schemeClr w14:val="tx1"/>
                  </w14:solidFill>
                </w14:textFill>
              </w:rPr>
            </w:pPr>
          </w:p>
        </w:tc>
      </w:tr>
      <w:tr w14:paraId="3F77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80" w:type="dxa"/>
            <w:noWrap w:val="0"/>
            <w:tcMar>
              <w:top w:w="0" w:type="dxa"/>
              <w:left w:w="105" w:type="dxa"/>
              <w:bottom w:w="0" w:type="dxa"/>
              <w:right w:w="105" w:type="dxa"/>
            </w:tcMar>
            <w:vAlign w:val="center"/>
          </w:tcPr>
          <w:p w14:paraId="0194ABA3">
            <w:pPr>
              <w:pStyle w:val="7"/>
              <w:keepNext w:val="0"/>
              <w:keepLines w:val="0"/>
              <w:widowControl/>
              <w:suppressLineNumbers w:val="0"/>
              <w:spacing w:before="0" w:beforeAutospacing="0" w:after="0" w:afterAutospacing="0" w:line="240" w:lineRule="auto"/>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（3）具有履行合同所必需的设备和专业技术能力</w:t>
            </w:r>
          </w:p>
        </w:tc>
        <w:tc>
          <w:tcPr>
            <w:tcW w:w="3916" w:type="dxa"/>
            <w:noWrap w:val="0"/>
            <w:tcMar>
              <w:top w:w="0" w:type="dxa"/>
              <w:left w:w="105" w:type="dxa"/>
              <w:bottom w:w="0" w:type="dxa"/>
              <w:right w:w="105" w:type="dxa"/>
            </w:tcMar>
            <w:vAlign w:val="center"/>
          </w:tcPr>
          <w:p w14:paraId="2A608483">
            <w:pPr>
              <w:keepNext w:val="0"/>
              <w:keepLines w:val="0"/>
              <w:widowControl/>
              <w:suppressLineNumbers w:val="0"/>
              <w:spacing w:line="240" w:lineRule="auto"/>
              <w:jc w:val="left"/>
              <w:rPr>
                <w:color w:val="000000" w:themeColor="text1"/>
                <w:highlight w:val="none"/>
                <w14:textFill>
                  <w14:solidFill>
                    <w14:schemeClr w14:val="tx1"/>
                  </w14:solidFill>
                </w14:textFill>
              </w:rPr>
            </w:pPr>
          </w:p>
        </w:tc>
      </w:tr>
      <w:tr w14:paraId="3277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80" w:type="dxa"/>
            <w:noWrap w:val="0"/>
            <w:tcMar>
              <w:top w:w="0" w:type="dxa"/>
              <w:left w:w="105" w:type="dxa"/>
              <w:bottom w:w="0" w:type="dxa"/>
              <w:right w:w="105" w:type="dxa"/>
            </w:tcMar>
            <w:vAlign w:val="center"/>
          </w:tcPr>
          <w:p w14:paraId="3CE6781E">
            <w:pPr>
              <w:pStyle w:val="7"/>
              <w:keepNext w:val="0"/>
              <w:keepLines w:val="0"/>
              <w:widowControl/>
              <w:suppressLineNumbers w:val="0"/>
              <w:spacing w:before="0" w:beforeAutospacing="0" w:after="0" w:afterAutospacing="0" w:line="240" w:lineRule="auto"/>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（4）有依法缴纳税收和社会保障资金的良好记录</w:t>
            </w:r>
          </w:p>
        </w:tc>
        <w:tc>
          <w:tcPr>
            <w:tcW w:w="3916" w:type="dxa"/>
            <w:noWrap w:val="0"/>
            <w:tcMar>
              <w:top w:w="0" w:type="dxa"/>
              <w:left w:w="105" w:type="dxa"/>
              <w:bottom w:w="0" w:type="dxa"/>
              <w:right w:w="105" w:type="dxa"/>
            </w:tcMar>
            <w:vAlign w:val="center"/>
          </w:tcPr>
          <w:p w14:paraId="51DF8374">
            <w:pPr>
              <w:keepNext w:val="0"/>
              <w:keepLines w:val="0"/>
              <w:widowControl/>
              <w:suppressLineNumbers w:val="0"/>
              <w:spacing w:line="240" w:lineRule="auto"/>
              <w:jc w:val="left"/>
              <w:rPr>
                <w:color w:val="000000" w:themeColor="text1"/>
                <w:highlight w:val="none"/>
                <w14:textFill>
                  <w14:solidFill>
                    <w14:schemeClr w14:val="tx1"/>
                  </w14:solidFill>
                </w14:textFill>
              </w:rPr>
            </w:pPr>
          </w:p>
        </w:tc>
      </w:tr>
      <w:tr w14:paraId="2BEA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80" w:type="dxa"/>
            <w:noWrap w:val="0"/>
            <w:tcMar>
              <w:top w:w="0" w:type="dxa"/>
              <w:left w:w="105" w:type="dxa"/>
              <w:bottom w:w="0" w:type="dxa"/>
              <w:right w:w="105" w:type="dxa"/>
            </w:tcMar>
            <w:vAlign w:val="center"/>
          </w:tcPr>
          <w:p w14:paraId="1326CE70">
            <w:pPr>
              <w:pStyle w:val="7"/>
              <w:keepNext w:val="0"/>
              <w:keepLines w:val="0"/>
              <w:widowControl/>
              <w:suppressLineNumbers w:val="0"/>
              <w:spacing w:before="0" w:beforeAutospacing="0" w:after="0" w:afterAutospacing="0" w:line="240" w:lineRule="auto"/>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（5）参加政府采购活动前三年内，在经营活动中没有重大违法记录</w:t>
            </w:r>
          </w:p>
        </w:tc>
        <w:tc>
          <w:tcPr>
            <w:tcW w:w="3916" w:type="dxa"/>
            <w:noWrap w:val="0"/>
            <w:tcMar>
              <w:top w:w="0" w:type="dxa"/>
              <w:left w:w="105" w:type="dxa"/>
              <w:bottom w:w="0" w:type="dxa"/>
              <w:right w:w="105" w:type="dxa"/>
            </w:tcMar>
            <w:vAlign w:val="center"/>
          </w:tcPr>
          <w:p w14:paraId="6C3E8A7C">
            <w:pPr>
              <w:keepNext w:val="0"/>
              <w:keepLines w:val="0"/>
              <w:widowControl/>
              <w:suppressLineNumbers w:val="0"/>
              <w:spacing w:line="240" w:lineRule="auto"/>
              <w:jc w:val="left"/>
              <w:rPr>
                <w:color w:val="000000" w:themeColor="text1"/>
                <w:highlight w:val="none"/>
                <w14:textFill>
                  <w14:solidFill>
                    <w14:schemeClr w14:val="tx1"/>
                  </w14:solidFill>
                </w14:textFill>
              </w:rPr>
            </w:pPr>
          </w:p>
        </w:tc>
      </w:tr>
      <w:tr w14:paraId="4F13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80" w:type="dxa"/>
            <w:noWrap w:val="0"/>
            <w:tcMar>
              <w:top w:w="0" w:type="dxa"/>
              <w:left w:w="105" w:type="dxa"/>
              <w:bottom w:w="0" w:type="dxa"/>
              <w:right w:w="105" w:type="dxa"/>
            </w:tcMar>
            <w:vAlign w:val="center"/>
          </w:tcPr>
          <w:p w14:paraId="613E5E59">
            <w:pPr>
              <w:pStyle w:val="7"/>
              <w:keepNext w:val="0"/>
              <w:keepLines w:val="0"/>
              <w:widowControl/>
              <w:suppressLineNumbers w:val="0"/>
              <w:spacing w:before="0" w:beforeAutospacing="0" w:after="0" w:afterAutospacing="0" w:line="240" w:lineRule="auto"/>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（6）法律、行政法规规定的其他条件。</w:t>
            </w:r>
          </w:p>
        </w:tc>
        <w:tc>
          <w:tcPr>
            <w:tcW w:w="3916" w:type="dxa"/>
            <w:noWrap w:val="0"/>
            <w:tcMar>
              <w:top w:w="0" w:type="dxa"/>
              <w:left w:w="105" w:type="dxa"/>
              <w:bottom w:w="0" w:type="dxa"/>
              <w:right w:w="105" w:type="dxa"/>
            </w:tcMar>
            <w:vAlign w:val="center"/>
          </w:tcPr>
          <w:p w14:paraId="4775F374">
            <w:pPr>
              <w:keepNext w:val="0"/>
              <w:keepLines w:val="0"/>
              <w:widowControl/>
              <w:suppressLineNumbers w:val="0"/>
              <w:spacing w:line="240" w:lineRule="auto"/>
              <w:jc w:val="left"/>
              <w:rPr>
                <w:color w:val="000000" w:themeColor="text1"/>
                <w:highlight w:val="none"/>
                <w14:textFill>
                  <w14:solidFill>
                    <w14:schemeClr w14:val="tx1"/>
                  </w14:solidFill>
                </w14:textFill>
              </w:rPr>
            </w:pPr>
          </w:p>
        </w:tc>
      </w:tr>
      <w:tr w14:paraId="1D13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80" w:type="dxa"/>
            <w:noWrap w:val="0"/>
            <w:tcMar>
              <w:top w:w="0" w:type="dxa"/>
              <w:left w:w="105" w:type="dxa"/>
              <w:bottom w:w="0" w:type="dxa"/>
              <w:right w:w="105" w:type="dxa"/>
            </w:tcMar>
            <w:vAlign w:val="center"/>
          </w:tcPr>
          <w:p w14:paraId="35DF1C87">
            <w:pPr>
              <w:pStyle w:val="7"/>
              <w:keepNext w:val="0"/>
              <w:keepLines w:val="0"/>
              <w:widowControl/>
              <w:suppressLineNumbers w:val="0"/>
              <w:spacing w:before="0" w:beforeAutospacing="0" w:after="0" w:afterAutospacing="0" w:line="375" w:lineRule="atLeast"/>
              <w:ind w:left="0" w:right="0" w:firstLine="0"/>
              <w:jc w:val="both"/>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磋商文件对合格供应商的一般规定</w:t>
            </w:r>
          </w:p>
        </w:tc>
        <w:tc>
          <w:tcPr>
            <w:tcW w:w="3916" w:type="dxa"/>
            <w:noWrap w:val="0"/>
            <w:tcMar>
              <w:top w:w="0" w:type="dxa"/>
              <w:left w:w="105" w:type="dxa"/>
              <w:bottom w:w="0" w:type="dxa"/>
              <w:right w:w="105" w:type="dxa"/>
            </w:tcMar>
            <w:vAlign w:val="center"/>
          </w:tcPr>
          <w:p w14:paraId="7AB0667D">
            <w:pPr>
              <w:pStyle w:val="7"/>
              <w:keepNext w:val="0"/>
              <w:keepLines w:val="0"/>
              <w:widowControl/>
              <w:suppressLineNumbers w:val="0"/>
              <w:spacing w:before="0" w:beforeAutospacing="0" w:after="0" w:afterAutospacing="0" w:line="375" w:lineRule="atLeast"/>
              <w:ind w:left="0" w:right="0" w:firstLine="0"/>
              <w:jc w:val="both"/>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供应商对是否违反一般规定做如实声明</w:t>
            </w:r>
          </w:p>
        </w:tc>
      </w:tr>
      <w:tr w14:paraId="5992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80" w:type="dxa"/>
            <w:noWrap w:val="0"/>
            <w:tcMar>
              <w:top w:w="0" w:type="dxa"/>
              <w:left w:w="105" w:type="dxa"/>
              <w:bottom w:w="0" w:type="dxa"/>
              <w:right w:w="105" w:type="dxa"/>
            </w:tcMar>
            <w:vAlign w:val="center"/>
          </w:tcPr>
          <w:p w14:paraId="1114725E">
            <w:pPr>
              <w:pStyle w:val="7"/>
              <w:keepNext w:val="0"/>
              <w:keepLines w:val="0"/>
              <w:widowControl/>
              <w:suppressLineNumbers w:val="0"/>
              <w:spacing w:before="0" w:beforeAutospacing="0" w:after="0" w:afterAutospacing="0" w:line="240" w:lineRule="auto"/>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供应商除了应遵守政府采购法及实施条例、政府采购非招标采购方式管理办法及财政部、福建省财政厅有关政府采购文件的规定外，还应遵守有关法律、法规和规章的强制性规定。</w:t>
            </w:r>
          </w:p>
        </w:tc>
        <w:tc>
          <w:tcPr>
            <w:tcW w:w="3916" w:type="dxa"/>
            <w:noWrap w:val="0"/>
            <w:tcMar>
              <w:top w:w="0" w:type="dxa"/>
              <w:left w:w="105" w:type="dxa"/>
              <w:bottom w:w="0" w:type="dxa"/>
              <w:right w:w="105" w:type="dxa"/>
            </w:tcMar>
            <w:vAlign w:val="center"/>
          </w:tcPr>
          <w:p w14:paraId="7348300F">
            <w:pPr>
              <w:keepNext w:val="0"/>
              <w:keepLines w:val="0"/>
              <w:widowControl/>
              <w:suppressLineNumbers w:val="0"/>
              <w:spacing w:line="240" w:lineRule="auto"/>
              <w:jc w:val="left"/>
              <w:rPr>
                <w:color w:val="000000" w:themeColor="text1"/>
                <w:highlight w:val="none"/>
                <w14:textFill>
                  <w14:solidFill>
                    <w14:schemeClr w14:val="tx1"/>
                  </w14:solidFill>
                </w14:textFill>
              </w:rPr>
            </w:pPr>
          </w:p>
        </w:tc>
      </w:tr>
      <w:tr w14:paraId="6D29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80" w:type="dxa"/>
            <w:noWrap w:val="0"/>
            <w:tcMar>
              <w:top w:w="0" w:type="dxa"/>
              <w:left w:w="105" w:type="dxa"/>
              <w:bottom w:w="0" w:type="dxa"/>
              <w:right w:w="105" w:type="dxa"/>
            </w:tcMar>
            <w:vAlign w:val="center"/>
          </w:tcPr>
          <w:p w14:paraId="5E5C0608">
            <w:pPr>
              <w:pStyle w:val="7"/>
              <w:keepNext w:val="0"/>
              <w:keepLines w:val="0"/>
              <w:widowControl/>
              <w:suppressLineNumbers w:val="0"/>
              <w:spacing w:before="0" w:beforeAutospacing="0" w:after="0" w:afterAutospacing="0" w:line="240" w:lineRule="auto"/>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为采购项目提供整体设计、规范编制或项目管理、监理、检测等服务的供应商，不得再参加该采购项目除整体设计、规范编制和项目管理、监理、检测等服务之外的其他采购活动。</w:t>
            </w:r>
          </w:p>
        </w:tc>
        <w:tc>
          <w:tcPr>
            <w:tcW w:w="3916" w:type="dxa"/>
            <w:noWrap w:val="0"/>
            <w:tcMar>
              <w:top w:w="0" w:type="dxa"/>
              <w:left w:w="105" w:type="dxa"/>
              <w:bottom w:w="0" w:type="dxa"/>
              <w:right w:w="105" w:type="dxa"/>
            </w:tcMar>
            <w:vAlign w:val="center"/>
          </w:tcPr>
          <w:p w14:paraId="49D2A105">
            <w:pPr>
              <w:keepNext w:val="0"/>
              <w:keepLines w:val="0"/>
              <w:widowControl/>
              <w:suppressLineNumbers w:val="0"/>
              <w:spacing w:line="240" w:lineRule="auto"/>
              <w:jc w:val="left"/>
              <w:rPr>
                <w:color w:val="000000" w:themeColor="text1"/>
                <w:highlight w:val="none"/>
                <w14:textFill>
                  <w14:solidFill>
                    <w14:schemeClr w14:val="tx1"/>
                  </w14:solidFill>
                </w14:textFill>
              </w:rPr>
            </w:pPr>
          </w:p>
        </w:tc>
      </w:tr>
      <w:tr w14:paraId="2383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80" w:type="dxa"/>
            <w:noWrap w:val="0"/>
            <w:tcMar>
              <w:top w:w="0" w:type="dxa"/>
              <w:left w:w="105" w:type="dxa"/>
              <w:bottom w:w="0" w:type="dxa"/>
              <w:right w:w="105" w:type="dxa"/>
            </w:tcMar>
            <w:vAlign w:val="center"/>
          </w:tcPr>
          <w:p w14:paraId="394EB4B3">
            <w:pPr>
              <w:pStyle w:val="7"/>
              <w:keepNext w:val="0"/>
              <w:keepLines w:val="0"/>
              <w:widowControl/>
              <w:suppressLineNumbers w:val="0"/>
              <w:spacing w:before="0" w:beforeAutospacing="0" w:after="0" w:afterAutospacing="0" w:line="240" w:lineRule="auto"/>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列入失信被执行人、重大税收违法案件当事人名单、政府采购严重违法失信行为记录名单的供应商，不得参加政府采购活动。</w:t>
            </w:r>
          </w:p>
        </w:tc>
        <w:tc>
          <w:tcPr>
            <w:tcW w:w="3916" w:type="dxa"/>
            <w:noWrap w:val="0"/>
            <w:tcMar>
              <w:top w:w="0" w:type="dxa"/>
              <w:left w:w="105" w:type="dxa"/>
              <w:bottom w:w="0" w:type="dxa"/>
              <w:right w:w="105" w:type="dxa"/>
            </w:tcMar>
            <w:vAlign w:val="center"/>
          </w:tcPr>
          <w:p w14:paraId="0D5249B4">
            <w:pPr>
              <w:keepNext w:val="0"/>
              <w:keepLines w:val="0"/>
              <w:widowControl/>
              <w:suppressLineNumbers w:val="0"/>
              <w:spacing w:line="240" w:lineRule="auto"/>
              <w:jc w:val="left"/>
              <w:rPr>
                <w:color w:val="000000" w:themeColor="text1"/>
                <w:highlight w:val="none"/>
                <w14:textFill>
                  <w14:solidFill>
                    <w14:schemeClr w14:val="tx1"/>
                  </w14:solidFill>
                </w14:textFill>
              </w:rPr>
            </w:pPr>
          </w:p>
        </w:tc>
      </w:tr>
    </w:tbl>
    <w:p w14:paraId="2A7C58CF">
      <w:pPr>
        <w:pStyle w:val="7"/>
        <w:keepNext w:val="0"/>
        <w:keepLines w:val="0"/>
        <w:widowControl/>
        <w:suppressLineNumbers w:val="0"/>
        <w:spacing w:before="75" w:beforeAutospacing="0" w:after="75" w:afterAutospacing="0" w:line="375" w:lineRule="atLeast"/>
        <w:ind w:right="0"/>
        <w:jc w:val="both"/>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2、我方对上述声明的真实性、合法性、准确性、有效性负责，并愿意根据磋商文件和磋商过程中贵方要求提供全部现有资料、数据、文件等予以证实。</w:t>
      </w:r>
    </w:p>
    <w:p w14:paraId="4462F54E">
      <w:pPr>
        <w:pStyle w:val="7"/>
        <w:keepNext w:val="0"/>
        <w:keepLines w:val="0"/>
        <w:widowControl/>
        <w:suppressLineNumbers w:val="0"/>
        <w:spacing w:before="75" w:beforeAutospacing="0" w:after="75" w:afterAutospacing="0" w:line="435" w:lineRule="atLeast"/>
        <w:ind w:right="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备注：对于接受联合体形式的磋商且供应商是联合体的，则联合体各成员都应当提交本资格证明文件。</w:t>
      </w:r>
    </w:p>
    <w:p w14:paraId="256AC5F9">
      <w:pPr>
        <w:pStyle w:val="7"/>
        <w:keepNext w:val="0"/>
        <w:keepLines w:val="0"/>
        <w:widowControl/>
        <w:suppressLineNumbers w:val="0"/>
        <w:spacing w:before="75" w:beforeAutospacing="0" w:after="75" w:afterAutospacing="0" w:line="37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（签字） </w:t>
      </w:r>
    </w:p>
    <w:p w14:paraId="66CE6AE6">
      <w:pPr>
        <w:pStyle w:val="7"/>
        <w:keepNext w:val="0"/>
        <w:keepLines w:val="0"/>
        <w:widowControl/>
        <w:suppressLineNumbers w:val="0"/>
        <w:spacing w:before="75" w:beforeAutospacing="0" w:after="75" w:afterAutospacing="0" w:line="37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供应商名称：</w:t>
      </w:r>
      <w:r>
        <w:rPr>
          <w:rFonts w:hint="eastAsia" w:ascii="宋体" w:hAnsi="宋体" w:eastAsia="宋体" w:cs="宋体"/>
          <w:color w:val="000000" w:themeColor="text1"/>
          <w:spacing w:val="0"/>
          <w:sz w:val="24"/>
          <w:szCs w:val="24"/>
          <w:highlight w:val="none"/>
          <w:u w:val="single"/>
          <w14:textFill>
            <w14:solidFill>
              <w14:schemeClr w14:val="tx1"/>
            </w14:solidFill>
          </w14:textFill>
        </w:rPr>
        <w:t>         （全称并加盖公章）</w:t>
      </w:r>
    </w:p>
    <w:p w14:paraId="2173AF06">
      <w:pPr>
        <w:pStyle w:val="7"/>
        <w:keepNext w:val="0"/>
        <w:keepLines w:val="0"/>
        <w:widowControl/>
        <w:suppressLineNumbers w:val="0"/>
        <w:spacing w:before="75" w:beforeAutospacing="0" w:after="75" w:afterAutospacing="0" w:line="37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日  期：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w:t>
      </w:r>
    </w:p>
    <w:p w14:paraId="264EDFEA">
      <w:pPr>
        <w:pStyle w:val="7"/>
        <w:keepNext w:val="0"/>
        <w:keepLines w:val="0"/>
        <w:widowControl/>
        <w:suppressLineNumbers w:val="0"/>
        <w:spacing w:before="75" w:beforeAutospacing="0" w:after="240" w:afterAutospacing="0"/>
        <w:ind w:left="0" w:right="0" w:firstLine="0"/>
        <w:rPr>
          <w:color w:val="000000" w:themeColor="text1"/>
          <w:highlight w:val="none"/>
          <w14:textFill>
            <w14:solidFill>
              <w14:schemeClr w14:val="tx1"/>
            </w14:solidFill>
          </w14:textFill>
        </w:rPr>
      </w:pPr>
    </w:p>
    <w:p w14:paraId="7D6C2E09">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附件3-3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单位负责人授权书</w:t>
      </w:r>
    </w:p>
    <w:p w14:paraId="44D2C3CC">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致：</w:t>
      </w:r>
      <w:r>
        <w:rPr>
          <w:rFonts w:hint="eastAsia" w:ascii="宋体" w:hAnsi="宋体" w:eastAsia="宋体" w:cs="宋体"/>
          <w:color w:val="000000" w:themeColor="text1"/>
          <w:spacing w:val="0"/>
          <w:sz w:val="24"/>
          <w:szCs w:val="24"/>
          <w:highlight w:val="none"/>
          <w:u w:val="single"/>
          <w14:textFill>
            <w14:solidFill>
              <w14:schemeClr w14:val="tx1"/>
            </w14:solidFill>
          </w14:textFill>
        </w:rPr>
        <w:t>     (采购人或采购代理机构</w:t>
      </w:r>
      <w:r>
        <w:rPr>
          <w:rFonts w:hint="default" w:ascii="Calibri" w:hAnsi="Calibri" w:cs="Calibri"/>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p>
    <w:p w14:paraId="3EDAD3F2">
      <w:pPr>
        <w:pStyle w:val="7"/>
        <w:keepNext w:val="0"/>
        <w:keepLines w:val="0"/>
        <w:widowControl/>
        <w:suppressLineNumbers w:val="0"/>
        <w:spacing w:before="75" w:beforeAutospacing="0" w:after="75" w:afterAutospacing="0" w:line="360"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我方的单位负责人</w:t>
      </w:r>
      <w:r>
        <w:rPr>
          <w:rFonts w:hint="eastAsia" w:ascii="宋体" w:hAnsi="宋体" w:eastAsia="宋体" w:cs="宋体"/>
          <w:color w:val="000000" w:themeColor="text1"/>
          <w:spacing w:val="0"/>
          <w:sz w:val="24"/>
          <w:szCs w:val="24"/>
          <w:highlight w:val="none"/>
          <w:u w:val="single"/>
          <w14:textFill>
            <w14:solidFill>
              <w14:schemeClr w14:val="tx1"/>
            </w14:solidFill>
          </w14:textFill>
        </w:rPr>
        <w:t>（填写“单位负责人全名”）</w:t>
      </w:r>
      <w:r>
        <w:rPr>
          <w:rFonts w:hint="eastAsia" w:ascii="宋体" w:hAnsi="宋体" w:eastAsia="宋体" w:cs="宋体"/>
          <w:color w:val="000000" w:themeColor="text1"/>
          <w:spacing w:val="0"/>
          <w:sz w:val="24"/>
          <w:szCs w:val="24"/>
          <w:highlight w:val="none"/>
          <w14:textFill>
            <w14:solidFill>
              <w14:schemeClr w14:val="tx1"/>
            </w14:solidFill>
          </w14:textFill>
        </w:rPr>
        <w:t>授权</w:t>
      </w:r>
      <w:r>
        <w:rPr>
          <w:rFonts w:hint="eastAsia" w:ascii="宋体" w:hAnsi="宋体" w:eastAsia="宋体" w:cs="宋体"/>
          <w:color w:val="000000" w:themeColor="text1"/>
          <w:spacing w:val="0"/>
          <w:sz w:val="24"/>
          <w:szCs w:val="24"/>
          <w:highlight w:val="none"/>
          <w:u w:val="single"/>
          <w14:textFill>
            <w14:solidFill>
              <w14:schemeClr w14:val="tx1"/>
            </w14:solidFill>
          </w14:textFill>
        </w:rPr>
        <w:t>（填写“供应商代表全名”）</w:t>
      </w:r>
      <w:r>
        <w:rPr>
          <w:rFonts w:hint="eastAsia" w:ascii="宋体" w:hAnsi="宋体" w:eastAsia="宋体" w:cs="宋体"/>
          <w:color w:val="000000" w:themeColor="text1"/>
          <w:spacing w:val="0"/>
          <w:sz w:val="24"/>
          <w:szCs w:val="24"/>
          <w:highlight w:val="none"/>
          <w14:textFill>
            <w14:solidFill>
              <w14:schemeClr w14:val="tx1"/>
            </w14:solidFill>
          </w14:textFill>
        </w:rPr>
        <w:t>为我方的供应商代表，代表我方参加</w:t>
      </w:r>
      <w:r>
        <w:rPr>
          <w:rFonts w:hint="eastAsia" w:ascii="宋体" w:hAnsi="宋体" w:eastAsia="宋体" w:cs="宋体"/>
          <w:color w:val="000000" w:themeColor="text1"/>
          <w:spacing w:val="0"/>
          <w:sz w:val="24"/>
          <w:szCs w:val="24"/>
          <w:highlight w:val="none"/>
          <w:u w:val="single"/>
          <w14:textFill>
            <w14:solidFill>
              <w14:schemeClr w14:val="tx1"/>
            </w14:solidFill>
          </w14:textFill>
        </w:rPr>
        <w:t>  （填写“项目名称”）   </w:t>
      </w:r>
      <w:r>
        <w:rPr>
          <w:rFonts w:hint="eastAsia" w:ascii="宋体" w:hAnsi="宋体" w:eastAsia="宋体" w:cs="宋体"/>
          <w:color w:val="000000" w:themeColor="text1"/>
          <w:spacing w:val="0"/>
          <w:sz w:val="24"/>
          <w:szCs w:val="24"/>
          <w:highlight w:val="none"/>
          <w14:textFill>
            <w14:solidFill>
              <w14:schemeClr w14:val="tx1"/>
            </w14:solidFill>
          </w14:textFill>
        </w:rPr>
        <w:t>项目（项目编号：</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14:paraId="24E2A0C8">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供应商代表无转委权。特此授权。</w:t>
      </w:r>
    </w:p>
    <w:p w14:paraId="6C622DB8">
      <w:pPr>
        <w:pStyle w:val="7"/>
        <w:keepNext w:val="0"/>
        <w:keepLines w:val="0"/>
        <w:widowControl/>
        <w:suppressLineNumbers w:val="0"/>
        <w:spacing w:before="75" w:beforeAutospacing="0" w:after="75" w:afterAutospacing="0" w:line="360" w:lineRule="atLeast"/>
        <w:ind w:left="0" w:right="0" w:firstLine="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（以下无正文）</w:t>
      </w:r>
    </w:p>
    <w:p w14:paraId="4F8BDA38">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单位负责人：</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身份证号：</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手机：</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p>
    <w:p w14:paraId="362970DF">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身份证号：</w:t>
      </w:r>
      <w:r>
        <w:rPr>
          <w:rFonts w:hint="eastAsia" w:ascii="宋体" w:hAnsi="宋体" w:eastAsia="宋体" w:cs="宋体"/>
          <w:color w:val="000000" w:themeColor="text1"/>
          <w:spacing w:val="0"/>
          <w:sz w:val="24"/>
          <w:szCs w:val="24"/>
          <w:highlight w:val="none"/>
          <w:u w:val="single"/>
          <w14:textFill>
            <w14:solidFill>
              <w14:schemeClr w14:val="tx1"/>
            </w14:solidFill>
          </w14:textFill>
        </w:rPr>
        <w:t xml:space="preserve">            </w:t>
      </w:r>
      <w:r>
        <w:rPr>
          <w:rFonts w:hint="eastAsia" w:ascii="宋体" w:hAnsi="宋体" w:cs="宋体"/>
          <w:color w:val="000000" w:themeColor="text1"/>
          <w:spacing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手机：</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p>
    <w:p w14:paraId="36FCEFC3">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0280FD95">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授权方</w:t>
      </w:r>
    </w:p>
    <w:p w14:paraId="2CB5AA0B">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w:t>
      </w:r>
      <w:r>
        <w:rPr>
          <w:rFonts w:hint="eastAsia" w:ascii="宋体" w:hAnsi="宋体" w:eastAsia="宋体" w:cs="宋体"/>
          <w:color w:val="000000" w:themeColor="text1"/>
          <w:spacing w:val="0"/>
          <w:sz w:val="24"/>
          <w:szCs w:val="24"/>
          <w:highlight w:val="none"/>
          <w:u w:val="single"/>
          <w14:textFill>
            <w14:solidFill>
              <w14:schemeClr w14:val="tx1"/>
            </w14:solidFill>
          </w14:textFill>
        </w:rPr>
        <w:t>（全称并加盖单位公章）</w:t>
      </w:r>
    </w:p>
    <w:p w14:paraId="67F7A8C7">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单位负责人签字或盖章：</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p>
    <w:p w14:paraId="358D5148">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327AE5FE">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接受授权方</w:t>
      </w:r>
    </w:p>
    <w:p w14:paraId="18EF860E">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供应商代表签字：</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p>
    <w:p w14:paraId="561FA235">
      <w:pPr>
        <w:pStyle w:val="7"/>
        <w:keepNext w:val="0"/>
        <w:keepLines w:val="0"/>
        <w:widowControl/>
        <w:suppressLineNumbers w:val="0"/>
        <w:spacing w:before="75" w:beforeAutospacing="0" w:after="75" w:afterAutospacing="0" w:line="360" w:lineRule="atLeast"/>
        <w:ind w:left="0" w:right="0" w:firstLine="0"/>
        <w:jc w:val="right"/>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签署日期：</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w:t>
      </w:r>
    </w:p>
    <w:p w14:paraId="62D83872">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1454E1DE">
      <w:pPr>
        <w:pStyle w:val="7"/>
        <w:keepNext w:val="0"/>
        <w:keepLines w:val="0"/>
        <w:widowControl/>
        <w:suppressLineNumbers w:val="0"/>
        <w:spacing w:before="75" w:beforeAutospacing="0" w:after="75" w:afterAutospacing="0" w:line="40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附：单位负责人、供应商代表的身份证正反面复印件</w:t>
      </w:r>
    </w:p>
    <w:tbl>
      <w:tblPr>
        <w:tblStyle w:val="10"/>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565"/>
      </w:tblGrid>
      <w:tr w14:paraId="20D7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9" w:hRule="atLeast"/>
        </w:trPr>
        <w:tc>
          <w:tcPr>
            <w:tcW w:w="8565" w:type="dxa"/>
            <w:noWrap w:val="0"/>
            <w:tcMar>
              <w:top w:w="0" w:type="dxa"/>
              <w:left w:w="105" w:type="dxa"/>
              <w:bottom w:w="0" w:type="dxa"/>
              <w:right w:w="105" w:type="dxa"/>
            </w:tcMar>
            <w:vAlign w:val="center"/>
          </w:tcPr>
          <w:p w14:paraId="6C15D17F">
            <w:pPr>
              <w:pStyle w:val="7"/>
              <w:keepNext w:val="0"/>
              <w:keepLines w:val="0"/>
              <w:widowControl/>
              <w:suppressLineNumbers w:val="0"/>
              <w:spacing w:before="0" w:beforeAutospacing="0" w:after="0" w:afterAutospacing="0" w:line="405" w:lineRule="atLeast"/>
              <w:ind w:left="0" w:right="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p>
          <w:p w14:paraId="2D25CE80">
            <w:pPr>
              <w:pStyle w:val="7"/>
              <w:keepNext w:val="0"/>
              <w:keepLines w:val="0"/>
              <w:widowControl/>
              <w:suppressLineNumbers w:val="0"/>
              <w:spacing w:before="0" w:beforeAutospacing="0" w:after="0" w:afterAutospacing="0" w:line="405" w:lineRule="atLeast"/>
              <w:ind w:left="0" w:right="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要求：真实、有效、清晰</w:t>
            </w:r>
          </w:p>
          <w:p w14:paraId="32DC682C">
            <w:pPr>
              <w:pStyle w:val="7"/>
              <w:keepNext w:val="0"/>
              <w:keepLines w:val="0"/>
              <w:widowControl/>
              <w:suppressLineNumbers w:val="0"/>
              <w:spacing w:before="0" w:beforeAutospacing="0" w:after="0" w:afterAutospacing="0" w:line="405" w:lineRule="atLeast"/>
              <w:ind w:left="0" w:right="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p>
        </w:tc>
      </w:tr>
    </w:tbl>
    <w:p w14:paraId="5F4ABA43">
      <w:pPr>
        <w:pStyle w:val="7"/>
        <w:keepNext w:val="0"/>
        <w:keepLines w:val="0"/>
        <w:widowControl/>
        <w:suppressLineNumbers w:val="0"/>
        <w:spacing w:before="75" w:beforeAutospacing="0" w:after="75" w:afterAutospacing="0" w:line="28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★注意：</w:t>
      </w:r>
    </w:p>
    <w:p w14:paraId="142887C0">
      <w:pPr>
        <w:pStyle w:val="7"/>
        <w:keepNext w:val="0"/>
        <w:keepLines w:val="0"/>
        <w:widowControl/>
        <w:suppressLineNumbers w:val="0"/>
        <w:spacing w:before="0" w:beforeAutospacing="0" w:after="0" w:afterAutospacing="0" w:line="28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1、企业（银行、保险、石油石化、电力、电信等行业除外）、事业单位和社会团体法人的“单位负责人”指</w:t>
      </w:r>
      <w:r>
        <w:rPr>
          <w:rStyle w:val="12"/>
          <w:rFonts w:hint="eastAsia" w:ascii="宋体" w:hAnsi="宋体" w:eastAsia="宋体" w:cs="宋体"/>
          <w:b/>
          <w:bCs/>
          <w:color w:val="000000" w:themeColor="text1"/>
          <w:spacing w:val="0"/>
          <w:sz w:val="21"/>
          <w:szCs w:val="21"/>
          <w:highlight w:val="none"/>
          <w14:textFill>
            <w14:solidFill>
              <w14:schemeClr w14:val="tx1"/>
            </w14:solidFill>
          </w14:textFill>
        </w:rPr>
        <w:t>法定代表人</w:t>
      </w:r>
      <w:r>
        <w:rPr>
          <w:rFonts w:hint="eastAsia" w:ascii="宋体" w:hAnsi="宋体" w:eastAsia="宋体" w:cs="宋体"/>
          <w:color w:val="000000" w:themeColor="text1"/>
          <w:spacing w:val="0"/>
          <w:sz w:val="21"/>
          <w:szCs w:val="21"/>
          <w:highlight w:val="none"/>
          <w14:textFill>
            <w14:solidFill>
              <w14:schemeClr w14:val="tx1"/>
            </w14:solidFill>
          </w14:textFill>
        </w:rPr>
        <w:t>，即与实际提交的“营业执照等证明文件”载明的一致。</w:t>
      </w:r>
    </w:p>
    <w:p w14:paraId="7356001F">
      <w:pPr>
        <w:pStyle w:val="7"/>
        <w:keepNext w:val="0"/>
        <w:keepLines w:val="0"/>
        <w:widowControl/>
        <w:suppressLineNumbers w:val="0"/>
        <w:spacing w:before="0" w:beforeAutospacing="0" w:after="0" w:afterAutospacing="0" w:line="28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2、银行、保险、石油石化、电力、电信等行业：以法人身份参加磋商的，“单位负责人”指</w:t>
      </w:r>
      <w:r>
        <w:rPr>
          <w:rStyle w:val="12"/>
          <w:rFonts w:hint="eastAsia" w:ascii="宋体" w:hAnsi="宋体" w:eastAsia="宋体" w:cs="宋体"/>
          <w:b/>
          <w:bCs/>
          <w:color w:val="000000" w:themeColor="text1"/>
          <w:spacing w:val="0"/>
          <w:sz w:val="21"/>
          <w:szCs w:val="21"/>
          <w:highlight w:val="none"/>
          <w14:textFill>
            <w14:solidFill>
              <w14:schemeClr w14:val="tx1"/>
            </w14:solidFill>
          </w14:textFill>
        </w:rPr>
        <w:t>法定代表人</w:t>
      </w:r>
      <w:r>
        <w:rPr>
          <w:rFonts w:hint="eastAsia" w:ascii="宋体" w:hAnsi="宋体" w:eastAsia="宋体" w:cs="宋体"/>
          <w:color w:val="000000" w:themeColor="text1"/>
          <w:spacing w:val="0"/>
          <w:sz w:val="21"/>
          <w:szCs w:val="21"/>
          <w:highlight w:val="none"/>
          <w14:textFill>
            <w14:solidFill>
              <w14:schemeClr w14:val="tx1"/>
            </w14:solidFill>
          </w14:textFill>
        </w:rPr>
        <w:t>，即与实际提交的“营业执照等证明文件”载明的一致；以非法人身份参加磋商的，“单位负责人”指</w:t>
      </w:r>
      <w:r>
        <w:rPr>
          <w:rStyle w:val="12"/>
          <w:rFonts w:hint="eastAsia" w:ascii="宋体" w:hAnsi="宋体" w:eastAsia="宋体" w:cs="宋体"/>
          <w:b/>
          <w:bCs/>
          <w:color w:val="000000" w:themeColor="text1"/>
          <w:spacing w:val="0"/>
          <w:sz w:val="21"/>
          <w:szCs w:val="21"/>
          <w:highlight w:val="none"/>
          <w14:textFill>
            <w14:solidFill>
              <w14:schemeClr w14:val="tx1"/>
            </w14:solidFill>
          </w14:textFill>
        </w:rPr>
        <w:t>代表单位行使职权的主要负责人</w:t>
      </w:r>
      <w:r>
        <w:rPr>
          <w:rFonts w:hint="eastAsia" w:ascii="宋体" w:hAnsi="宋体" w:eastAsia="宋体" w:cs="宋体"/>
          <w:color w:val="000000" w:themeColor="text1"/>
          <w:spacing w:val="0"/>
          <w:sz w:val="21"/>
          <w:szCs w:val="21"/>
          <w:highlight w:val="none"/>
          <w14:textFill>
            <w14:solidFill>
              <w14:schemeClr w14:val="tx1"/>
            </w14:solidFill>
          </w14:textFill>
        </w:rPr>
        <w:t>，即与实际提交的“营业执照等证明文件”载明的一致。</w:t>
      </w:r>
    </w:p>
    <w:p w14:paraId="7CC99B9D">
      <w:pPr>
        <w:pStyle w:val="7"/>
        <w:keepNext w:val="0"/>
        <w:keepLines w:val="0"/>
        <w:widowControl/>
        <w:suppressLineNumbers w:val="0"/>
        <w:spacing w:before="0" w:beforeAutospacing="0" w:after="0" w:afterAutospacing="0" w:line="28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21ACC30E">
      <w:pPr>
        <w:pStyle w:val="7"/>
        <w:keepNext w:val="0"/>
        <w:keepLines w:val="0"/>
        <w:widowControl/>
        <w:suppressLineNumbers w:val="0"/>
        <w:spacing w:before="75" w:beforeAutospacing="0" w:after="240" w:afterAutospacing="0" w:line="28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4、对于接受联合体形式的磋商且供应商是联合体的，则只需要联合体的牵头方提交本授权书，在纸质响应文件正本中的本授权书应为原件。</w:t>
      </w:r>
    </w:p>
    <w:p w14:paraId="57855F54">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附件3-4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营业执照等证明文件</w:t>
      </w:r>
    </w:p>
    <w:p w14:paraId="51D08A0B">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2289704A">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致：</w:t>
      </w:r>
      <w:r>
        <w:rPr>
          <w:rFonts w:hint="eastAsia" w:ascii="宋体" w:hAnsi="宋体" w:eastAsia="宋体" w:cs="宋体"/>
          <w:color w:val="000000" w:themeColor="text1"/>
          <w:spacing w:val="0"/>
          <w:sz w:val="24"/>
          <w:szCs w:val="24"/>
          <w:highlight w:val="none"/>
          <w:u w:val="single"/>
          <w14:textFill>
            <w14:solidFill>
              <w14:schemeClr w14:val="tx1"/>
            </w14:solidFill>
          </w14:textFill>
        </w:rPr>
        <w:t>     (采购人或采购代理机构)        </w:t>
      </w:r>
    </w:p>
    <w:p w14:paraId="7F84105C">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）供应商为法人（包括企业、事业单位和社会团体）的</w:t>
      </w:r>
    </w:p>
    <w:p w14:paraId="58C6B511">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现附上由</w:t>
      </w:r>
      <w:r>
        <w:rPr>
          <w:rFonts w:hint="eastAsia" w:ascii="宋体" w:hAnsi="宋体" w:eastAsia="宋体" w:cs="宋体"/>
          <w:color w:val="000000" w:themeColor="text1"/>
          <w:spacing w:val="0"/>
          <w:sz w:val="24"/>
          <w:szCs w:val="24"/>
          <w:highlight w:val="none"/>
          <w:u w:val="single"/>
          <w14:textFill>
            <w14:solidFill>
              <w14:schemeClr w14:val="tx1"/>
            </w14:solidFill>
          </w14:textFill>
        </w:rPr>
        <w:t>（填写“签发机关全称”）</w:t>
      </w:r>
      <w:r>
        <w:rPr>
          <w:rFonts w:hint="eastAsia" w:ascii="宋体" w:hAnsi="宋体" w:eastAsia="宋体" w:cs="宋体"/>
          <w:color w:val="000000" w:themeColor="text1"/>
          <w:spacing w:val="0"/>
          <w:sz w:val="24"/>
          <w:szCs w:val="24"/>
          <w:highlight w:val="none"/>
          <w14:textFill>
            <w14:solidFill>
              <w14:schemeClr w14:val="tx1"/>
            </w14:solidFill>
          </w14:textFill>
        </w:rPr>
        <w:t>签发的我方统一社会信用代码</w:t>
      </w:r>
      <w:r>
        <w:rPr>
          <w:rFonts w:hint="eastAsia" w:ascii="宋体" w:hAnsi="宋体" w:eastAsia="宋体" w:cs="宋体"/>
          <w:color w:val="000000" w:themeColor="text1"/>
          <w:spacing w:val="0"/>
          <w:sz w:val="24"/>
          <w:szCs w:val="24"/>
          <w:highlight w:val="none"/>
          <w:u w:val="single"/>
          <w14:textFill>
            <w14:solidFill>
              <w14:schemeClr w14:val="tx1"/>
            </w14:solidFill>
          </w14:textFill>
        </w:rPr>
        <w:t>（请填写法人的具体证照名称）</w:t>
      </w:r>
      <w:r>
        <w:rPr>
          <w:rFonts w:hint="eastAsia" w:ascii="宋体" w:hAnsi="宋体" w:eastAsia="宋体" w:cs="宋体"/>
          <w:color w:val="000000" w:themeColor="text1"/>
          <w:spacing w:val="0"/>
          <w:sz w:val="24"/>
          <w:szCs w:val="24"/>
          <w:highlight w:val="none"/>
          <w14:textFill>
            <w14:solidFill>
              <w14:schemeClr w14:val="tx1"/>
            </w14:solidFill>
          </w14:textFill>
        </w:rPr>
        <w:t>复印件，该证明材料真实有效，否则我方负全部责任。</w:t>
      </w:r>
    </w:p>
    <w:p w14:paraId="15B9FBA7">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）供应商为非法人（包括其他组织、自然人）的</w:t>
      </w:r>
    </w:p>
    <w:p w14:paraId="26965BF7">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□现附上由</w:t>
      </w:r>
      <w:r>
        <w:rPr>
          <w:rFonts w:hint="eastAsia" w:ascii="宋体" w:hAnsi="宋体" w:eastAsia="宋体" w:cs="宋体"/>
          <w:color w:val="000000" w:themeColor="text1"/>
          <w:spacing w:val="0"/>
          <w:sz w:val="24"/>
          <w:szCs w:val="24"/>
          <w:highlight w:val="none"/>
          <w:u w:val="single"/>
          <w14:textFill>
            <w14:solidFill>
              <w14:schemeClr w14:val="tx1"/>
            </w14:solidFill>
          </w14:textFill>
        </w:rPr>
        <w:t>（填写“签发机关全称”）</w:t>
      </w:r>
      <w:r>
        <w:rPr>
          <w:rFonts w:hint="eastAsia" w:ascii="宋体" w:hAnsi="宋体" w:eastAsia="宋体" w:cs="宋体"/>
          <w:color w:val="000000" w:themeColor="text1"/>
          <w:spacing w:val="0"/>
          <w:sz w:val="24"/>
          <w:szCs w:val="24"/>
          <w:highlight w:val="none"/>
          <w14:textFill>
            <w14:solidFill>
              <w14:schemeClr w14:val="tx1"/>
            </w14:solidFill>
          </w14:textFill>
        </w:rPr>
        <w:t>签发的我方</w:t>
      </w:r>
      <w:r>
        <w:rPr>
          <w:rFonts w:hint="eastAsia" w:ascii="宋体" w:hAnsi="宋体" w:eastAsia="宋体" w:cs="宋体"/>
          <w:color w:val="000000" w:themeColor="text1"/>
          <w:spacing w:val="0"/>
          <w:sz w:val="24"/>
          <w:szCs w:val="24"/>
          <w:highlight w:val="none"/>
          <w:u w:val="single"/>
          <w14:textFill>
            <w14:solidFill>
              <w14:schemeClr w14:val="tx1"/>
            </w14:solidFill>
          </w14:textFill>
        </w:rPr>
        <w:t>（请填写非自然人的非法人的具体证照名称）</w:t>
      </w:r>
      <w:r>
        <w:rPr>
          <w:rFonts w:hint="eastAsia" w:ascii="宋体" w:hAnsi="宋体" w:eastAsia="宋体" w:cs="宋体"/>
          <w:color w:val="000000" w:themeColor="text1"/>
          <w:spacing w:val="0"/>
          <w:sz w:val="24"/>
          <w:szCs w:val="24"/>
          <w:highlight w:val="none"/>
          <w14:textFill>
            <w14:solidFill>
              <w14:schemeClr w14:val="tx1"/>
            </w14:solidFill>
          </w14:textFill>
        </w:rPr>
        <w:t>复印件，该证明材料真实有效，否则我方负全部责任。</w:t>
      </w:r>
    </w:p>
    <w:p w14:paraId="4D1EF295">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□现附上由</w:t>
      </w:r>
      <w:r>
        <w:rPr>
          <w:rFonts w:hint="eastAsia" w:ascii="宋体" w:hAnsi="宋体" w:eastAsia="宋体" w:cs="宋体"/>
          <w:color w:val="000000" w:themeColor="text1"/>
          <w:spacing w:val="0"/>
          <w:sz w:val="24"/>
          <w:szCs w:val="24"/>
          <w:highlight w:val="none"/>
          <w:u w:val="single"/>
          <w14:textFill>
            <w14:solidFill>
              <w14:schemeClr w14:val="tx1"/>
            </w14:solidFill>
          </w14:textFill>
        </w:rPr>
        <w:t>（填写“签发机关全称”）</w:t>
      </w:r>
      <w:r>
        <w:rPr>
          <w:rFonts w:hint="eastAsia" w:ascii="宋体" w:hAnsi="宋体" w:eastAsia="宋体" w:cs="宋体"/>
          <w:color w:val="000000" w:themeColor="text1"/>
          <w:spacing w:val="0"/>
          <w:sz w:val="24"/>
          <w:szCs w:val="24"/>
          <w:highlight w:val="none"/>
          <w14:textFill>
            <w14:solidFill>
              <w14:schemeClr w14:val="tx1"/>
            </w14:solidFill>
          </w14:textFill>
        </w:rPr>
        <w:t>签发的我方</w:t>
      </w:r>
      <w:r>
        <w:rPr>
          <w:rFonts w:hint="eastAsia" w:ascii="宋体" w:hAnsi="宋体" w:eastAsia="宋体" w:cs="宋体"/>
          <w:color w:val="000000" w:themeColor="text1"/>
          <w:spacing w:val="0"/>
          <w:sz w:val="24"/>
          <w:szCs w:val="24"/>
          <w:highlight w:val="none"/>
          <w:u w:val="single"/>
          <w14:textFill>
            <w14:solidFill>
              <w14:schemeClr w14:val="tx1"/>
            </w14:solidFill>
          </w14:textFill>
        </w:rPr>
        <w:t>（请填写自然人的身份证件名称）</w:t>
      </w:r>
      <w:r>
        <w:rPr>
          <w:rFonts w:hint="eastAsia" w:ascii="宋体" w:hAnsi="宋体" w:eastAsia="宋体" w:cs="宋体"/>
          <w:color w:val="000000" w:themeColor="text1"/>
          <w:spacing w:val="0"/>
          <w:sz w:val="24"/>
          <w:szCs w:val="24"/>
          <w:highlight w:val="none"/>
          <w14:textFill>
            <w14:solidFill>
              <w14:schemeClr w14:val="tx1"/>
            </w14:solidFill>
          </w14:textFill>
        </w:rPr>
        <w:t>复印件，该证明材料真实有效，否则我方负全部责任。</w:t>
      </w:r>
    </w:p>
    <w:p w14:paraId="47690AC7">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711E78A2">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★注意：</w:t>
      </w:r>
    </w:p>
    <w:p w14:paraId="39CC9EB3">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1、请供应商根据实际情况填写，在相应的（）中打“√”并选择相应的“□”（若有）后，再按照本格式的要求提供相应证明材料的复印件。</w:t>
      </w:r>
    </w:p>
    <w:p w14:paraId="51DA08F5">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6F082706">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3、供应商提供的相应证明材料复印件均应符合：内容完整、清晰、整洁，并由供应商加盖其单位公章。</w:t>
      </w:r>
    </w:p>
    <w:p w14:paraId="602DD8D0">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4、对于接受联合体形式的磋商且供应商是联合体的，则联合体各成员都应当提交本资格证明文件。</w:t>
      </w:r>
    </w:p>
    <w:p w14:paraId="063C55F0">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191AA58E">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（签字） </w:t>
      </w:r>
    </w:p>
    <w:p w14:paraId="10493828">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供应商名称：</w:t>
      </w:r>
      <w:r>
        <w:rPr>
          <w:rFonts w:hint="eastAsia" w:ascii="宋体" w:hAnsi="宋体" w:eastAsia="宋体" w:cs="宋体"/>
          <w:color w:val="000000" w:themeColor="text1"/>
          <w:spacing w:val="0"/>
          <w:sz w:val="24"/>
          <w:szCs w:val="24"/>
          <w:highlight w:val="none"/>
          <w:u w:val="single"/>
          <w14:textFill>
            <w14:solidFill>
              <w14:schemeClr w14:val="tx1"/>
            </w14:solidFill>
          </w14:textFill>
        </w:rPr>
        <w:t>         （全称并加盖公章）</w:t>
      </w:r>
    </w:p>
    <w:p w14:paraId="20F9F4D0">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日  期：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w:t>
      </w:r>
    </w:p>
    <w:p w14:paraId="0EEB2EA0">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313AB471">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28C692E7">
      <w:pPr>
        <w:pStyle w:val="7"/>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1D6B92A9">
      <w:pPr>
        <w:pStyle w:val="7"/>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72B30DD3">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br w:type="page"/>
      </w:r>
      <w:r>
        <w:rPr>
          <w:rFonts w:hint="eastAsia" w:ascii="宋体" w:hAnsi="宋体" w:eastAsia="宋体" w:cs="宋体"/>
          <w:color w:val="000000" w:themeColor="text1"/>
          <w:spacing w:val="0"/>
          <w:sz w:val="24"/>
          <w:szCs w:val="24"/>
          <w:highlight w:val="none"/>
          <w14:textFill>
            <w14:solidFill>
              <w14:schemeClr w14:val="tx1"/>
            </w14:solidFill>
          </w14:textFill>
        </w:rPr>
        <w:t>附件3-5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财务状况报告</w:t>
      </w:r>
    </w:p>
    <w:p w14:paraId="5A1105B1">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56A7060B">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致：</w:t>
      </w:r>
      <w:r>
        <w:rPr>
          <w:rFonts w:hint="eastAsia" w:ascii="宋体" w:hAnsi="宋体" w:eastAsia="宋体" w:cs="宋体"/>
          <w:color w:val="000000" w:themeColor="text1"/>
          <w:spacing w:val="0"/>
          <w:sz w:val="24"/>
          <w:szCs w:val="24"/>
          <w:highlight w:val="none"/>
          <w:u w:val="single"/>
          <w14:textFill>
            <w14:solidFill>
              <w14:schemeClr w14:val="tx1"/>
            </w14:solidFill>
          </w14:textFill>
        </w:rPr>
        <w:t>     (采购人或采购代理机构</w:t>
      </w:r>
      <w:r>
        <w:rPr>
          <w:rFonts w:hint="default" w:ascii="Calibri" w:hAnsi="Calibri" w:cs="Calibri"/>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p>
    <w:p w14:paraId="222888D9">
      <w:pPr>
        <w:pStyle w:val="7"/>
        <w:keepNext w:val="0"/>
        <w:keepLines w:val="0"/>
        <w:widowControl/>
        <w:suppressLineNumbers w:val="0"/>
        <w:spacing w:before="75" w:beforeAutospacing="0" w:after="75" w:afterAutospacing="0" w:line="435" w:lineRule="atLeast"/>
        <w:ind w:left="0" w:right="0" w:firstLine="48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）供应商提供财务报告的</w:t>
      </w:r>
    </w:p>
    <w:p w14:paraId="3B52BB3F">
      <w:pPr>
        <w:pStyle w:val="7"/>
        <w:keepNext w:val="0"/>
        <w:keepLines w:val="0"/>
        <w:widowControl/>
        <w:suppressLineNumbers w:val="0"/>
        <w:spacing w:before="75" w:beforeAutospacing="0" w:after="75" w:afterAutospacing="0" w:line="435" w:lineRule="atLeast"/>
        <w:ind w:left="0" w:right="0" w:firstLine="48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□企业适用：现附上我方</w:t>
      </w:r>
      <w:r>
        <w:rPr>
          <w:rFonts w:hint="eastAsia" w:ascii="宋体" w:hAnsi="宋体" w:eastAsia="宋体" w:cs="宋体"/>
          <w:color w:val="000000" w:themeColor="text1"/>
          <w:spacing w:val="0"/>
          <w:sz w:val="24"/>
          <w:szCs w:val="24"/>
          <w:highlight w:val="none"/>
          <w:u w:val="single"/>
          <w14:textFill>
            <w14:solidFill>
              <w14:schemeClr w14:val="tx1"/>
            </w14:solidFill>
          </w14:textFill>
        </w:rPr>
        <w:t>（填写“具体的年度、或半年度、或季度”）</w:t>
      </w:r>
      <w:r>
        <w:rPr>
          <w:rFonts w:hint="eastAsia" w:ascii="宋体" w:hAnsi="宋体" w:eastAsia="宋体" w:cs="宋体"/>
          <w:color w:val="000000" w:themeColor="text1"/>
          <w:spacing w:val="0"/>
          <w:sz w:val="24"/>
          <w:szCs w:val="24"/>
          <w:highlight w:val="none"/>
          <w14:textFill>
            <w14:solidFill>
              <w14:schemeClr w14:val="tx1"/>
            </w14:solidFill>
          </w14:textFill>
        </w:rPr>
        <w:t>财务报告复印件，包括资产负债表、利润表、现金流量表、所有者权益变动表及其附注（若有），上述证明材料真实有效，否则我方负全部责任。</w:t>
      </w:r>
    </w:p>
    <w:p w14:paraId="21817FAC">
      <w:pPr>
        <w:pStyle w:val="7"/>
        <w:keepNext w:val="0"/>
        <w:keepLines w:val="0"/>
        <w:widowControl/>
        <w:suppressLineNumbers w:val="0"/>
        <w:spacing w:before="75" w:beforeAutospacing="0" w:after="75" w:afterAutospacing="0" w:line="435" w:lineRule="atLeast"/>
        <w:ind w:left="0" w:right="0" w:firstLine="48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□事业单位适用：现附上我方</w:t>
      </w:r>
      <w:r>
        <w:rPr>
          <w:rFonts w:hint="eastAsia" w:ascii="宋体" w:hAnsi="宋体" w:eastAsia="宋体" w:cs="宋体"/>
          <w:color w:val="000000" w:themeColor="text1"/>
          <w:spacing w:val="0"/>
          <w:sz w:val="24"/>
          <w:szCs w:val="24"/>
          <w:highlight w:val="none"/>
          <w:u w:val="single"/>
          <w14:textFill>
            <w14:solidFill>
              <w14:schemeClr w14:val="tx1"/>
            </w14:solidFill>
          </w14:textFill>
        </w:rPr>
        <w:t>（填写“具体的年度、或半年度、或季度”）</w:t>
      </w:r>
      <w:r>
        <w:rPr>
          <w:rFonts w:hint="eastAsia" w:ascii="宋体" w:hAnsi="宋体" w:eastAsia="宋体" w:cs="宋体"/>
          <w:color w:val="000000" w:themeColor="text1"/>
          <w:spacing w:val="0"/>
          <w:sz w:val="24"/>
          <w:szCs w:val="24"/>
          <w:highlight w:val="none"/>
          <w14:textFill>
            <w14:solidFill>
              <w14:schemeClr w14:val="tx1"/>
            </w14:solidFill>
          </w14:textFill>
        </w:rPr>
        <w:t>财务报告复印件，包括资产负债表、收入支出表或收入费用表、财政补助收入支出表（若有），上述证明材料真实有效，否则我方负全部责任。</w:t>
      </w:r>
    </w:p>
    <w:p w14:paraId="7E084B0A">
      <w:pPr>
        <w:pStyle w:val="7"/>
        <w:keepNext w:val="0"/>
        <w:keepLines w:val="0"/>
        <w:widowControl/>
        <w:suppressLineNumbers w:val="0"/>
        <w:spacing w:before="75" w:beforeAutospacing="0" w:after="75" w:afterAutospacing="0" w:line="435" w:lineRule="atLeast"/>
        <w:ind w:left="0" w:right="0" w:firstLine="48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□社会团体适用：现附上我方</w:t>
      </w:r>
      <w:r>
        <w:rPr>
          <w:rFonts w:hint="eastAsia" w:ascii="宋体" w:hAnsi="宋体" w:eastAsia="宋体" w:cs="宋体"/>
          <w:color w:val="000000" w:themeColor="text1"/>
          <w:spacing w:val="0"/>
          <w:sz w:val="24"/>
          <w:szCs w:val="24"/>
          <w:highlight w:val="none"/>
          <w:u w:val="single"/>
          <w14:textFill>
            <w14:solidFill>
              <w14:schemeClr w14:val="tx1"/>
            </w14:solidFill>
          </w14:textFill>
        </w:rPr>
        <w:t>（填写“具体的年度、或半年度、或季度”）</w:t>
      </w:r>
      <w:r>
        <w:rPr>
          <w:rFonts w:hint="eastAsia" w:ascii="宋体" w:hAnsi="宋体" w:eastAsia="宋体" w:cs="宋体"/>
          <w:color w:val="000000" w:themeColor="text1"/>
          <w:spacing w:val="0"/>
          <w:sz w:val="24"/>
          <w:szCs w:val="24"/>
          <w:highlight w:val="none"/>
          <w14:textFill>
            <w14:solidFill>
              <w14:schemeClr w14:val="tx1"/>
            </w14:solidFill>
          </w14:textFill>
        </w:rPr>
        <w:t>财务报告复印件，包括资产负债表、业务活动表、现金流量表，上述证明材料真实有效，否则我方负全部责任。</w:t>
      </w:r>
    </w:p>
    <w:p w14:paraId="587DC002">
      <w:pPr>
        <w:pStyle w:val="7"/>
        <w:keepNext w:val="0"/>
        <w:keepLines w:val="0"/>
        <w:widowControl/>
        <w:suppressLineNumbers w:val="0"/>
        <w:spacing w:before="75" w:beforeAutospacing="0" w:after="75" w:afterAutospacing="0" w:line="435" w:lineRule="atLeast"/>
        <w:ind w:left="0" w:right="0" w:firstLine="48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）供应商提供资信证明的</w:t>
      </w:r>
    </w:p>
    <w:p w14:paraId="03DE4FD8">
      <w:pPr>
        <w:pStyle w:val="7"/>
        <w:keepNext w:val="0"/>
        <w:keepLines w:val="0"/>
        <w:widowControl/>
        <w:suppressLineNumbers w:val="0"/>
        <w:spacing w:before="75" w:beforeAutospacing="0" w:after="75" w:afterAutospacing="0" w:line="435" w:lineRule="atLeast"/>
        <w:ind w:left="0" w:right="0" w:firstLine="48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□非自然人适用：现附上我方银行：</w:t>
      </w:r>
      <w:r>
        <w:rPr>
          <w:rFonts w:hint="eastAsia" w:ascii="宋体" w:hAnsi="宋体" w:eastAsia="宋体" w:cs="宋体"/>
          <w:color w:val="000000" w:themeColor="text1"/>
          <w:spacing w:val="0"/>
          <w:sz w:val="24"/>
          <w:szCs w:val="24"/>
          <w:highlight w:val="none"/>
          <w:u w:val="single"/>
          <w14:textFill>
            <w14:solidFill>
              <w14:schemeClr w14:val="tx1"/>
            </w14:solidFill>
          </w14:textFill>
        </w:rPr>
        <w:t>（填写“开户银行全称”）</w:t>
      </w:r>
      <w:r>
        <w:rPr>
          <w:rFonts w:hint="eastAsia" w:ascii="宋体" w:hAnsi="宋体" w:eastAsia="宋体" w:cs="宋体"/>
          <w:color w:val="000000" w:themeColor="text1"/>
          <w:spacing w:val="0"/>
          <w:sz w:val="24"/>
          <w:szCs w:val="24"/>
          <w:highlight w:val="none"/>
          <w14:textFill>
            <w14:solidFill>
              <w14:schemeClr w14:val="tx1"/>
            </w14:solidFill>
          </w14:textFill>
        </w:rPr>
        <w:t>出具的资信证明复印件，上述证明材料真实有效，否则我方负全部责任。</w:t>
      </w:r>
    </w:p>
    <w:p w14:paraId="1F06691F">
      <w:pPr>
        <w:pStyle w:val="7"/>
        <w:keepNext w:val="0"/>
        <w:keepLines w:val="0"/>
        <w:widowControl/>
        <w:suppressLineNumbers w:val="0"/>
        <w:spacing w:before="75" w:beforeAutospacing="0" w:after="75" w:afterAutospacing="0" w:line="435" w:lineRule="atLeast"/>
        <w:ind w:left="0" w:right="0" w:firstLine="48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□自然人适用：现附上我方银行：</w:t>
      </w:r>
      <w:r>
        <w:rPr>
          <w:rFonts w:hint="eastAsia" w:ascii="宋体" w:hAnsi="宋体" w:eastAsia="宋体" w:cs="宋体"/>
          <w:color w:val="000000" w:themeColor="text1"/>
          <w:spacing w:val="0"/>
          <w:sz w:val="24"/>
          <w:szCs w:val="24"/>
          <w:highlight w:val="none"/>
          <w:u w:val="single"/>
          <w14:textFill>
            <w14:solidFill>
              <w14:schemeClr w14:val="tx1"/>
            </w14:solidFill>
          </w14:textFill>
        </w:rPr>
        <w:t>（填写自然人的“个人账户的开户银行全称”）</w:t>
      </w:r>
      <w:r>
        <w:rPr>
          <w:rFonts w:hint="eastAsia" w:ascii="宋体" w:hAnsi="宋体" w:eastAsia="宋体" w:cs="宋体"/>
          <w:color w:val="000000" w:themeColor="text1"/>
          <w:spacing w:val="0"/>
          <w:sz w:val="24"/>
          <w:szCs w:val="24"/>
          <w:highlight w:val="none"/>
          <w14:textFill>
            <w14:solidFill>
              <w14:schemeClr w14:val="tx1"/>
            </w14:solidFill>
          </w14:textFill>
        </w:rPr>
        <w:t>出具的资信证明复印件，上述证明材料真实有效，否则我方负全部责任。</w:t>
      </w:r>
    </w:p>
    <w:p w14:paraId="7CCD34C0">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p>
    <w:p w14:paraId="319B85B5">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★注意事项：</w:t>
      </w:r>
    </w:p>
    <w:p w14:paraId="22DF688B">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14:paraId="44BDBDEE">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2、供应商提供的财务报告复印件（成立年限按照首次响应文件递交截止时间推算）应符合下列规定：</w:t>
      </w:r>
    </w:p>
    <w:p w14:paraId="4B1B363F">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2.1成立年限满1年及以上的供应商，提供经审计的上一年度的年度财务报告。</w:t>
      </w:r>
    </w:p>
    <w:p w14:paraId="27BE2318">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2.2成立年限满半年但不足1年的供应商，提供该半年度中任一季度的季度财务报告或该半年度的半年度财务报告。</w:t>
      </w:r>
    </w:p>
    <w:p w14:paraId="212C3B4D">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※无法按照本格式注意事项第2.1、2.2条规定提供财务报告复印件的供应商，应按照本格式注意事项的要求选择提供资信证明复印件。</w:t>
      </w:r>
    </w:p>
    <w:p w14:paraId="106FC51A">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3、供应商提供的相应证明材料复印件均应符合：内容完整、清晰、整洁，并由供应商加盖其单位公章。</w:t>
      </w:r>
    </w:p>
    <w:p w14:paraId="07ECF72C">
      <w:pPr>
        <w:pStyle w:val="7"/>
        <w:keepNext w:val="0"/>
        <w:keepLines w:val="0"/>
        <w:widowControl/>
        <w:suppressLineNumbers w:val="0"/>
        <w:spacing w:before="75" w:beforeAutospacing="0" w:after="75" w:afterAutospacing="0" w:line="315" w:lineRule="atLeast"/>
        <w:ind w:left="0" w:right="0" w:firstLine="420"/>
        <w:rPr>
          <w:color w:val="000000" w:themeColor="text1"/>
          <w:highlight w:val="none"/>
          <w14:textFill>
            <w14:solidFill>
              <w14:schemeClr w14:val="tx1"/>
            </w14:solidFill>
          </w14:textFill>
        </w:rPr>
      </w:pPr>
      <w:r>
        <w:rPr>
          <w:rFonts w:hint="eastAsia" w:ascii="宋体" w:hAnsi="宋体" w:cs="宋体"/>
          <w:color w:val="000000" w:themeColor="text1"/>
          <w:spacing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pacing w:val="0"/>
          <w:sz w:val="24"/>
          <w:szCs w:val="24"/>
          <w:highlight w:val="none"/>
          <w14:textFill>
            <w14:solidFill>
              <w14:schemeClr w14:val="tx1"/>
            </w14:solidFill>
          </w14:textFill>
        </w:rPr>
        <w:t>、对于接受联合体形式的磋商且供应商是联合体的，则联合体各成员都应当提交本资格证明文件。</w:t>
      </w:r>
    </w:p>
    <w:p w14:paraId="47E1CFA6">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1"/>
          <w:szCs w:val="21"/>
          <w:highlight w:val="none"/>
          <w14:textFill>
            <w14:solidFill>
              <w14:schemeClr w14:val="tx1"/>
            </w14:solidFill>
          </w14:textFill>
        </w:rPr>
        <w:t> </w:t>
      </w:r>
    </w:p>
    <w:p w14:paraId="113F3167">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p>
    <w:p w14:paraId="77480718">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00BCE64A">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（签字） </w:t>
      </w:r>
    </w:p>
    <w:p w14:paraId="03312E72">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供应商名称：</w:t>
      </w:r>
      <w:r>
        <w:rPr>
          <w:rFonts w:hint="eastAsia" w:ascii="宋体" w:hAnsi="宋体" w:eastAsia="宋体" w:cs="宋体"/>
          <w:color w:val="000000" w:themeColor="text1"/>
          <w:spacing w:val="0"/>
          <w:sz w:val="24"/>
          <w:szCs w:val="24"/>
          <w:highlight w:val="none"/>
          <w:u w:val="single"/>
          <w14:textFill>
            <w14:solidFill>
              <w14:schemeClr w14:val="tx1"/>
            </w14:solidFill>
          </w14:textFill>
        </w:rPr>
        <w:t>         （全称并加盖公章）</w:t>
      </w:r>
    </w:p>
    <w:p w14:paraId="763B445E">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日  期：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w:t>
      </w:r>
    </w:p>
    <w:p w14:paraId="38C68CCF">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639DC4A4">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774C9DEE">
      <w:pPr>
        <w:pStyle w:val="7"/>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5D8C3770">
      <w:pPr>
        <w:pStyle w:val="7"/>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65A1DF12">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br w:type="page"/>
      </w:r>
      <w:r>
        <w:rPr>
          <w:rFonts w:hint="eastAsia" w:ascii="宋体" w:hAnsi="宋体" w:eastAsia="宋体" w:cs="宋体"/>
          <w:color w:val="000000" w:themeColor="text1"/>
          <w:spacing w:val="0"/>
          <w:sz w:val="24"/>
          <w:szCs w:val="24"/>
          <w:highlight w:val="none"/>
          <w14:textFill>
            <w14:solidFill>
              <w14:schemeClr w14:val="tx1"/>
            </w14:solidFill>
          </w14:textFill>
        </w:rPr>
        <w:t>附件3-6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依法缴纳税收证明材料</w:t>
      </w:r>
    </w:p>
    <w:p w14:paraId="7661D97C">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57C44BED">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致：</w:t>
      </w:r>
      <w:r>
        <w:rPr>
          <w:rFonts w:hint="eastAsia" w:ascii="宋体" w:hAnsi="宋体" w:eastAsia="宋体" w:cs="宋体"/>
          <w:color w:val="000000" w:themeColor="text1"/>
          <w:spacing w:val="0"/>
          <w:sz w:val="24"/>
          <w:szCs w:val="24"/>
          <w:highlight w:val="none"/>
          <w:u w:val="single"/>
          <w14:textFill>
            <w14:solidFill>
              <w14:schemeClr w14:val="tx1"/>
            </w14:solidFill>
          </w14:textFill>
        </w:rPr>
        <w:t>     (采购人或采购代理机构</w:t>
      </w:r>
      <w:r>
        <w:rPr>
          <w:rFonts w:hint="default" w:ascii="Calibri" w:hAnsi="Calibri" w:cs="Calibri"/>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1"/>
          <w:szCs w:val="21"/>
          <w:highlight w:val="none"/>
          <w:u w:val="single"/>
          <w14:textFill>
            <w14:solidFill>
              <w14:schemeClr w14:val="tx1"/>
            </w14:solidFill>
          </w14:textFill>
        </w:rPr>
        <w:t>   </w:t>
      </w:r>
    </w:p>
    <w:p w14:paraId="2D943EDD">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1、依法缴纳税收的供应商</w:t>
      </w:r>
    </w:p>
    <w:p w14:paraId="3DAA1A17">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）法人（包括企业、事业单位和社会团体）的</w:t>
      </w:r>
    </w:p>
    <w:p w14:paraId="0ECAA240">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现附上自</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日至</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日期间我方缴纳的</w:t>
      </w:r>
      <w:r>
        <w:rPr>
          <w:rFonts w:hint="eastAsia" w:ascii="宋体" w:hAnsi="宋体" w:eastAsia="宋体" w:cs="宋体"/>
          <w:color w:val="000000" w:themeColor="text1"/>
          <w:spacing w:val="0"/>
          <w:sz w:val="24"/>
          <w:szCs w:val="24"/>
          <w:highlight w:val="none"/>
          <w:u w:val="single"/>
          <w14:textFill>
            <w14:solidFill>
              <w14:schemeClr w14:val="tx1"/>
            </w14:solidFill>
          </w14:textFill>
        </w:rPr>
        <w:t>（按照供应商实际缴纳的税种名称填写，如：增值税、所得税等）</w:t>
      </w:r>
      <w:r>
        <w:rPr>
          <w:rFonts w:hint="eastAsia" w:ascii="宋体" w:hAnsi="宋体" w:eastAsia="宋体" w:cs="宋体"/>
          <w:color w:val="000000" w:themeColor="text1"/>
          <w:spacing w:val="0"/>
          <w:sz w:val="24"/>
          <w:szCs w:val="24"/>
          <w:highlight w:val="none"/>
          <w14:textFill>
            <w14:solidFill>
              <w14:schemeClr w14:val="tx1"/>
            </w14:solidFill>
          </w14:textFill>
        </w:rPr>
        <w:t>税收凭据复印件，上述证明材料真实有效，否则我方负全部责任。</w:t>
      </w:r>
    </w:p>
    <w:p w14:paraId="79575C57">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）非法人（包括其他组织、自然人）的</w:t>
      </w:r>
    </w:p>
    <w:p w14:paraId="2DBF9494">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现附上自</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日至</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日期间我方缴纳的</w:t>
      </w:r>
      <w:r>
        <w:rPr>
          <w:rFonts w:hint="eastAsia" w:ascii="宋体" w:hAnsi="宋体" w:eastAsia="宋体" w:cs="宋体"/>
          <w:color w:val="000000" w:themeColor="text1"/>
          <w:spacing w:val="0"/>
          <w:sz w:val="24"/>
          <w:szCs w:val="24"/>
          <w:highlight w:val="none"/>
          <w:u w:val="single"/>
          <w14:textFill>
            <w14:solidFill>
              <w14:schemeClr w14:val="tx1"/>
            </w14:solidFill>
          </w14:textFill>
        </w:rPr>
        <w:t>（按照供应商实际缴纳的税种名称填写）</w:t>
      </w:r>
      <w:r>
        <w:rPr>
          <w:rFonts w:hint="eastAsia" w:ascii="宋体" w:hAnsi="宋体" w:eastAsia="宋体" w:cs="宋体"/>
          <w:color w:val="000000" w:themeColor="text1"/>
          <w:spacing w:val="0"/>
          <w:sz w:val="24"/>
          <w:szCs w:val="24"/>
          <w:highlight w:val="none"/>
          <w14:textFill>
            <w14:solidFill>
              <w14:schemeClr w14:val="tx1"/>
            </w14:solidFill>
          </w14:textFill>
        </w:rPr>
        <w:t>税收凭据复印件，上述证明材料真实有效，否则我方负全部责任。</w:t>
      </w:r>
    </w:p>
    <w:p w14:paraId="697CC5C2">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2、依法免税的供应商</w:t>
      </w:r>
    </w:p>
    <w:p w14:paraId="76D692A3">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）现附上我方依法免税证明材料复印件，上述证明材料真实有效，否则我方负全部责任。</w:t>
      </w:r>
    </w:p>
    <w:p w14:paraId="29372769">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1F5E9EBE">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★注意：</w:t>
      </w:r>
    </w:p>
    <w:p w14:paraId="031FA0C5">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1、请供应商根据实际情况填写，在相应的（）中打“√”，并按照本格式的要求提供相应证明材料的复印件。</w:t>
      </w:r>
    </w:p>
    <w:p w14:paraId="116AD6B5">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2、供应商提供的税收凭据复印件应符合下列规定：</w:t>
      </w:r>
    </w:p>
    <w:p w14:paraId="204CE8A6">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2.1首次响应文件递交截止时间前（不含截止时间的当月）已依法缴纳税收的供应商，提供首次响应文件递交截止时间前六个月（不含截止时间的当月）中任一月份的税收凭据复印件。</w:t>
      </w:r>
    </w:p>
    <w:p w14:paraId="42137BB8">
      <w:pPr>
        <w:pStyle w:val="7"/>
        <w:keepNext w:val="0"/>
        <w:keepLines w:val="0"/>
        <w:widowControl/>
        <w:suppressLineNumbers w:val="0"/>
        <w:spacing w:before="75" w:beforeAutospacing="0" w:after="75" w:afterAutospacing="0"/>
        <w:ind w:left="0" w:right="0" w:firstLine="0"/>
        <w:rPr>
          <w:rFonts w:hint="eastAsia"/>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2.2首次响应文件递交截止时间的当月成立的供应商，视同满足本项资格条件要求</w:t>
      </w:r>
      <w:r>
        <w:rPr>
          <w:rFonts w:hint="eastAsia"/>
          <w:color w:val="000000" w:themeColor="text1"/>
          <w:highlight w:val="none"/>
          <w:lang w:eastAsia="zh-CN"/>
          <w14:textFill>
            <w14:solidFill>
              <w14:schemeClr w14:val="tx1"/>
            </w14:solidFill>
          </w14:textFill>
        </w:rPr>
        <w:t>。</w:t>
      </w:r>
    </w:p>
    <w:p w14:paraId="0D2ACF56">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2.3若为依法免税范围的供应商，提供依法免税证明材料的，视同满足本项资格条件要求。</w:t>
      </w:r>
    </w:p>
    <w:p w14:paraId="0E3BD61D">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3、供应商提供的相应证明材料复印件均应符合：内容完整、清晰、整洁，并由供应商加盖其单位公章。</w:t>
      </w:r>
    </w:p>
    <w:p w14:paraId="531094A4">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4、</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“依法缴纳税收证明材料”</w:t>
      </w:r>
      <w:r>
        <w:rPr>
          <w:rFonts w:hint="eastAsia" w:ascii="宋体" w:hAnsi="宋体" w:eastAsia="宋体" w:cs="宋体"/>
          <w:color w:val="000000" w:themeColor="text1"/>
          <w:spacing w:val="0"/>
          <w:sz w:val="24"/>
          <w:szCs w:val="24"/>
          <w:highlight w:val="none"/>
          <w14:textFill>
            <w14:solidFill>
              <w14:schemeClr w14:val="tx1"/>
            </w14:solidFill>
          </w14:textFill>
        </w:rPr>
        <w:t>有欠缴记录的，视为</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未依法缴纳税收</w:t>
      </w:r>
      <w:r>
        <w:rPr>
          <w:rFonts w:hint="eastAsia" w:ascii="宋体" w:hAnsi="宋体" w:eastAsia="宋体" w:cs="宋体"/>
          <w:color w:val="000000" w:themeColor="text1"/>
          <w:spacing w:val="0"/>
          <w:sz w:val="24"/>
          <w:szCs w:val="24"/>
          <w:highlight w:val="none"/>
          <w14:textFill>
            <w14:solidFill>
              <w14:schemeClr w14:val="tx1"/>
            </w14:solidFill>
          </w14:textFill>
        </w:rPr>
        <w:t>。</w:t>
      </w:r>
    </w:p>
    <w:p w14:paraId="786DC241">
      <w:pPr>
        <w:pStyle w:val="7"/>
        <w:keepNext w:val="0"/>
        <w:keepLines w:val="0"/>
        <w:widowControl/>
        <w:suppressLineNumbers w:val="0"/>
        <w:spacing w:before="75" w:beforeAutospacing="0" w:after="75" w:afterAutospacing="0" w:line="31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5、对于接受联合体形式的磋商且供应商是联合体的，则联合体各成员都应当提交本资格证明文件。</w:t>
      </w:r>
    </w:p>
    <w:p w14:paraId="747E6B1C">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269E172A">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（签字） </w:t>
      </w:r>
    </w:p>
    <w:p w14:paraId="34962CD1">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供应商名称：</w:t>
      </w:r>
      <w:r>
        <w:rPr>
          <w:rFonts w:hint="eastAsia" w:ascii="宋体" w:hAnsi="宋体" w:eastAsia="宋体" w:cs="宋体"/>
          <w:color w:val="000000" w:themeColor="text1"/>
          <w:spacing w:val="0"/>
          <w:sz w:val="24"/>
          <w:szCs w:val="24"/>
          <w:highlight w:val="none"/>
          <w:u w:val="single"/>
          <w14:textFill>
            <w14:solidFill>
              <w14:schemeClr w14:val="tx1"/>
            </w14:solidFill>
          </w14:textFill>
        </w:rPr>
        <w:t>         （全称并加盖公章）</w:t>
      </w:r>
    </w:p>
    <w:p w14:paraId="31A672C4">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日  期：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w:t>
      </w:r>
    </w:p>
    <w:p w14:paraId="440E7F8F">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7B110F6E">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br w:type="page"/>
      </w:r>
      <w:r>
        <w:rPr>
          <w:rFonts w:hint="eastAsia" w:ascii="宋体" w:hAnsi="宋体" w:eastAsia="宋体" w:cs="宋体"/>
          <w:color w:val="000000" w:themeColor="text1"/>
          <w:spacing w:val="0"/>
          <w:sz w:val="24"/>
          <w:szCs w:val="24"/>
          <w:highlight w:val="none"/>
          <w14:textFill>
            <w14:solidFill>
              <w14:schemeClr w14:val="tx1"/>
            </w14:solidFill>
          </w14:textFill>
        </w:rPr>
        <w:t>附件3-7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依法缴纳社会保障资金证明材料</w:t>
      </w:r>
    </w:p>
    <w:p w14:paraId="52AD5986">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10F740B0">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致：</w:t>
      </w:r>
      <w:r>
        <w:rPr>
          <w:rFonts w:hint="eastAsia" w:ascii="宋体" w:hAnsi="宋体" w:eastAsia="宋体" w:cs="宋体"/>
          <w:color w:val="000000" w:themeColor="text1"/>
          <w:spacing w:val="0"/>
          <w:sz w:val="24"/>
          <w:szCs w:val="24"/>
          <w:highlight w:val="none"/>
          <w:u w:val="single"/>
          <w14:textFill>
            <w14:solidFill>
              <w14:schemeClr w14:val="tx1"/>
            </w14:solidFill>
          </w14:textFill>
        </w:rPr>
        <w:t>     (采购人或采购代理机构)       </w:t>
      </w:r>
    </w:p>
    <w:p w14:paraId="658BA440">
      <w:pPr>
        <w:pStyle w:val="7"/>
        <w:keepNext w:val="0"/>
        <w:keepLines w:val="0"/>
        <w:widowControl/>
        <w:suppressLineNumbers w:val="0"/>
        <w:spacing w:before="75" w:beforeAutospacing="0" w:after="75" w:afterAutospacing="0"/>
        <w:ind w:left="0" w:right="0" w:firstLine="48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1、依法缴纳社会保障资金的供应商</w:t>
      </w:r>
    </w:p>
    <w:p w14:paraId="3B80FADB">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）法人（包括企业、事业单位和社会团体）的</w:t>
      </w:r>
    </w:p>
    <w:p w14:paraId="60DE60B4">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现附上自</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日至</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日我方缴纳的社会保险凭据（限：税务机关/社会保障资金管理机关的专用收据或社会保险缴纳清单，或社会保险的银行缴款收讫凭证）复印件，上述证明材料真实有效，否则我方负全部责任。</w:t>
      </w:r>
    </w:p>
    <w:p w14:paraId="66815CC5">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）非法人（包括其他组织、自然人）的</w:t>
      </w:r>
    </w:p>
    <w:p w14:paraId="3E593F2E">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自</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日至</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日我方缴纳的社会保险凭据（限：税务机关/社会保障资金管理机关的专用收据或社会保险缴纳清单，或社会保险的银行缴款收讫凭证）复印件，上述证明材料真实有效，否则我方负全部责任。</w:t>
      </w:r>
    </w:p>
    <w:p w14:paraId="73CE36AF">
      <w:pPr>
        <w:pStyle w:val="7"/>
        <w:keepNext w:val="0"/>
        <w:keepLines w:val="0"/>
        <w:widowControl/>
        <w:suppressLineNumbers w:val="0"/>
        <w:spacing w:before="75" w:beforeAutospacing="0" w:after="75" w:afterAutospacing="0"/>
        <w:ind w:left="0" w:right="0" w:firstLine="48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2、依法不需要缴纳社会保障资金的供应商</w:t>
      </w:r>
    </w:p>
    <w:p w14:paraId="53528BBE">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）现附上我方依法不需要缴纳社会保障资金证明材料复印件，上述证明材料真实有效，否则我方负全部责任。</w:t>
      </w:r>
    </w:p>
    <w:p w14:paraId="4229E797">
      <w:pPr>
        <w:pStyle w:val="7"/>
        <w:keepNext w:val="0"/>
        <w:keepLines w:val="0"/>
        <w:widowControl/>
        <w:suppressLineNumbers w:val="0"/>
        <w:spacing w:before="0" w:beforeAutospacing="0" w:after="0" w:afterAutospacing="0" w:line="28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0DB288ED">
      <w:pPr>
        <w:pStyle w:val="7"/>
        <w:keepNext w:val="0"/>
        <w:keepLines w:val="0"/>
        <w:widowControl/>
        <w:suppressLineNumbers w:val="0"/>
        <w:spacing w:before="0" w:beforeAutospacing="0" w:after="0" w:afterAutospacing="0" w:line="28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★注意：</w:t>
      </w:r>
    </w:p>
    <w:p w14:paraId="670E7B66">
      <w:pPr>
        <w:pStyle w:val="7"/>
        <w:keepNext w:val="0"/>
        <w:keepLines w:val="0"/>
        <w:widowControl/>
        <w:suppressLineNumbers w:val="0"/>
        <w:spacing w:before="0" w:beforeAutospacing="0" w:after="0" w:afterAutospacing="0" w:line="28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1、请供应商根据实际情况填写，在相应的（）中打“√”，并按照本格式的要求提供相应证明材料的复印件。</w:t>
      </w:r>
    </w:p>
    <w:p w14:paraId="14451851">
      <w:pPr>
        <w:pStyle w:val="7"/>
        <w:keepNext w:val="0"/>
        <w:keepLines w:val="0"/>
        <w:widowControl/>
        <w:suppressLineNumbers w:val="0"/>
        <w:spacing w:before="0" w:beforeAutospacing="0" w:after="0" w:afterAutospacing="0" w:line="28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2、供应商提供的社会保险凭据复印件应符合下列规定：</w:t>
      </w:r>
    </w:p>
    <w:p w14:paraId="67DE43AC">
      <w:pPr>
        <w:pStyle w:val="7"/>
        <w:keepNext w:val="0"/>
        <w:keepLines w:val="0"/>
        <w:widowControl/>
        <w:suppressLineNumbers w:val="0"/>
        <w:spacing w:before="0" w:beforeAutospacing="0" w:after="0" w:afterAutospacing="0" w:line="285" w:lineRule="atLeast"/>
        <w:ind w:left="0" w:right="0" w:firstLine="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2.1首次响应文件递交截止时间前（不含截止时间的当月）已依法缴纳社会保障资金的投供应商，提供首次响应文件递交截止时间前六个月（不含截止时间的当月）中任一月份的社会保险凭据复印件。</w:t>
      </w:r>
    </w:p>
    <w:p w14:paraId="1880F493">
      <w:pPr>
        <w:pStyle w:val="7"/>
        <w:keepNext w:val="0"/>
        <w:keepLines w:val="0"/>
        <w:widowControl/>
        <w:suppressLineNumbers w:val="0"/>
        <w:spacing w:before="0" w:beforeAutospacing="0" w:after="0" w:afterAutospacing="0" w:line="285" w:lineRule="atLeast"/>
        <w:ind w:left="0" w:right="0" w:firstLine="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2.2首次响应文件递交截止时间的当月成立的供应商，视同满足本项资格条件要求。</w:t>
      </w:r>
    </w:p>
    <w:p w14:paraId="322561C4">
      <w:pPr>
        <w:pStyle w:val="7"/>
        <w:keepNext w:val="0"/>
        <w:keepLines w:val="0"/>
        <w:widowControl/>
        <w:suppressLineNumbers w:val="0"/>
        <w:spacing w:before="0" w:beforeAutospacing="0" w:after="0" w:afterAutospacing="0" w:line="285" w:lineRule="atLeast"/>
        <w:ind w:left="0" w:right="0" w:firstLine="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2.3若为依法不需要缴纳或暂缓缴纳社会保障资金的供应商，提供依法不需要缴纳或暂缓缴纳社会保障资金证明材料的，视同满足本项资格条件要求。</w:t>
      </w:r>
    </w:p>
    <w:p w14:paraId="4EE393BF">
      <w:pPr>
        <w:pStyle w:val="7"/>
        <w:keepNext w:val="0"/>
        <w:keepLines w:val="0"/>
        <w:widowControl/>
        <w:suppressLineNumbers w:val="0"/>
        <w:spacing w:before="0" w:beforeAutospacing="0" w:after="0" w:afterAutospacing="0" w:line="285" w:lineRule="atLeast"/>
        <w:ind w:left="0" w:right="0" w:firstLine="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3、供应商提供的相应证明材料复印件均应符合：内容完整、清晰、整洁，并由供应商加盖其单位公章。</w:t>
      </w:r>
    </w:p>
    <w:p w14:paraId="574691C8">
      <w:pPr>
        <w:pStyle w:val="7"/>
        <w:keepNext w:val="0"/>
        <w:keepLines w:val="0"/>
        <w:widowControl/>
        <w:suppressLineNumbers w:val="0"/>
        <w:spacing w:before="0" w:beforeAutospacing="0" w:after="0" w:afterAutospacing="0" w:line="28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4、“</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依法缴纳社会保障资金证明材料</w:t>
      </w:r>
      <w:r>
        <w:rPr>
          <w:rFonts w:hint="eastAsia" w:ascii="宋体" w:hAnsi="宋体" w:eastAsia="宋体" w:cs="宋体"/>
          <w:color w:val="000000" w:themeColor="text1"/>
          <w:spacing w:val="0"/>
          <w:sz w:val="24"/>
          <w:szCs w:val="24"/>
          <w:highlight w:val="none"/>
          <w14:textFill>
            <w14:solidFill>
              <w14:schemeClr w14:val="tx1"/>
            </w14:solidFill>
          </w14:textFill>
        </w:rPr>
        <w:t>”有欠缴记录的，视为</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未依法缴纳社会保障资金</w:t>
      </w:r>
      <w:r>
        <w:rPr>
          <w:rFonts w:hint="eastAsia" w:ascii="宋体" w:hAnsi="宋体" w:eastAsia="宋体" w:cs="宋体"/>
          <w:color w:val="000000" w:themeColor="text1"/>
          <w:spacing w:val="0"/>
          <w:sz w:val="24"/>
          <w:szCs w:val="24"/>
          <w:highlight w:val="none"/>
          <w14:textFill>
            <w14:solidFill>
              <w14:schemeClr w14:val="tx1"/>
            </w14:solidFill>
          </w14:textFill>
        </w:rPr>
        <w:t>。</w:t>
      </w:r>
    </w:p>
    <w:p w14:paraId="556FFDF2">
      <w:pPr>
        <w:pStyle w:val="7"/>
        <w:keepNext w:val="0"/>
        <w:keepLines w:val="0"/>
        <w:widowControl/>
        <w:suppressLineNumbers w:val="0"/>
        <w:spacing w:before="75" w:beforeAutospacing="0" w:after="75" w:afterAutospacing="0" w:line="28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5、对于接受联合体形式的磋商且供应商是联合体的，则联合体各成员都应当提交本资格证明文件。</w:t>
      </w:r>
    </w:p>
    <w:p w14:paraId="4A45677D">
      <w:pPr>
        <w:pStyle w:val="7"/>
        <w:keepNext w:val="0"/>
        <w:keepLines w:val="0"/>
        <w:widowControl/>
        <w:suppressLineNumbers w:val="0"/>
        <w:spacing w:before="0" w:beforeAutospacing="0" w:after="0" w:afterAutospacing="0" w:line="28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5359AA45">
      <w:pPr>
        <w:pStyle w:val="7"/>
        <w:keepNext w:val="0"/>
        <w:keepLines w:val="0"/>
        <w:widowControl/>
        <w:suppressLineNumbers w:val="0"/>
        <w:spacing w:before="0" w:beforeAutospacing="0" w:after="0" w:afterAutospacing="0" w:line="28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（签字） </w:t>
      </w:r>
    </w:p>
    <w:p w14:paraId="75334C10">
      <w:pPr>
        <w:pStyle w:val="7"/>
        <w:keepNext w:val="0"/>
        <w:keepLines w:val="0"/>
        <w:widowControl/>
        <w:suppressLineNumbers w:val="0"/>
        <w:spacing w:before="75" w:beforeAutospacing="0" w:after="75" w:afterAutospacing="0" w:line="28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供应商名称：</w:t>
      </w:r>
      <w:r>
        <w:rPr>
          <w:rFonts w:hint="eastAsia" w:ascii="宋体" w:hAnsi="宋体" w:eastAsia="宋体" w:cs="宋体"/>
          <w:color w:val="000000" w:themeColor="text1"/>
          <w:spacing w:val="0"/>
          <w:sz w:val="24"/>
          <w:szCs w:val="24"/>
          <w:highlight w:val="none"/>
          <w:u w:val="single"/>
          <w14:textFill>
            <w14:solidFill>
              <w14:schemeClr w14:val="tx1"/>
            </w14:solidFill>
          </w14:textFill>
        </w:rPr>
        <w:t>         （全称并加盖公章）</w:t>
      </w:r>
    </w:p>
    <w:p w14:paraId="74C8FB66">
      <w:pPr>
        <w:pStyle w:val="7"/>
        <w:keepNext w:val="0"/>
        <w:keepLines w:val="0"/>
        <w:widowControl/>
        <w:suppressLineNumbers w:val="0"/>
        <w:spacing w:before="0" w:beforeAutospacing="0" w:after="0" w:afterAutospacing="0" w:line="28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日  期：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w:t>
      </w:r>
    </w:p>
    <w:p w14:paraId="1A2AF1C9">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134BCAF9">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br w:type="page"/>
      </w:r>
      <w:r>
        <w:rPr>
          <w:rFonts w:hint="eastAsia" w:ascii="宋体" w:hAnsi="宋体" w:eastAsia="宋体" w:cs="宋体"/>
          <w:color w:val="000000" w:themeColor="text1"/>
          <w:spacing w:val="0"/>
          <w:sz w:val="24"/>
          <w:szCs w:val="24"/>
          <w:highlight w:val="none"/>
          <w14:textFill>
            <w14:solidFill>
              <w14:schemeClr w14:val="tx1"/>
            </w14:solidFill>
          </w14:textFill>
        </w:rPr>
        <w:t>附件3-8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具备履行合同所必需设备和专业技术能力证明材料</w:t>
      </w:r>
    </w:p>
    <w:p w14:paraId="22A52D31">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1B00AE6E">
      <w:pPr>
        <w:pStyle w:val="7"/>
        <w:keepNext w:val="0"/>
        <w:keepLines w:val="0"/>
        <w:widowControl/>
        <w:suppressLineNumbers w:val="0"/>
        <w:spacing w:before="75" w:beforeAutospacing="0" w:after="75" w:afterAutospacing="0" w:line="435" w:lineRule="atLeast"/>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声明函</w:t>
      </w:r>
    </w:p>
    <w:p w14:paraId="747C3F9D">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致：</w:t>
      </w:r>
      <w:r>
        <w:rPr>
          <w:rFonts w:hint="eastAsia" w:ascii="宋体" w:hAnsi="宋体" w:eastAsia="宋体" w:cs="宋体"/>
          <w:color w:val="000000" w:themeColor="text1"/>
          <w:spacing w:val="0"/>
          <w:sz w:val="24"/>
          <w:szCs w:val="24"/>
          <w:highlight w:val="none"/>
          <w:u w:val="single"/>
          <w14:textFill>
            <w14:solidFill>
              <w14:schemeClr w14:val="tx1"/>
            </w14:solidFill>
          </w14:textFill>
        </w:rPr>
        <w:t>     (采购人或采购代理机构)       </w:t>
      </w:r>
    </w:p>
    <w:p w14:paraId="1EE53591">
      <w:pPr>
        <w:pStyle w:val="7"/>
        <w:keepNext w:val="0"/>
        <w:keepLines w:val="0"/>
        <w:widowControl/>
        <w:suppressLineNumbers w:val="0"/>
        <w:spacing w:before="75" w:beforeAutospacing="0" w:after="75" w:afterAutospacing="0"/>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我方具备履行合同所必需的设备和专业技术能力，并对本声明承诺的真实性负责，否则产生不利后果由我方承担责任。</w:t>
      </w:r>
    </w:p>
    <w:p w14:paraId="364896B3">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特此声明。</w:t>
      </w:r>
    </w:p>
    <w:p w14:paraId="6B32D6C3">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029CAA95">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★注意：</w:t>
      </w:r>
    </w:p>
    <w:p w14:paraId="678FBD10">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1.磋商文件“供应商的资格”中特定资格条件如果没有特别规定，则由供应商在响应文件中按上述格式提供其具备履行合同所必需的设备和专业技术能力的声明即可，声明函应加盖供应商单位公章。</w:t>
      </w:r>
    </w:p>
    <w:p w14:paraId="24D948ED">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14:paraId="6E6D7491">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3.对于接受联合体形式的磋商且供应商是联合体的，则联合体各成员都应当提交本资格证明文件。</w:t>
      </w:r>
    </w:p>
    <w:p w14:paraId="7A960C50">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6564B0CB">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51D807DC">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（签字） </w:t>
      </w:r>
    </w:p>
    <w:p w14:paraId="54615ACA">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供应商名称：</w:t>
      </w:r>
      <w:r>
        <w:rPr>
          <w:rFonts w:hint="eastAsia" w:ascii="宋体" w:hAnsi="宋体" w:eastAsia="宋体" w:cs="宋体"/>
          <w:color w:val="000000" w:themeColor="text1"/>
          <w:spacing w:val="0"/>
          <w:sz w:val="24"/>
          <w:szCs w:val="24"/>
          <w:highlight w:val="none"/>
          <w:u w:val="single"/>
          <w14:textFill>
            <w14:solidFill>
              <w14:schemeClr w14:val="tx1"/>
            </w14:solidFill>
          </w14:textFill>
        </w:rPr>
        <w:t>         （全称并加盖公章）</w:t>
      </w:r>
    </w:p>
    <w:p w14:paraId="6EC6E497">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日  期：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w:t>
      </w:r>
    </w:p>
    <w:p w14:paraId="7020D18C">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196C5441">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53B429F4">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46623E1B">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05A684D6">
      <w:pPr>
        <w:pStyle w:val="7"/>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3C309813">
      <w:pPr>
        <w:pStyle w:val="7"/>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0B503F5F">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br w:type="page"/>
      </w:r>
      <w:r>
        <w:rPr>
          <w:rFonts w:hint="eastAsia" w:ascii="宋体" w:hAnsi="宋体" w:eastAsia="宋体" w:cs="宋体"/>
          <w:color w:val="000000" w:themeColor="text1"/>
          <w:spacing w:val="0"/>
          <w:sz w:val="24"/>
          <w:szCs w:val="24"/>
          <w:highlight w:val="none"/>
          <w14:textFill>
            <w14:solidFill>
              <w14:schemeClr w14:val="tx1"/>
            </w14:solidFill>
          </w14:textFill>
        </w:rPr>
        <w:t>附件3-9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参加采购活动前</w:t>
      </w:r>
      <w:r>
        <w:rPr>
          <w:rStyle w:val="12"/>
          <w:rFonts w:hint="eastAsia" w:ascii="宋体" w:hAnsi="宋体" w:cs="宋体"/>
          <w:b/>
          <w:bCs/>
          <w:color w:val="000000" w:themeColor="text1"/>
          <w:spacing w:val="0"/>
          <w:sz w:val="24"/>
          <w:szCs w:val="24"/>
          <w:highlight w:val="none"/>
          <w:lang w:val="en-US" w:eastAsia="zh-CN"/>
          <w14:textFill>
            <w14:solidFill>
              <w14:schemeClr w14:val="tx1"/>
            </w14:solidFill>
          </w14:textFill>
        </w:rPr>
        <w:t>3</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年内在经营活动中没有重大违法记录书面声明</w:t>
      </w:r>
    </w:p>
    <w:p w14:paraId="4F7AE596">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429EC714">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致：</w:t>
      </w:r>
      <w:r>
        <w:rPr>
          <w:rFonts w:hint="eastAsia" w:ascii="宋体" w:hAnsi="宋体" w:eastAsia="宋体" w:cs="宋体"/>
          <w:color w:val="000000" w:themeColor="text1"/>
          <w:spacing w:val="0"/>
          <w:sz w:val="24"/>
          <w:szCs w:val="24"/>
          <w:highlight w:val="none"/>
          <w:u w:val="single"/>
          <w14:textFill>
            <w14:solidFill>
              <w14:schemeClr w14:val="tx1"/>
            </w14:solidFill>
          </w14:textFill>
        </w:rPr>
        <w:t>     (采购人或采购代理机构)       </w:t>
      </w:r>
    </w:p>
    <w:p w14:paraId="0A565BB3">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参加采购活动前三年内，我方在经营活动中没有重大违法记录，</w:t>
      </w:r>
      <w:r>
        <w:rPr>
          <w:rFonts w:hint="eastAsia" w:ascii="宋体" w:hAnsi="宋体" w:eastAsia="宋体" w:cs="宋体"/>
          <w:color w:val="000000" w:themeColor="text1"/>
          <w:sz w:val="21"/>
          <w:szCs w:val="21"/>
          <w:highlight w:val="none"/>
          <w14:textFill>
            <w14:solidFill>
              <w14:schemeClr w14:val="tx1"/>
            </w14:solidFill>
          </w14:textFill>
        </w:rPr>
        <w:t>也无行贿犯罪记录。</w:t>
      </w:r>
    </w:p>
    <w:p w14:paraId="0BF926CF">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特此声明。</w:t>
      </w:r>
    </w:p>
    <w:p w14:paraId="1C7D6DCB">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6F9BBB6C">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★注意：</w:t>
      </w:r>
    </w:p>
    <w:p w14:paraId="2A51E7D1">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1、“重大违法记录”指供应商因违法经营受到刑事处罚或责令停产停业、吊销许可证或执照、较大数额罚款等行政处罚。</w:t>
      </w:r>
    </w:p>
    <w:p w14:paraId="280544F6">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2、请供应商根据实际情况进行声明，若声明不真实，视为提供虚假材料。</w:t>
      </w:r>
    </w:p>
    <w:p w14:paraId="29874FDF">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3、对于接受联合体形式的磋商且供应商是联合体的，则联合体各成员都应当提交本资格证明文件。</w:t>
      </w:r>
    </w:p>
    <w:p w14:paraId="6A1129EF">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46E3F974">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10BFE5DB">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（签字） </w:t>
      </w:r>
    </w:p>
    <w:p w14:paraId="7457E806">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供应商名称：</w:t>
      </w:r>
      <w:r>
        <w:rPr>
          <w:rFonts w:hint="eastAsia" w:ascii="宋体" w:hAnsi="宋体" w:eastAsia="宋体" w:cs="宋体"/>
          <w:color w:val="000000" w:themeColor="text1"/>
          <w:spacing w:val="0"/>
          <w:sz w:val="24"/>
          <w:szCs w:val="24"/>
          <w:highlight w:val="none"/>
          <w:u w:val="single"/>
          <w14:textFill>
            <w14:solidFill>
              <w14:schemeClr w14:val="tx1"/>
            </w14:solidFill>
          </w14:textFill>
        </w:rPr>
        <w:t>         （全称并加盖公章）</w:t>
      </w:r>
    </w:p>
    <w:p w14:paraId="579EA02C">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日  期：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w:t>
      </w:r>
    </w:p>
    <w:p w14:paraId="2C12AAB8">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3532B876">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5A68AEDA">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4A9BDCF3">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7696B42B">
      <w:pPr>
        <w:pStyle w:val="7"/>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1EB6E8A0">
      <w:pPr>
        <w:pStyle w:val="7"/>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6D0A5587">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br w:type="page"/>
      </w:r>
      <w:r>
        <w:rPr>
          <w:rFonts w:hint="eastAsia" w:ascii="宋体" w:hAnsi="宋体" w:eastAsia="宋体" w:cs="宋体"/>
          <w:color w:val="000000" w:themeColor="text1"/>
          <w:spacing w:val="0"/>
          <w:sz w:val="24"/>
          <w:szCs w:val="24"/>
          <w:highlight w:val="none"/>
          <w14:textFill>
            <w14:solidFill>
              <w14:schemeClr w14:val="tx1"/>
            </w14:solidFill>
          </w14:textFill>
        </w:rPr>
        <w:t>附件3-1</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pacing w:val="0"/>
          <w:sz w:val="24"/>
          <w:szCs w:val="24"/>
          <w:highlight w:val="none"/>
          <w14:textFill>
            <w14:solidFill>
              <w14:schemeClr w14:val="tx1"/>
            </w14:solidFill>
          </w14:textFill>
        </w:rPr>
        <w:t>   </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信用记录查询结果</w:t>
      </w:r>
    </w:p>
    <w:p w14:paraId="0C164349">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075D21A9">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致：</w:t>
      </w:r>
      <w:r>
        <w:rPr>
          <w:rFonts w:hint="eastAsia" w:ascii="宋体" w:hAnsi="宋体" w:eastAsia="宋体" w:cs="宋体"/>
          <w:color w:val="000000" w:themeColor="text1"/>
          <w:spacing w:val="0"/>
          <w:sz w:val="24"/>
          <w:szCs w:val="24"/>
          <w:highlight w:val="none"/>
          <w:u w:val="single"/>
          <w14:textFill>
            <w14:solidFill>
              <w14:schemeClr w14:val="tx1"/>
            </w14:solidFill>
          </w14:textFill>
        </w:rPr>
        <w:t>     (采购人或采购代理机构)     </w:t>
      </w:r>
    </w:p>
    <w:p w14:paraId="70313C8B">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现附上截至</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时我方通过“信用中国”网站（www.creditchina.gov.cn）获取的我方信用信息查询结果</w:t>
      </w:r>
      <w:r>
        <w:rPr>
          <w:rFonts w:hint="eastAsia" w:ascii="宋体" w:hAnsi="宋体" w:eastAsia="宋体" w:cs="宋体"/>
          <w:color w:val="000000" w:themeColor="text1"/>
          <w:spacing w:val="0"/>
          <w:sz w:val="24"/>
          <w:szCs w:val="24"/>
          <w:highlight w:val="none"/>
          <w:u w:val="single"/>
          <w14:textFill>
            <w14:solidFill>
              <w14:schemeClr w14:val="tx1"/>
            </w14:solidFill>
          </w14:textFill>
        </w:rPr>
        <w:t>（填写具体份数）</w:t>
      </w:r>
      <w:r>
        <w:rPr>
          <w:rFonts w:hint="eastAsia" w:ascii="宋体" w:hAnsi="宋体" w:eastAsia="宋体" w:cs="宋体"/>
          <w:color w:val="000000" w:themeColor="text1"/>
          <w:spacing w:val="0"/>
          <w:sz w:val="24"/>
          <w:szCs w:val="24"/>
          <w:highlight w:val="none"/>
          <w14:textFill>
            <w14:solidFill>
              <w14:schemeClr w14:val="tx1"/>
            </w14:solidFill>
          </w14:textFill>
        </w:rPr>
        <w:t>份、通过中国政府采购网（www.ccgp.gov.cn）获取的我方信用信息查询结果</w:t>
      </w:r>
      <w:r>
        <w:rPr>
          <w:rFonts w:hint="eastAsia" w:ascii="宋体" w:hAnsi="宋体" w:eastAsia="宋体" w:cs="宋体"/>
          <w:color w:val="000000" w:themeColor="text1"/>
          <w:spacing w:val="0"/>
          <w:sz w:val="24"/>
          <w:szCs w:val="24"/>
          <w:highlight w:val="none"/>
          <w:u w:val="single"/>
          <w14:textFill>
            <w14:solidFill>
              <w14:schemeClr w14:val="tx1"/>
            </w14:solidFill>
          </w14:textFill>
        </w:rPr>
        <w:t>（填写具体份数）</w:t>
      </w:r>
      <w:r>
        <w:rPr>
          <w:rFonts w:hint="eastAsia" w:ascii="宋体" w:hAnsi="宋体" w:eastAsia="宋体" w:cs="宋体"/>
          <w:color w:val="000000" w:themeColor="text1"/>
          <w:spacing w:val="0"/>
          <w:sz w:val="24"/>
          <w:szCs w:val="24"/>
          <w:highlight w:val="none"/>
          <w14:textFill>
            <w14:solidFill>
              <w14:schemeClr w14:val="tx1"/>
            </w14:solidFill>
          </w14:textFill>
        </w:rPr>
        <w:t>份，上述信用信息查询结果真实有效，否则我方负全部责任。</w:t>
      </w:r>
    </w:p>
    <w:p w14:paraId="751793E8">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6989CD3D">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★注意：</w:t>
      </w:r>
    </w:p>
    <w:p w14:paraId="65166ACC">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1、</w:t>
      </w:r>
      <w:r>
        <w:rPr>
          <w:rFonts w:hint="eastAsia" w:ascii="宋体" w:hAnsi="宋体" w:eastAsia="宋体" w:cs="宋体"/>
          <w:color w:val="000000" w:themeColor="text1"/>
          <w:spacing w:val="0"/>
          <w:sz w:val="24"/>
          <w:szCs w:val="24"/>
          <w:highlight w:val="none"/>
          <w14:textFill>
            <w14:solidFill>
              <w14:schemeClr w14:val="tx1"/>
            </w14:solidFill>
          </w14:textFill>
        </w:rPr>
        <w:t>供应商应</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同时提供</w:t>
      </w:r>
      <w:r>
        <w:rPr>
          <w:rFonts w:hint="eastAsia" w:ascii="宋体" w:hAnsi="宋体" w:eastAsia="宋体" w:cs="宋体"/>
          <w:color w:val="000000" w:themeColor="text1"/>
          <w:spacing w:val="0"/>
          <w:sz w:val="24"/>
          <w:szCs w:val="24"/>
          <w:highlight w:val="none"/>
          <w14:textFill>
            <w14:solidFill>
              <w14:schemeClr w14:val="tx1"/>
            </w14:solidFill>
          </w14:textFill>
        </w:rPr>
        <w:t>在磋商文件要求的首次响应文件递交截止时点前通过上述2个网站获取的信用信息查询结果，信用信息查询结果应为从上述网站获取的查询结果原始页面的打印件或完整截图，</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否则其响应文件将被否决。</w:t>
      </w:r>
    </w:p>
    <w:p w14:paraId="3E31644F">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2、若本项目接受联合体响应磋商且供应商为联合体，则联合体各成员均应</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同时提供</w:t>
      </w:r>
      <w:r>
        <w:rPr>
          <w:rFonts w:hint="eastAsia" w:ascii="宋体" w:hAnsi="宋体" w:eastAsia="宋体" w:cs="宋体"/>
          <w:color w:val="000000" w:themeColor="text1"/>
          <w:spacing w:val="0"/>
          <w:sz w:val="24"/>
          <w:szCs w:val="24"/>
          <w:highlight w:val="none"/>
          <w14:textFill>
            <w14:solidFill>
              <w14:schemeClr w14:val="tx1"/>
            </w14:solidFill>
          </w14:textFill>
        </w:rPr>
        <w:t>在磋商文件要求的首次响应文件截止时点前通过上述2个网站获取的联合体各方的信用信息查询结果，信用信息查询结果应为从上述网站获取的查询结果原始页面的完整截图或打印件，否则其响应文件将被否决。</w:t>
      </w:r>
    </w:p>
    <w:p w14:paraId="268C39FA">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3、联合体成员存在不良信用记录的，视同联合体存在不良信用记录，</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其响应文件将被否决。</w:t>
      </w:r>
    </w:p>
    <w:p w14:paraId="48874E00">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※除上述规定外，信用记录的其他有关规定（包括但不限于：信用信息的查询渠道及截止时点、查询记录和证据留存的具体方式、使用规则等内容）详见磋商文件第一章。 </w:t>
      </w:r>
    </w:p>
    <w:p w14:paraId="0E9D26E4">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43FED624">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0C43EB81">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（签字） </w:t>
      </w:r>
    </w:p>
    <w:p w14:paraId="2BFED0CE">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供应商名称：</w:t>
      </w:r>
      <w:r>
        <w:rPr>
          <w:rFonts w:hint="eastAsia" w:ascii="宋体" w:hAnsi="宋体" w:eastAsia="宋体" w:cs="宋体"/>
          <w:color w:val="000000" w:themeColor="text1"/>
          <w:spacing w:val="0"/>
          <w:sz w:val="24"/>
          <w:szCs w:val="24"/>
          <w:highlight w:val="none"/>
          <w:u w:val="single"/>
          <w14:textFill>
            <w14:solidFill>
              <w14:schemeClr w14:val="tx1"/>
            </w14:solidFill>
          </w14:textFill>
        </w:rPr>
        <w:t>         （全称并加盖公章）</w:t>
      </w:r>
    </w:p>
    <w:p w14:paraId="72060A07">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日  期：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w:t>
      </w:r>
    </w:p>
    <w:p w14:paraId="0D15ED65">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23770C3B">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113B7759">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056454E8">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2E18596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p>
    <w:p w14:paraId="56E87A4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eastAsia="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附件3-1</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1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联合体协议</w:t>
      </w:r>
      <w:r>
        <w:rPr>
          <w:rStyle w:val="12"/>
          <w:rFonts w:hint="eastAsia" w:ascii="宋体" w:hAnsi="宋体" w:cs="宋体"/>
          <w:b/>
          <w:bCs/>
          <w:color w:val="000000" w:themeColor="text1"/>
          <w:spacing w:val="0"/>
          <w:sz w:val="24"/>
          <w:szCs w:val="24"/>
          <w:highlight w:val="none"/>
          <w:lang w:eastAsia="zh-CN"/>
          <w14:textFill>
            <w14:solidFill>
              <w14:schemeClr w14:val="tx1"/>
            </w14:solidFill>
          </w14:textFill>
        </w:rPr>
        <w:t>（</w:t>
      </w:r>
      <w:r>
        <w:rPr>
          <w:rStyle w:val="12"/>
          <w:rFonts w:hint="eastAsia" w:ascii="宋体" w:hAnsi="宋体" w:cs="宋体"/>
          <w:b/>
          <w:bCs/>
          <w:color w:val="000000" w:themeColor="text1"/>
          <w:spacing w:val="0"/>
          <w:sz w:val="24"/>
          <w:szCs w:val="24"/>
          <w:highlight w:val="none"/>
          <w:lang w:val="en-US" w:eastAsia="zh-CN"/>
          <w14:textFill>
            <w14:solidFill>
              <w14:schemeClr w14:val="tx1"/>
            </w14:solidFill>
          </w14:textFill>
        </w:rPr>
        <w:t>若有</w:t>
      </w:r>
      <w:r>
        <w:rPr>
          <w:rStyle w:val="12"/>
          <w:rFonts w:hint="eastAsia" w:ascii="宋体" w:hAnsi="宋体" w:cs="宋体"/>
          <w:b/>
          <w:bCs/>
          <w:color w:val="000000" w:themeColor="text1"/>
          <w:spacing w:val="0"/>
          <w:sz w:val="24"/>
          <w:szCs w:val="24"/>
          <w:highlight w:val="none"/>
          <w:lang w:eastAsia="zh-CN"/>
          <w14:textFill>
            <w14:solidFill>
              <w14:schemeClr w14:val="tx1"/>
            </w14:solidFill>
          </w14:textFill>
        </w:rPr>
        <w:t>）</w:t>
      </w:r>
    </w:p>
    <w:p w14:paraId="4B98B4D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（接受联合体的项目使用）</w:t>
      </w:r>
    </w:p>
    <w:p w14:paraId="3AC925A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3A6C902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致：</w:t>
      </w:r>
      <w:r>
        <w:rPr>
          <w:rFonts w:hint="eastAsia" w:ascii="宋体" w:hAnsi="宋体" w:eastAsia="宋体" w:cs="宋体"/>
          <w:color w:val="000000" w:themeColor="text1"/>
          <w:spacing w:val="0"/>
          <w:sz w:val="24"/>
          <w:szCs w:val="24"/>
          <w:highlight w:val="none"/>
          <w:u w:val="single"/>
          <w14:textFill>
            <w14:solidFill>
              <w14:schemeClr w14:val="tx1"/>
            </w14:solidFill>
          </w14:textFill>
        </w:rPr>
        <w:t>     (采购人或采购代理机构</w:t>
      </w:r>
      <w:r>
        <w:rPr>
          <w:rFonts w:hint="default" w:ascii="Calibri" w:hAnsi="Calibri" w:cs="Calibri"/>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69A7ABB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兹有（</w:t>
      </w:r>
      <w:r>
        <w:rPr>
          <w:rFonts w:hint="eastAsia" w:ascii="宋体" w:hAnsi="宋体" w:eastAsia="宋体" w:cs="宋体"/>
          <w:color w:val="000000" w:themeColor="text1"/>
          <w:spacing w:val="0"/>
          <w:sz w:val="24"/>
          <w:szCs w:val="24"/>
          <w:highlight w:val="none"/>
          <w:u w:val="single"/>
          <w14:textFill>
            <w14:solidFill>
              <w14:schemeClr w14:val="tx1"/>
            </w14:solidFill>
          </w14:textFill>
        </w:rPr>
        <w:t>填写“联合体中各方的全称”，各方的全称之间请用“、”分割</w:t>
      </w:r>
      <w:r>
        <w:rPr>
          <w:rFonts w:hint="eastAsia" w:ascii="宋体" w:hAnsi="宋体" w:eastAsia="宋体" w:cs="宋体"/>
          <w:color w:val="000000" w:themeColor="text1"/>
          <w:spacing w:val="0"/>
          <w:sz w:val="24"/>
          <w:szCs w:val="24"/>
          <w:highlight w:val="none"/>
          <w14:textFill>
            <w14:solidFill>
              <w14:schemeClr w14:val="tx1"/>
            </w14:solidFill>
          </w14:textFill>
        </w:rPr>
        <w:t>）自愿组成联合体，共同参加（填写</w:t>
      </w:r>
      <w:r>
        <w:rPr>
          <w:rFonts w:hint="eastAsia" w:ascii="宋体" w:hAnsi="宋体" w:eastAsia="宋体" w:cs="宋体"/>
          <w:color w:val="000000" w:themeColor="text1"/>
          <w:spacing w:val="0"/>
          <w:sz w:val="24"/>
          <w:szCs w:val="24"/>
          <w:highlight w:val="none"/>
          <w:u w:val="single"/>
          <w14:textFill>
            <w14:solidFill>
              <w14:schemeClr w14:val="tx1"/>
            </w14:solidFill>
          </w14:textFill>
        </w:rPr>
        <w:t>  “项目名称”  </w:t>
      </w:r>
      <w:r>
        <w:rPr>
          <w:rFonts w:hint="eastAsia" w:ascii="宋体" w:hAnsi="宋体" w:eastAsia="宋体" w:cs="宋体"/>
          <w:color w:val="000000" w:themeColor="text1"/>
          <w:spacing w:val="0"/>
          <w:sz w:val="24"/>
          <w:szCs w:val="24"/>
          <w:highlight w:val="none"/>
          <w14:textFill>
            <w14:solidFill>
              <w14:schemeClr w14:val="tx1"/>
            </w14:solidFill>
          </w14:textFill>
        </w:rPr>
        <w:t>） 项目（项目编号：</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）的响应磋商。现就联合体参加本项目响应磋商的有关事宜达成下列协议：</w:t>
      </w:r>
    </w:p>
    <w:p w14:paraId="3D83EB2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一、联合体各方应承担的工作和义务具体如下：</w:t>
      </w:r>
    </w:p>
    <w:p w14:paraId="7E5B81C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1联合体牵头方单位名称：</w:t>
      </w:r>
      <w:r>
        <w:rPr>
          <w:rFonts w:hint="eastAsia" w:ascii="宋体" w:hAnsi="宋体" w:eastAsia="宋体" w:cs="宋体"/>
          <w:color w:val="000000" w:themeColor="text1"/>
          <w:spacing w:val="0"/>
          <w:sz w:val="24"/>
          <w:szCs w:val="24"/>
          <w:highlight w:val="none"/>
          <w:u w:val="single"/>
          <w14:textFill>
            <w14:solidFill>
              <w14:schemeClr w14:val="tx1"/>
            </w14:solidFill>
          </w14:textFill>
        </w:rPr>
        <w:t>  （填写“工作及义务的具体内容”） </w:t>
      </w:r>
      <w:r>
        <w:rPr>
          <w:rFonts w:hint="eastAsia" w:ascii="宋体" w:hAnsi="宋体" w:eastAsia="宋体" w:cs="宋体"/>
          <w:color w:val="000000" w:themeColor="text1"/>
          <w:spacing w:val="0"/>
          <w:sz w:val="24"/>
          <w:szCs w:val="24"/>
          <w:highlight w:val="none"/>
          <w14:textFill>
            <w14:solidFill>
              <w14:schemeClr w14:val="tx1"/>
            </w14:solidFill>
          </w14:textFill>
        </w:rPr>
        <w:t>；</w:t>
      </w:r>
    </w:p>
    <w:p w14:paraId="09C1D5D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2、联合体成员方单位名称：    </w:t>
      </w:r>
    </w:p>
    <w:p w14:paraId="7FA2A17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宋体" w:hAnsi="宋体" w:eastAsia="宋体" w:cs="宋体"/>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2.1（成员一的全称）：</w:t>
      </w:r>
      <w:r>
        <w:rPr>
          <w:rFonts w:hint="eastAsia" w:ascii="宋体" w:hAnsi="宋体" w:eastAsia="宋体" w:cs="宋体"/>
          <w:color w:val="000000" w:themeColor="text1"/>
          <w:spacing w:val="0"/>
          <w:sz w:val="24"/>
          <w:szCs w:val="24"/>
          <w:highlight w:val="none"/>
          <w:u w:val="single"/>
          <w14:textFill>
            <w14:solidFill>
              <w14:schemeClr w14:val="tx1"/>
            </w14:solidFill>
          </w14:textFill>
        </w:rPr>
        <w:t> （填写“工作及义务的具体内容”）    </w:t>
      </w:r>
      <w:r>
        <w:rPr>
          <w:rFonts w:hint="eastAsia" w:ascii="宋体" w:hAnsi="宋体" w:cs="宋体"/>
          <w:color w:val="000000" w:themeColor="text1"/>
          <w:spacing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0232B15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7A61DDD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67B3464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二、联合体各方约定由（</w:t>
      </w:r>
      <w:r>
        <w:rPr>
          <w:rFonts w:hint="eastAsia" w:ascii="宋体" w:hAnsi="宋体" w:eastAsia="宋体" w:cs="宋体"/>
          <w:color w:val="000000" w:themeColor="text1"/>
          <w:spacing w:val="0"/>
          <w:sz w:val="24"/>
          <w:szCs w:val="24"/>
          <w:highlight w:val="none"/>
          <w:u w:val="single"/>
          <w14:textFill>
            <w14:solidFill>
              <w14:schemeClr w14:val="tx1"/>
            </w14:solidFill>
          </w14:textFill>
        </w:rPr>
        <w:t>填写“牵头方的全称”</w:t>
      </w:r>
      <w:r>
        <w:rPr>
          <w:rFonts w:hint="eastAsia" w:ascii="宋体" w:hAnsi="宋体" w:eastAsia="宋体" w:cs="宋体"/>
          <w:color w:val="000000" w:themeColor="text1"/>
          <w:spacing w:val="0"/>
          <w:sz w:val="24"/>
          <w:szCs w:val="24"/>
          <w:highlight w:val="none"/>
          <w14:textFill>
            <w14:solidFill>
              <w14:schemeClr w14:val="tx1"/>
            </w14:solidFill>
          </w14:textFill>
        </w:rPr>
        <w:t>）代表联合体办理参加本项目响应磋商的有关事宜（包括但不限于：派出供应商代表、提交响应文件及参加磋商、澄清等工作），在此过程中，供应商代表签署的一切文件和处理结果，联合体各方均予以认可并对此承担责任。</w:t>
      </w:r>
    </w:p>
    <w:p w14:paraId="2CF61E5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三、联合体各方约定由（填写</w:t>
      </w:r>
      <w:r>
        <w:rPr>
          <w:rFonts w:hint="eastAsia" w:ascii="宋体" w:hAnsi="宋体" w:eastAsia="宋体" w:cs="宋体"/>
          <w:color w:val="000000" w:themeColor="text1"/>
          <w:spacing w:val="0"/>
          <w:sz w:val="24"/>
          <w:szCs w:val="24"/>
          <w:highlight w:val="none"/>
          <w:u w:val="single"/>
          <w14:textFill>
            <w14:solidFill>
              <w14:schemeClr w14:val="tx1"/>
            </w14:solidFill>
          </w14:textFill>
        </w:rPr>
        <w:t>填写“牵头方的全称”</w:t>
      </w:r>
      <w:r>
        <w:rPr>
          <w:rFonts w:hint="eastAsia" w:ascii="宋体" w:hAnsi="宋体" w:eastAsia="宋体" w:cs="宋体"/>
          <w:color w:val="000000" w:themeColor="text1"/>
          <w:spacing w:val="0"/>
          <w:sz w:val="24"/>
          <w:szCs w:val="24"/>
          <w:highlight w:val="none"/>
          <w14:textFill>
            <w14:solidFill>
              <w14:schemeClr w14:val="tx1"/>
            </w14:solidFill>
          </w14:textFill>
        </w:rPr>
        <w:t>）代表联合体办理磋商保证金事宜。</w:t>
      </w:r>
    </w:p>
    <w:p w14:paraId="5930A97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四、若成交，牵头方将代表联合体与采购人就合同签订事宜进行协商；若协商一致，则联合体各方将共同与采购人签订政府采购合同，并就政府采购合同约定的事项对采购人承担连带责任。</w:t>
      </w:r>
    </w:p>
    <w:p w14:paraId="421A70F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五、本协议自签署之日起生效，政府采购合同履行完毕后自动失效。</w:t>
      </w:r>
    </w:p>
    <w:p w14:paraId="438E8E6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六、本协议一式（填写具体份数）份，联合体各方各执一份，响应文件中提交一份。</w:t>
      </w:r>
    </w:p>
    <w:p w14:paraId="2175590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（以下无正文）</w:t>
      </w:r>
    </w:p>
    <w:p w14:paraId="189E79A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牵头方：</w:t>
      </w:r>
      <w:r>
        <w:rPr>
          <w:rFonts w:hint="eastAsia" w:ascii="宋体" w:hAnsi="宋体" w:eastAsia="宋体" w:cs="宋体"/>
          <w:color w:val="000000" w:themeColor="text1"/>
          <w:spacing w:val="0"/>
          <w:sz w:val="24"/>
          <w:szCs w:val="24"/>
          <w:highlight w:val="none"/>
          <w:u w:val="single"/>
          <w14:textFill>
            <w14:solidFill>
              <w14:schemeClr w14:val="tx1"/>
            </w14:solidFill>
          </w14:textFill>
        </w:rPr>
        <w:t>（全称并加盖单位公章）</w:t>
      </w:r>
    </w:p>
    <w:p w14:paraId="0D3089E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（签字或盖章）  </w:t>
      </w:r>
    </w:p>
    <w:p w14:paraId="710E037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成员一：</w:t>
      </w:r>
      <w:r>
        <w:rPr>
          <w:rFonts w:hint="eastAsia" w:ascii="宋体" w:hAnsi="宋体" w:eastAsia="宋体" w:cs="宋体"/>
          <w:color w:val="000000" w:themeColor="text1"/>
          <w:spacing w:val="0"/>
          <w:sz w:val="24"/>
          <w:szCs w:val="24"/>
          <w:highlight w:val="none"/>
          <w:u w:val="single"/>
          <w14:textFill>
            <w14:solidFill>
              <w14:schemeClr w14:val="tx1"/>
            </w14:solidFill>
          </w14:textFill>
        </w:rPr>
        <w:t>（全称并加盖成员一的单位公章）</w:t>
      </w:r>
    </w:p>
    <w:p w14:paraId="284F1EE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（签字或盖章）  </w:t>
      </w:r>
    </w:p>
    <w:p w14:paraId="6FA1762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w:t>
      </w:r>
    </w:p>
    <w:p w14:paraId="0C84AD8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成员**：</w:t>
      </w:r>
      <w:r>
        <w:rPr>
          <w:rFonts w:hint="eastAsia" w:ascii="宋体" w:hAnsi="宋体" w:eastAsia="宋体" w:cs="宋体"/>
          <w:color w:val="000000" w:themeColor="text1"/>
          <w:spacing w:val="0"/>
          <w:sz w:val="24"/>
          <w:szCs w:val="24"/>
          <w:highlight w:val="none"/>
          <w:u w:val="single"/>
          <w14:textFill>
            <w14:solidFill>
              <w14:schemeClr w14:val="tx1"/>
            </w14:solidFill>
          </w14:textFill>
        </w:rPr>
        <w:t>（全称并加盖成员**的单位公章）</w:t>
      </w:r>
    </w:p>
    <w:p w14:paraId="43F7990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（签字或盖章）  </w:t>
      </w:r>
    </w:p>
    <w:p w14:paraId="0CABCFE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17C37B6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3E7AA1F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签署日期：</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w:t>
      </w:r>
    </w:p>
    <w:p w14:paraId="6E63F09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43C7146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3E602FE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★注意：</w:t>
      </w:r>
    </w:p>
    <w:p w14:paraId="1C799A8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1、若磋商文件规定接受联合体形式且供应商为联合体的，则供应商应提供本协议；否则无须提供。</w:t>
      </w:r>
    </w:p>
    <w:p w14:paraId="06B1882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2、本协议中的供应商代表如果不是竞争性磋商须知中定义的“单位负责人”，则还必须提供“单位负责人授权书”。</w:t>
      </w:r>
    </w:p>
    <w:p w14:paraId="3B1B921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3、若磋商文件规定接受联合体形式且供应商为联合体的，纸质响应文件正本中的本协议应为原件。 </w:t>
      </w:r>
    </w:p>
    <w:p w14:paraId="02B8D7F7">
      <w:pPr>
        <w:pStyle w:val="7"/>
        <w:keepNext w:val="0"/>
        <w:keepLines w:val="0"/>
        <w:widowControl/>
        <w:suppressLineNumbers w:val="0"/>
        <w:spacing w:before="75" w:beforeAutospacing="0" w:after="75" w:afterAutospacing="0" w:line="42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07A7EC63">
      <w:pPr>
        <w:pStyle w:val="7"/>
        <w:keepNext w:val="0"/>
        <w:keepLines w:val="0"/>
        <w:widowControl/>
        <w:suppressLineNumbers w:val="0"/>
        <w:spacing w:before="75" w:beforeAutospacing="0" w:after="75" w:afterAutospacing="0"/>
        <w:ind w:left="0" w:right="0" w:firstLine="0"/>
        <w:rPr>
          <w:rStyle w:val="12"/>
          <w:rFonts w:hint="eastAsia" w:ascii="宋体" w:hAnsi="宋体" w:eastAsia="宋体" w:cs="宋体"/>
          <w:b/>
          <w:bCs/>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附件3-1</w:t>
      </w:r>
      <w:r>
        <w:rPr>
          <w:rFonts w:hint="eastAsia" w:ascii="宋体" w:hAnsi="宋体" w:cs="宋体"/>
          <w:color w:val="000000" w:themeColor="text1"/>
          <w:spacing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0"/>
          <w:sz w:val="24"/>
          <w:szCs w:val="24"/>
          <w:highlight w:val="none"/>
          <w14:textFill>
            <w14:solidFill>
              <w14:schemeClr w14:val="tx1"/>
            </w14:solidFill>
          </w14:textFill>
        </w:rPr>
        <w:t>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其它资格证明文件</w:t>
      </w:r>
    </w:p>
    <w:p w14:paraId="271D059C">
      <w:pPr>
        <w:pStyle w:val="7"/>
        <w:keepNext w:val="0"/>
        <w:keepLines w:val="0"/>
        <w:widowControl/>
        <w:suppressLineNumbers w:val="0"/>
        <w:spacing w:before="75" w:beforeAutospacing="0" w:after="75" w:afterAutospacing="0"/>
        <w:ind w:left="0" w:right="0" w:firstLine="0"/>
        <w:rPr>
          <w:rStyle w:val="12"/>
          <w:rFonts w:hint="eastAsia" w:ascii="宋体" w:hAnsi="宋体" w:eastAsia="宋体" w:cs="宋体"/>
          <w:b/>
          <w:bCs/>
          <w:color w:val="000000" w:themeColor="text1"/>
          <w:spacing w:val="0"/>
          <w:sz w:val="24"/>
          <w:szCs w:val="24"/>
          <w:highlight w:val="none"/>
          <w:lang w:eastAsia="zh-CN"/>
          <w14:textFill>
            <w14:solidFill>
              <w14:schemeClr w14:val="tx1"/>
            </w14:solidFill>
          </w14:textFill>
        </w:rPr>
      </w:pPr>
    </w:p>
    <w:p w14:paraId="0E29913F">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r>
        <w:rPr>
          <w:rStyle w:val="12"/>
          <w:rFonts w:hint="eastAsia" w:ascii="宋体" w:hAnsi="宋体" w:cs="宋体"/>
          <w:b/>
          <w:bCs/>
          <w:color w:val="000000" w:themeColor="text1"/>
          <w:spacing w:val="0"/>
          <w:sz w:val="24"/>
          <w:szCs w:val="24"/>
          <w:highlight w:val="none"/>
          <w:lang w:val="en-US" w:eastAsia="zh-CN"/>
          <w14:textFill>
            <w14:solidFill>
              <w14:schemeClr w14:val="tx1"/>
            </w14:solidFill>
          </w14:textFill>
        </w:rPr>
        <w:t>若有</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w:t>
      </w:r>
    </w:p>
    <w:p w14:paraId="2EB4614D">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4E01C11A">
      <w:pPr>
        <w:pStyle w:val="7"/>
        <w:keepNext w:val="0"/>
        <w:keepLines w:val="0"/>
        <w:widowControl/>
        <w:suppressLineNumbers w:val="0"/>
        <w:spacing w:before="75" w:beforeAutospacing="0" w:after="75" w:afterAutospacing="0" w:line="435" w:lineRule="atLeast"/>
        <w:ind w:left="0" w:right="0" w:firstLine="48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说明：</w:t>
      </w:r>
    </w:p>
    <w:p w14:paraId="65686DBC">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14:paraId="47190412">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2、若磋商文件规定接受联合体形式且供应商为联合体的，涉及联合体成员的其它资格证明文件在此处提供相关证明材料，并加盖供应商单位公章。</w:t>
      </w:r>
    </w:p>
    <w:p w14:paraId="39FB15D4">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1F192E6A">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3477BCDF">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730F30BE">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1E1D567E">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56C0A71E">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（签字） </w:t>
      </w:r>
    </w:p>
    <w:p w14:paraId="4B008BD0">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供应商名称：</w:t>
      </w:r>
      <w:r>
        <w:rPr>
          <w:rFonts w:hint="eastAsia" w:ascii="宋体" w:hAnsi="宋体" w:eastAsia="宋体" w:cs="宋体"/>
          <w:color w:val="000000" w:themeColor="text1"/>
          <w:spacing w:val="0"/>
          <w:sz w:val="24"/>
          <w:szCs w:val="24"/>
          <w:highlight w:val="none"/>
          <w:u w:val="single"/>
          <w14:textFill>
            <w14:solidFill>
              <w14:schemeClr w14:val="tx1"/>
            </w14:solidFill>
          </w14:textFill>
        </w:rPr>
        <w:t>         （全称并加盖公章）</w:t>
      </w:r>
    </w:p>
    <w:p w14:paraId="428BD0D3">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日  期：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w:t>
      </w:r>
    </w:p>
    <w:p w14:paraId="0A2998C0">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73B0990C">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5B4845D7">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602F0A55">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209E9A13">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p>
    <w:p w14:paraId="42B48EB5">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0AFC56BD">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5C470D25">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58174C93">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0DDD1220">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758BEC1F">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br w:type="page"/>
      </w:r>
      <w:r>
        <w:rPr>
          <w:rFonts w:hint="eastAsia" w:ascii="宋体" w:hAnsi="宋体" w:eastAsia="宋体" w:cs="宋体"/>
          <w:color w:val="000000" w:themeColor="text1"/>
          <w:spacing w:val="0"/>
          <w:sz w:val="24"/>
          <w:szCs w:val="24"/>
          <w:highlight w:val="none"/>
          <w14:textFill>
            <w14:solidFill>
              <w14:schemeClr w14:val="tx1"/>
            </w14:solidFill>
          </w14:textFill>
        </w:rPr>
        <w:t>附件4        </w:t>
      </w:r>
      <w:r>
        <w:rPr>
          <w:rFonts w:hint="eastAsia" w:ascii="宋体" w:hAnsi="宋体" w:eastAsia="宋体" w:cs="宋体"/>
          <w:color w:val="000000" w:themeColor="text1"/>
          <w:spacing w:val="0"/>
          <w:sz w:val="24"/>
          <w:szCs w:val="24"/>
          <w:highlight w:val="none"/>
          <w:lang w:val="en-US" w:eastAsia="zh-CN"/>
          <w14:textFill>
            <w14:solidFill>
              <w14:schemeClr w14:val="tx1"/>
            </w14:solidFill>
          </w14:textFill>
        </w:rPr>
        <w:t xml:space="preserve">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磋商保证金凭证</w:t>
      </w:r>
    </w:p>
    <w:p w14:paraId="3DE5E7EC">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3DF49C83">
      <w:pPr>
        <w:pStyle w:val="7"/>
        <w:keepNext w:val="0"/>
        <w:keepLines w:val="0"/>
        <w:widowControl/>
        <w:suppressLineNumbers w:val="0"/>
        <w:spacing w:before="75" w:beforeAutospacing="0" w:after="75" w:afterAutospacing="0"/>
        <w:ind w:left="0" w:right="0" w:firstLine="336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编制说明</w:t>
      </w:r>
    </w:p>
    <w:p w14:paraId="5A3972E0">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75FAA216">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1、</w:t>
      </w:r>
      <w:r>
        <w:rPr>
          <w:rFonts w:hint="eastAsia" w:ascii="宋体" w:hAnsi="宋体" w:eastAsia="宋体" w:cs="宋体"/>
          <w:color w:val="000000" w:themeColor="text1"/>
          <w:spacing w:val="0"/>
          <w:sz w:val="24"/>
          <w:szCs w:val="24"/>
          <w:highlight w:val="none"/>
          <w14:textFill>
            <w14:solidFill>
              <w14:schemeClr w14:val="tx1"/>
            </w14:solidFill>
          </w14:textFill>
        </w:rPr>
        <w:t>在此项下提交的“</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磋商保证金</w:t>
      </w:r>
      <w:r>
        <w:rPr>
          <w:rFonts w:hint="eastAsia" w:ascii="宋体" w:hAnsi="宋体" w:eastAsia="宋体" w:cs="宋体"/>
          <w:color w:val="000000" w:themeColor="text1"/>
          <w:spacing w:val="0"/>
          <w:sz w:val="24"/>
          <w:szCs w:val="24"/>
          <w:highlight w:val="none"/>
          <w14:textFill>
            <w14:solidFill>
              <w14:schemeClr w14:val="tx1"/>
            </w14:solidFill>
          </w14:textFill>
        </w:rPr>
        <w:t>”材料可使用转账凭证复印件。</w:t>
      </w:r>
    </w:p>
    <w:p w14:paraId="3F4267BF">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2、磋商保证金是否已提交按照磋商文件规定执行。</w:t>
      </w:r>
      <w:r>
        <w:rPr>
          <w:rFonts w:hint="eastAsia" w:ascii="宋体" w:hAnsi="宋体" w:eastAsia="宋体" w:cs="宋体"/>
          <w:color w:val="000000" w:themeColor="text1"/>
          <w:spacing w:val="0"/>
          <w:sz w:val="24"/>
          <w:szCs w:val="24"/>
          <w:highlight w:val="none"/>
          <w14:textFill>
            <w14:solidFill>
              <w14:schemeClr w14:val="tx1"/>
            </w14:solidFill>
          </w14:textFill>
        </w:rPr>
        <w:br w:type="page"/>
      </w:r>
      <w:r>
        <w:rPr>
          <w:rFonts w:hint="eastAsia" w:ascii="宋体" w:hAnsi="宋体" w:eastAsia="宋体" w:cs="宋体"/>
          <w:color w:val="000000" w:themeColor="text1"/>
          <w:spacing w:val="0"/>
          <w:sz w:val="24"/>
          <w:szCs w:val="24"/>
          <w:highlight w:val="none"/>
          <w14:textFill>
            <w14:solidFill>
              <w14:schemeClr w14:val="tx1"/>
            </w14:solidFill>
          </w14:textFill>
        </w:rPr>
        <w:t>附件</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5                               </w:t>
      </w:r>
      <w:r>
        <w:rPr>
          <w:rFonts w:hint="eastAsia" w:ascii="宋体" w:hAnsi="宋体" w:eastAsia="宋体" w:cs="宋体"/>
          <w:b/>
          <w:bCs/>
          <w:color w:val="000000" w:themeColor="text1"/>
          <w:spacing w:val="0"/>
          <w:sz w:val="24"/>
          <w:szCs w:val="24"/>
          <w:highlight w:val="none"/>
          <w14:textFill>
            <w14:solidFill>
              <w14:schemeClr w14:val="tx1"/>
            </w14:solidFill>
          </w14:textFill>
        </w:rPr>
        <w:t>技术和商务偏离表</w:t>
      </w:r>
    </w:p>
    <w:p w14:paraId="5E63B365">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000000" w:themeColor="text1"/>
          <w:spacing w:val="0"/>
          <w:sz w:val="24"/>
          <w:szCs w:val="24"/>
          <w:highlight w:val="none"/>
          <w14:textFill>
            <w14:solidFill>
              <w14:schemeClr w14:val="tx1"/>
            </w14:solidFill>
          </w14:textFill>
        </w:rPr>
      </w:pPr>
    </w:p>
    <w:p w14:paraId="3021B488">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附件</w:t>
      </w:r>
      <w:r>
        <w:rPr>
          <w:rFonts w:hint="eastAsia" w:ascii="宋体" w:hAnsi="宋体" w:cs="宋体"/>
          <w:color w:val="000000" w:themeColor="text1"/>
          <w:spacing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0"/>
          <w:sz w:val="24"/>
          <w:szCs w:val="24"/>
          <w:highlight w:val="none"/>
          <w14:textFill>
            <w14:solidFill>
              <w14:schemeClr w14:val="tx1"/>
            </w14:solidFill>
          </w14:textFill>
        </w:rPr>
        <w:t>-1  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技术和服务要求响应表</w:t>
      </w: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445E08C5">
      <w:pPr>
        <w:pStyle w:val="7"/>
        <w:keepNext w:val="0"/>
        <w:keepLines w:val="0"/>
        <w:widowControl/>
        <w:suppressLineNumbers w:val="0"/>
        <w:spacing w:before="75" w:beforeAutospacing="0" w:after="75" w:afterAutospacing="0" w:line="37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供应商名称：</w:t>
      </w:r>
      <w:r>
        <w:rPr>
          <w:rFonts w:hint="eastAsia" w:ascii="宋体" w:hAnsi="宋体" w:eastAsia="宋体" w:cs="宋体"/>
          <w:color w:val="000000" w:themeColor="text1"/>
          <w:spacing w:val="0"/>
          <w:sz w:val="24"/>
          <w:szCs w:val="24"/>
          <w:highlight w:val="none"/>
          <w:u w:val="single"/>
          <w14:textFill>
            <w14:solidFill>
              <w14:schemeClr w14:val="tx1"/>
            </w14:solidFill>
          </w14:textFill>
        </w:rPr>
        <w:t> （全称加盖单位公章）</w:t>
      </w:r>
      <w:r>
        <w:rPr>
          <w:rFonts w:hint="eastAsia" w:ascii="宋体" w:hAnsi="宋体" w:eastAsia="宋体" w:cs="宋体"/>
          <w:color w:val="000000" w:themeColor="text1"/>
          <w:spacing w:val="0"/>
          <w:sz w:val="24"/>
          <w:szCs w:val="24"/>
          <w:highlight w:val="none"/>
          <w14:textFill>
            <w14:solidFill>
              <w14:schemeClr w14:val="tx1"/>
            </w14:solidFill>
          </w14:textFill>
        </w:rPr>
        <w:t>  项目编号∶</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p>
    <w:tbl>
      <w:tblPr>
        <w:tblStyle w:val="10"/>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72"/>
        <w:gridCol w:w="1487"/>
        <w:gridCol w:w="2663"/>
        <w:gridCol w:w="2150"/>
        <w:gridCol w:w="1412"/>
      </w:tblGrid>
      <w:tr w14:paraId="487D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rPr>
        <w:tc>
          <w:tcPr>
            <w:tcW w:w="1072" w:type="dxa"/>
            <w:noWrap w:val="0"/>
            <w:tcMar>
              <w:top w:w="0" w:type="dxa"/>
              <w:left w:w="105" w:type="dxa"/>
              <w:bottom w:w="0" w:type="dxa"/>
              <w:right w:w="105" w:type="dxa"/>
            </w:tcMar>
            <w:vAlign w:val="center"/>
          </w:tcPr>
          <w:p w14:paraId="7F71AB0D">
            <w:pPr>
              <w:pStyle w:val="7"/>
              <w:keepNext w:val="0"/>
              <w:keepLines w:val="0"/>
              <w:widowControl/>
              <w:suppressLineNumbers w:val="0"/>
              <w:spacing w:before="0" w:beforeAutospacing="0" w:after="0" w:afterAutospacing="0" w:line="375" w:lineRule="atLeast"/>
              <w:ind w:left="0" w:right="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合同包</w:t>
            </w:r>
          </w:p>
        </w:tc>
        <w:tc>
          <w:tcPr>
            <w:tcW w:w="1487" w:type="dxa"/>
            <w:noWrap w:val="0"/>
            <w:tcMar>
              <w:top w:w="0" w:type="dxa"/>
              <w:left w:w="105" w:type="dxa"/>
              <w:bottom w:w="0" w:type="dxa"/>
              <w:right w:w="105" w:type="dxa"/>
            </w:tcMar>
            <w:vAlign w:val="center"/>
          </w:tcPr>
          <w:p w14:paraId="566C0922">
            <w:pPr>
              <w:pStyle w:val="7"/>
              <w:keepNext w:val="0"/>
              <w:keepLines w:val="0"/>
              <w:widowControl/>
              <w:suppressLineNumbers w:val="0"/>
              <w:spacing w:before="0" w:beforeAutospacing="0" w:after="0" w:afterAutospacing="0" w:line="375" w:lineRule="atLeast"/>
              <w:ind w:left="0" w:right="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章节条目号</w:t>
            </w:r>
          </w:p>
        </w:tc>
        <w:tc>
          <w:tcPr>
            <w:tcW w:w="2663" w:type="dxa"/>
            <w:noWrap w:val="0"/>
            <w:tcMar>
              <w:top w:w="0" w:type="dxa"/>
              <w:left w:w="105" w:type="dxa"/>
              <w:bottom w:w="0" w:type="dxa"/>
              <w:right w:w="105" w:type="dxa"/>
            </w:tcMar>
            <w:vAlign w:val="center"/>
          </w:tcPr>
          <w:p w14:paraId="7D327B8B">
            <w:pPr>
              <w:pStyle w:val="7"/>
              <w:keepNext w:val="0"/>
              <w:keepLines w:val="0"/>
              <w:widowControl/>
              <w:suppressLineNumbers w:val="0"/>
              <w:spacing w:before="0" w:beforeAutospacing="0" w:after="0" w:afterAutospacing="0" w:line="375" w:lineRule="atLeast"/>
              <w:ind w:left="0" w:right="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竞争性磋商文件规定的技术和服务要求</w:t>
            </w:r>
          </w:p>
        </w:tc>
        <w:tc>
          <w:tcPr>
            <w:tcW w:w="2150" w:type="dxa"/>
            <w:noWrap w:val="0"/>
            <w:tcMar>
              <w:top w:w="0" w:type="dxa"/>
              <w:left w:w="105" w:type="dxa"/>
              <w:bottom w:w="0" w:type="dxa"/>
              <w:right w:w="105" w:type="dxa"/>
            </w:tcMar>
            <w:vAlign w:val="center"/>
          </w:tcPr>
          <w:p w14:paraId="2BEBB360">
            <w:pPr>
              <w:pStyle w:val="7"/>
              <w:keepNext w:val="0"/>
              <w:keepLines w:val="0"/>
              <w:widowControl/>
              <w:suppressLineNumbers w:val="0"/>
              <w:spacing w:before="0" w:beforeAutospacing="0" w:after="0" w:afterAutospacing="0" w:line="375" w:lineRule="atLeast"/>
              <w:ind w:left="0" w:right="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响应文件响应承诺</w:t>
            </w:r>
          </w:p>
        </w:tc>
        <w:tc>
          <w:tcPr>
            <w:tcW w:w="1412" w:type="dxa"/>
            <w:noWrap w:val="0"/>
            <w:tcMar>
              <w:top w:w="0" w:type="dxa"/>
              <w:left w:w="105" w:type="dxa"/>
              <w:bottom w:w="0" w:type="dxa"/>
              <w:right w:w="105" w:type="dxa"/>
            </w:tcMar>
            <w:vAlign w:val="center"/>
          </w:tcPr>
          <w:p w14:paraId="6CE5F228">
            <w:pPr>
              <w:pStyle w:val="7"/>
              <w:keepNext w:val="0"/>
              <w:keepLines w:val="0"/>
              <w:widowControl/>
              <w:suppressLineNumbers w:val="0"/>
              <w:spacing w:before="0" w:beforeAutospacing="0" w:after="0" w:afterAutospacing="0" w:line="375" w:lineRule="atLeast"/>
              <w:ind w:left="0" w:right="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是否偏离及说明</w:t>
            </w:r>
          </w:p>
        </w:tc>
      </w:tr>
      <w:tr w14:paraId="57B8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072" w:type="dxa"/>
            <w:noWrap w:val="0"/>
            <w:tcMar>
              <w:top w:w="0" w:type="dxa"/>
              <w:left w:w="105" w:type="dxa"/>
              <w:bottom w:w="0" w:type="dxa"/>
              <w:right w:w="105" w:type="dxa"/>
            </w:tcMar>
            <w:vAlign w:val="center"/>
          </w:tcPr>
          <w:p w14:paraId="511C07EE">
            <w:pPr>
              <w:keepNext w:val="0"/>
              <w:keepLines w:val="0"/>
              <w:widowControl/>
              <w:suppressLineNumbers w:val="0"/>
              <w:jc w:val="left"/>
              <w:rPr>
                <w:color w:val="000000" w:themeColor="text1"/>
                <w:highlight w:val="none"/>
                <w14:textFill>
                  <w14:solidFill>
                    <w14:schemeClr w14:val="tx1"/>
                  </w14:solidFill>
                </w14:textFill>
              </w:rPr>
            </w:pPr>
          </w:p>
        </w:tc>
        <w:tc>
          <w:tcPr>
            <w:tcW w:w="1487" w:type="dxa"/>
            <w:noWrap w:val="0"/>
            <w:tcMar>
              <w:top w:w="0" w:type="dxa"/>
              <w:left w:w="105" w:type="dxa"/>
              <w:bottom w:w="0" w:type="dxa"/>
              <w:right w:w="105" w:type="dxa"/>
            </w:tcMar>
            <w:vAlign w:val="center"/>
          </w:tcPr>
          <w:p w14:paraId="347290A9">
            <w:pPr>
              <w:keepNext w:val="0"/>
              <w:keepLines w:val="0"/>
              <w:widowControl/>
              <w:suppressLineNumbers w:val="0"/>
              <w:jc w:val="left"/>
              <w:rPr>
                <w:color w:val="000000" w:themeColor="text1"/>
                <w:highlight w:val="none"/>
                <w14:textFill>
                  <w14:solidFill>
                    <w14:schemeClr w14:val="tx1"/>
                  </w14:solidFill>
                </w14:textFill>
              </w:rPr>
            </w:pPr>
          </w:p>
        </w:tc>
        <w:tc>
          <w:tcPr>
            <w:tcW w:w="2663" w:type="dxa"/>
            <w:noWrap w:val="0"/>
            <w:tcMar>
              <w:top w:w="0" w:type="dxa"/>
              <w:left w:w="105" w:type="dxa"/>
              <w:bottom w:w="0" w:type="dxa"/>
              <w:right w:w="105" w:type="dxa"/>
            </w:tcMar>
            <w:vAlign w:val="center"/>
          </w:tcPr>
          <w:p w14:paraId="3FF224D4">
            <w:pPr>
              <w:keepNext w:val="0"/>
              <w:keepLines w:val="0"/>
              <w:widowControl/>
              <w:suppressLineNumbers w:val="0"/>
              <w:jc w:val="left"/>
              <w:rPr>
                <w:color w:val="000000" w:themeColor="text1"/>
                <w:highlight w:val="none"/>
                <w14:textFill>
                  <w14:solidFill>
                    <w14:schemeClr w14:val="tx1"/>
                  </w14:solidFill>
                </w14:textFill>
              </w:rPr>
            </w:pPr>
          </w:p>
        </w:tc>
        <w:tc>
          <w:tcPr>
            <w:tcW w:w="2150" w:type="dxa"/>
            <w:noWrap w:val="0"/>
            <w:tcMar>
              <w:top w:w="0" w:type="dxa"/>
              <w:left w:w="105" w:type="dxa"/>
              <w:bottom w:w="0" w:type="dxa"/>
              <w:right w:w="105" w:type="dxa"/>
            </w:tcMar>
            <w:vAlign w:val="center"/>
          </w:tcPr>
          <w:p w14:paraId="1266DD90">
            <w:pPr>
              <w:keepNext w:val="0"/>
              <w:keepLines w:val="0"/>
              <w:widowControl/>
              <w:suppressLineNumbers w:val="0"/>
              <w:jc w:val="left"/>
              <w:rPr>
                <w:color w:val="000000" w:themeColor="text1"/>
                <w:highlight w:val="none"/>
                <w14:textFill>
                  <w14:solidFill>
                    <w14:schemeClr w14:val="tx1"/>
                  </w14:solidFill>
                </w14:textFill>
              </w:rPr>
            </w:pPr>
          </w:p>
        </w:tc>
        <w:tc>
          <w:tcPr>
            <w:tcW w:w="1412" w:type="dxa"/>
            <w:noWrap w:val="0"/>
            <w:tcMar>
              <w:top w:w="0" w:type="dxa"/>
              <w:left w:w="105" w:type="dxa"/>
              <w:bottom w:w="0" w:type="dxa"/>
              <w:right w:w="105" w:type="dxa"/>
            </w:tcMar>
            <w:vAlign w:val="center"/>
          </w:tcPr>
          <w:p w14:paraId="0D01F6C6">
            <w:pPr>
              <w:keepNext w:val="0"/>
              <w:keepLines w:val="0"/>
              <w:widowControl/>
              <w:suppressLineNumbers w:val="0"/>
              <w:jc w:val="left"/>
              <w:rPr>
                <w:color w:val="000000" w:themeColor="text1"/>
                <w:highlight w:val="none"/>
                <w14:textFill>
                  <w14:solidFill>
                    <w14:schemeClr w14:val="tx1"/>
                  </w14:solidFill>
                </w14:textFill>
              </w:rPr>
            </w:pPr>
          </w:p>
        </w:tc>
      </w:tr>
      <w:tr w14:paraId="29C6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072" w:type="dxa"/>
            <w:noWrap w:val="0"/>
            <w:tcMar>
              <w:top w:w="0" w:type="dxa"/>
              <w:left w:w="105" w:type="dxa"/>
              <w:bottom w:w="0" w:type="dxa"/>
              <w:right w:w="105" w:type="dxa"/>
            </w:tcMar>
            <w:vAlign w:val="center"/>
          </w:tcPr>
          <w:p w14:paraId="1C4AF7E1">
            <w:pPr>
              <w:keepNext w:val="0"/>
              <w:keepLines w:val="0"/>
              <w:widowControl/>
              <w:suppressLineNumbers w:val="0"/>
              <w:jc w:val="left"/>
              <w:rPr>
                <w:color w:val="000000" w:themeColor="text1"/>
                <w:highlight w:val="none"/>
                <w14:textFill>
                  <w14:solidFill>
                    <w14:schemeClr w14:val="tx1"/>
                  </w14:solidFill>
                </w14:textFill>
              </w:rPr>
            </w:pPr>
          </w:p>
        </w:tc>
        <w:tc>
          <w:tcPr>
            <w:tcW w:w="1487" w:type="dxa"/>
            <w:noWrap w:val="0"/>
            <w:tcMar>
              <w:top w:w="0" w:type="dxa"/>
              <w:left w:w="105" w:type="dxa"/>
              <w:bottom w:w="0" w:type="dxa"/>
              <w:right w:w="105" w:type="dxa"/>
            </w:tcMar>
            <w:vAlign w:val="center"/>
          </w:tcPr>
          <w:p w14:paraId="2F0DDC4E">
            <w:pPr>
              <w:keepNext w:val="0"/>
              <w:keepLines w:val="0"/>
              <w:widowControl/>
              <w:suppressLineNumbers w:val="0"/>
              <w:jc w:val="left"/>
              <w:rPr>
                <w:color w:val="000000" w:themeColor="text1"/>
                <w:highlight w:val="none"/>
                <w14:textFill>
                  <w14:solidFill>
                    <w14:schemeClr w14:val="tx1"/>
                  </w14:solidFill>
                </w14:textFill>
              </w:rPr>
            </w:pPr>
          </w:p>
        </w:tc>
        <w:tc>
          <w:tcPr>
            <w:tcW w:w="2663" w:type="dxa"/>
            <w:noWrap w:val="0"/>
            <w:tcMar>
              <w:top w:w="0" w:type="dxa"/>
              <w:left w:w="105" w:type="dxa"/>
              <w:bottom w:w="0" w:type="dxa"/>
              <w:right w:w="105" w:type="dxa"/>
            </w:tcMar>
            <w:vAlign w:val="center"/>
          </w:tcPr>
          <w:p w14:paraId="07FDF587">
            <w:pPr>
              <w:keepNext w:val="0"/>
              <w:keepLines w:val="0"/>
              <w:widowControl/>
              <w:suppressLineNumbers w:val="0"/>
              <w:jc w:val="left"/>
              <w:rPr>
                <w:color w:val="000000" w:themeColor="text1"/>
                <w:highlight w:val="none"/>
                <w14:textFill>
                  <w14:solidFill>
                    <w14:schemeClr w14:val="tx1"/>
                  </w14:solidFill>
                </w14:textFill>
              </w:rPr>
            </w:pPr>
          </w:p>
        </w:tc>
        <w:tc>
          <w:tcPr>
            <w:tcW w:w="2150" w:type="dxa"/>
            <w:noWrap w:val="0"/>
            <w:tcMar>
              <w:top w:w="0" w:type="dxa"/>
              <w:left w:w="105" w:type="dxa"/>
              <w:bottom w:w="0" w:type="dxa"/>
              <w:right w:w="105" w:type="dxa"/>
            </w:tcMar>
            <w:vAlign w:val="center"/>
          </w:tcPr>
          <w:p w14:paraId="3780B048">
            <w:pPr>
              <w:keepNext w:val="0"/>
              <w:keepLines w:val="0"/>
              <w:widowControl/>
              <w:suppressLineNumbers w:val="0"/>
              <w:jc w:val="left"/>
              <w:rPr>
                <w:color w:val="000000" w:themeColor="text1"/>
                <w:highlight w:val="none"/>
                <w14:textFill>
                  <w14:solidFill>
                    <w14:schemeClr w14:val="tx1"/>
                  </w14:solidFill>
                </w14:textFill>
              </w:rPr>
            </w:pPr>
          </w:p>
        </w:tc>
        <w:tc>
          <w:tcPr>
            <w:tcW w:w="1412" w:type="dxa"/>
            <w:noWrap w:val="0"/>
            <w:tcMar>
              <w:top w:w="0" w:type="dxa"/>
              <w:left w:w="105" w:type="dxa"/>
              <w:bottom w:w="0" w:type="dxa"/>
              <w:right w:w="105" w:type="dxa"/>
            </w:tcMar>
            <w:vAlign w:val="center"/>
          </w:tcPr>
          <w:p w14:paraId="1C197BAA">
            <w:pPr>
              <w:keepNext w:val="0"/>
              <w:keepLines w:val="0"/>
              <w:widowControl/>
              <w:suppressLineNumbers w:val="0"/>
              <w:jc w:val="left"/>
              <w:rPr>
                <w:color w:val="000000" w:themeColor="text1"/>
                <w:highlight w:val="none"/>
                <w14:textFill>
                  <w14:solidFill>
                    <w14:schemeClr w14:val="tx1"/>
                  </w14:solidFill>
                </w14:textFill>
              </w:rPr>
            </w:pPr>
          </w:p>
        </w:tc>
      </w:tr>
      <w:tr w14:paraId="769DB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072" w:type="dxa"/>
            <w:noWrap w:val="0"/>
            <w:tcMar>
              <w:top w:w="0" w:type="dxa"/>
              <w:left w:w="105" w:type="dxa"/>
              <w:bottom w:w="0" w:type="dxa"/>
              <w:right w:w="105" w:type="dxa"/>
            </w:tcMar>
            <w:vAlign w:val="center"/>
          </w:tcPr>
          <w:p w14:paraId="748EE9DC">
            <w:pPr>
              <w:keepNext w:val="0"/>
              <w:keepLines w:val="0"/>
              <w:widowControl/>
              <w:suppressLineNumbers w:val="0"/>
              <w:jc w:val="left"/>
              <w:rPr>
                <w:color w:val="000000" w:themeColor="text1"/>
                <w:highlight w:val="none"/>
                <w14:textFill>
                  <w14:solidFill>
                    <w14:schemeClr w14:val="tx1"/>
                  </w14:solidFill>
                </w14:textFill>
              </w:rPr>
            </w:pPr>
          </w:p>
        </w:tc>
        <w:tc>
          <w:tcPr>
            <w:tcW w:w="1487" w:type="dxa"/>
            <w:noWrap w:val="0"/>
            <w:tcMar>
              <w:top w:w="0" w:type="dxa"/>
              <w:left w:w="105" w:type="dxa"/>
              <w:bottom w:w="0" w:type="dxa"/>
              <w:right w:w="105" w:type="dxa"/>
            </w:tcMar>
            <w:vAlign w:val="center"/>
          </w:tcPr>
          <w:p w14:paraId="714ACB23">
            <w:pPr>
              <w:keepNext w:val="0"/>
              <w:keepLines w:val="0"/>
              <w:widowControl/>
              <w:suppressLineNumbers w:val="0"/>
              <w:jc w:val="left"/>
              <w:rPr>
                <w:color w:val="000000" w:themeColor="text1"/>
                <w:highlight w:val="none"/>
                <w14:textFill>
                  <w14:solidFill>
                    <w14:schemeClr w14:val="tx1"/>
                  </w14:solidFill>
                </w14:textFill>
              </w:rPr>
            </w:pPr>
          </w:p>
        </w:tc>
        <w:tc>
          <w:tcPr>
            <w:tcW w:w="2663" w:type="dxa"/>
            <w:noWrap w:val="0"/>
            <w:tcMar>
              <w:top w:w="0" w:type="dxa"/>
              <w:left w:w="105" w:type="dxa"/>
              <w:bottom w:w="0" w:type="dxa"/>
              <w:right w:w="105" w:type="dxa"/>
            </w:tcMar>
            <w:vAlign w:val="center"/>
          </w:tcPr>
          <w:p w14:paraId="3410E18C">
            <w:pPr>
              <w:keepNext w:val="0"/>
              <w:keepLines w:val="0"/>
              <w:widowControl/>
              <w:suppressLineNumbers w:val="0"/>
              <w:jc w:val="left"/>
              <w:rPr>
                <w:color w:val="000000" w:themeColor="text1"/>
                <w:highlight w:val="none"/>
                <w14:textFill>
                  <w14:solidFill>
                    <w14:schemeClr w14:val="tx1"/>
                  </w14:solidFill>
                </w14:textFill>
              </w:rPr>
            </w:pPr>
          </w:p>
        </w:tc>
        <w:tc>
          <w:tcPr>
            <w:tcW w:w="2150" w:type="dxa"/>
            <w:noWrap w:val="0"/>
            <w:tcMar>
              <w:top w:w="0" w:type="dxa"/>
              <w:left w:w="105" w:type="dxa"/>
              <w:bottom w:w="0" w:type="dxa"/>
              <w:right w:w="105" w:type="dxa"/>
            </w:tcMar>
            <w:vAlign w:val="center"/>
          </w:tcPr>
          <w:p w14:paraId="2ED6AB54">
            <w:pPr>
              <w:keepNext w:val="0"/>
              <w:keepLines w:val="0"/>
              <w:widowControl/>
              <w:suppressLineNumbers w:val="0"/>
              <w:jc w:val="left"/>
              <w:rPr>
                <w:color w:val="000000" w:themeColor="text1"/>
                <w:highlight w:val="none"/>
                <w14:textFill>
                  <w14:solidFill>
                    <w14:schemeClr w14:val="tx1"/>
                  </w14:solidFill>
                </w14:textFill>
              </w:rPr>
            </w:pPr>
          </w:p>
        </w:tc>
        <w:tc>
          <w:tcPr>
            <w:tcW w:w="1412" w:type="dxa"/>
            <w:noWrap w:val="0"/>
            <w:tcMar>
              <w:top w:w="0" w:type="dxa"/>
              <w:left w:w="105" w:type="dxa"/>
              <w:bottom w:w="0" w:type="dxa"/>
              <w:right w:w="105" w:type="dxa"/>
            </w:tcMar>
            <w:vAlign w:val="center"/>
          </w:tcPr>
          <w:p w14:paraId="5B06C2E9">
            <w:pPr>
              <w:keepNext w:val="0"/>
              <w:keepLines w:val="0"/>
              <w:widowControl/>
              <w:suppressLineNumbers w:val="0"/>
              <w:jc w:val="left"/>
              <w:rPr>
                <w:color w:val="000000" w:themeColor="text1"/>
                <w:highlight w:val="none"/>
                <w14:textFill>
                  <w14:solidFill>
                    <w14:schemeClr w14:val="tx1"/>
                  </w14:solidFill>
                </w14:textFill>
              </w:rPr>
            </w:pPr>
          </w:p>
        </w:tc>
      </w:tr>
      <w:tr w14:paraId="7AA3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072" w:type="dxa"/>
            <w:noWrap w:val="0"/>
            <w:tcMar>
              <w:top w:w="0" w:type="dxa"/>
              <w:left w:w="105" w:type="dxa"/>
              <w:bottom w:w="0" w:type="dxa"/>
              <w:right w:w="105" w:type="dxa"/>
            </w:tcMar>
            <w:vAlign w:val="center"/>
          </w:tcPr>
          <w:p w14:paraId="56B2C57D">
            <w:pPr>
              <w:keepNext w:val="0"/>
              <w:keepLines w:val="0"/>
              <w:widowControl/>
              <w:suppressLineNumbers w:val="0"/>
              <w:jc w:val="left"/>
              <w:rPr>
                <w:color w:val="000000" w:themeColor="text1"/>
                <w:highlight w:val="none"/>
                <w14:textFill>
                  <w14:solidFill>
                    <w14:schemeClr w14:val="tx1"/>
                  </w14:solidFill>
                </w14:textFill>
              </w:rPr>
            </w:pPr>
          </w:p>
        </w:tc>
        <w:tc>
          <w:tcPr>
            <w:tcW w:w="1487" w:type="dxa"/>
            <w:noWrap w:val="0"/>
            <w:tcMar>
              <w:top w:w="0" w:type="dxa"/>
              <w:left w:w="105" w:type="dxa"/>
              <w:bottom w:w="0" w:type="dxa"/>
              <w:right w:w="105" w:type="dxa"/>
            </w:tcMar>
            <w:vAlign w:val="center"/>
          </w:tcPr>
          <w:p w14:paraId="1ACD9EA3">
            <w:pPr>
              <w:keepNext w:val="0"/>
              <w:keepLines w:val="0"/>
              <w:widowControl/>
              <w:suppressLineNumbers w:val="0"/>
              <w:jc w:val="left"/>
              <w:rPr>
                <w:color w:val="000000" w:themeColor="text1"/>
                <w:highlight w:val="none"/>
                <w14:textFill>
                  <w14:solidFill>
                    <w14:schemeClr w14:val="tx1"/>
                  </w14:solidFill>
                </w14:textFill>
              </w:rPr>
            </w:pPr>
          </w:p>
        </w:tc>
        <w:tc>
          <w:tcPr>
            <w:tcW w:w="2663" w:type="dxa"/>
            <w:noWrap w:val="0"/>
            <w:tcMar>
              <w:top w:w="0" w:type="dxa"/>
              <w:left w:w="105" w:type="dxa"/>
              <w:bottom w:w="0" w:type="dxa"/>
              <w:right w:w="105" w:type="dxa"/>
            </w:tcMar>
            <w:vAlign w:val="center"/>
          </w:tcPr>
          <w:p w14:paraId="655C28A0">
            <w:pPr>
              <w:keepNext w:val="0"/>
              <w:keepLines w:val="0"/>
              <w:widowControl/>
              <w:suppressLineNumbers w:val="0"/>
              <w:jc w:val="left"/>
              <w:rPr>
                <w:color w:val="000000" w:themeColor="text1"/>
                <w:highlight w:val="none"/>
                <w14:textFill>
                  <w14:solidFill>
                    <w14:schemeClr w14:val="tx1"/>
                  </w14:solidFill>
                </w14:textFill>
              </w:rPr>
            </w:pPr>
          </w:p>
        </w:tc>
        <w:tc>
          <w:tcPr>
            <w:tcW w:w="2150" w:type="dxa"/>
            <w:noWrap w:val="0"/>
            <w:tcMar>
              <w:top w:w="0" w:type="dxa"/>
              <w:left w:w="105" w:type="dxa"/>
              <w:bottom w:w="0" w:type="dxa"/>
              <w:right w:w="105" w:type="dxa"/>
            </w:tcMar>
            <w:vAlign w:val="center"/>
          </w:tcPr>
          <w:p w14:paraId="42E625E0">
            <w:pPr>
              <w:keepNext w:val="0"/>
              <w:keepLines w:val="0"/>
              <w:widowControl/>
              <w:suppressLineNumbers w:val="0"/>
              <w:jc w:val="left"/>
              <w:rPr>
                <w:color w:val="000000" w:themeColor="text1"/>
                <w:highlight w:val="none"/>
                <w14:textFill>
                  <w14:solidFill>
                    <w14:schemeClr w14:val="tx1"/>
                  </w14:solidFill>
                </w14:textFill>
              </w:rPr>
            </w:pPr>
          </w:p>
        </w:tc>
        <w:tc>
          <w:tcPr>
            <w:tcW w:w="1412" w:type="dxa"/>
            <w:noWrap w:val="0"/>
            <w:tcMar>
              <w:top w:w="0" w:type="dxa"/>
              <w:left w:w="105" w:type="dxa"/>
              <w:bottom w:w="0" w:type="dxa"/>
              <w:right w:w="105" w:type="dxa"/>
            </w:tcMar>
            <w:vAlign w:val="center"/>
          </w:tcPr>
          <w:p w14:paraId="338905A8">
            <w:pPr>
              <w:keepNext w:val="0"/>
              <w:keepLines w:val="0"/>
              <w:widowControl/>
              <w:suppressLineNumbers w:val="0"/>
              <w:jc w:val="left"/>
              <w:rPr>
                <w:color w:val="000000" w:themeColor="text1"/>
                <w:highlight w:val="none"/>
                <w14:textFill>
                  <w14:solidFill>
                    <w14:schemeClr w14:val="tx1"/>
                  </w14:solidFill>
                </w14:textFill>
              </w:rPr>
            </w:pPr>
          </w:p>
        </w:tc>
      </w:tr>
      <w:tr w14:paraId="65072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072" w:type="dxa"/>
            <w:noWrap w:val="0"/>
            <w:tcMar>
              <w:top w:w="0" w:type="dxa"/>
              <w:left w:w="105" w:type="dxa"/>
              <w:bottom w:w="0" w:type="dxa"/>
              <w:right w:w="105" w:type="dxa"/>
            </w:tcMar>
            <w:vAlign w:val="center"/>
          </w:tcPr>
          <w:p w14:paraId="1A7CB5D5">
            <w:pPr>
              <w:keepNext w:val="0"/>
              <w:keepLines w:val="0"/>
              <w:widowControl/>
              <w:suppressLineNumbers w:val="0"/>
              <w:jc w:val="left"/>
              <w:rPr>
                <w:color w:val="000000" w:themeColor="text1"/>
                <w:highlight w:val="none"/>
                <w14:textFill>
                  <w14:solidFill>
                    <w14:schemeClr w14:val="tx1"/>
                  </w14:solidFill>
                </w14:textFill>
              </w:rPr>
            </w:pPr>
          </w:p>
        </w:tc>
        <w:tc>
          <w:tcPr>
            <w:tcW w:w="1487" w:type="dxa"/>
            <w:noWrap w:val="0"/>
            <w:tcMar>
              <w:top w:w="0" w:type="dxa"/>
              <w:left w:w="105" w:type="dxa"/>
              <w:bottom w:w="0" w:type="dxa"/>
              <w:right w:w="105" w:type="dxa"/>
            </w:tcMar>
            <w:vAlign w:val="center"/>
          </w:tcPr>
          <w:p w14:paraId="12FD76F5">
            <w:pPr>
              <w:keepNext w:val="0"/>
              <w:keepLines w:val="0"/>
              <w:widowControl/>
              <w:suppressLineNumbers w:val="0"/>
              <w:jc w:val="left"/>
              <w:rPr>
                <w:color w:val="000000" w:themeColor="text1"/>
                <w:highlight w:val="none"/>
                <w14:textFill>
                  <w14:solidFill>
                    <w14:schemeClr w14:val="tx1"/>
                  </w14:solidFill>
                </w14:textFill>
              </w:rPr>
            </w:pPr>
          </w:p>
        </w:tc>
        <w:tc>
          <w:tcPr>
            <w:tcW w:w="2663" w:type="dxa"/>
            <w:noWrap w:val="0"/>
            <w:tcMar>
              <w:top w:w="0" w:type="dxa"/>
              <w:left w:w="105" w:type="dxa"/>
              <w:bottom w:w="0" w:type="dxa"/>
              <w:right w:w="105" w:type="dxa"/>
            </w:tcMar>
            <w:vAlign w:val="center"/>
          </w:tcPr>
          <w:p w14:paraId="627F0A68">
            <w:pPr>
              <w:keepNext w:val="0"/>
              <w:keepLines w:val="0"/>
              <w:widowControl/>
              <w:suppressLineNumbers w:val="0"/>
              <w:jc w:val="left"/>
              <w:rPr>
                <w:color w:val="000000" w:themeColor="text1"/>
                <w:highlight w:val="none"/>
                <w14:textFill>
                  <w14:solidFill>
                    <w14:schemeClr w14:val="tx1"/>
                  </w14:solidFill>
                </w14:textFill>
              </w:rPr>
            </w:pPr>
          </w:p>
        </w:tc>
        <w:tc>
          <w:tcPr>
            <w:tcW w:w="2150" w:type="dxa"/>
            <w:noWrap w:val="0"/>
            <w:tcMar>
              <w:top w:w="0" w:type="dxa"/>
              <w:left w:w="105" w:type="dxa"/>
              <w:bottom w:w="0" w:type="dxa"/>
              <w:right w:w="105" w:type="dxa"/>
            </w:tcMar>
            <w:vAlign w:val="center"/>
          </w:tcPr>
          <w:p w14:paraId="58B4E963">
            <w:pPr>
              <w:keepNext w:val="0"/>
              <w:keepLines w:val="0"/>
              <w:widowControl/>
              <w:suppressLineNumbers w:val="0"/>
              <w:jc w:val="left"/>
              <w:rPr>
                <w:color w:val="000000" w:themeColor="text1"/>
                <w:highlight w:val="none"/>
                <w14:textFill>
                  <w14:solidFill>
                    <w14:schemeClr w14:val="tx1"/>
                  </w14:solidFill>
                </w14:textFill>
              </w:rPr>
            </w:pPr>
          </w:p>
        </w:tc>
        <w:tc>
          <w:tcPr>
            <w:tcW w:w="1412" w:type="dxa"/>
            <w:noWrap w:val="0"/>
            <w:tcMar>
              <w:top w:w="0" w:type="dxa"/>
              <w:left w:w="105" w:type="dxa"/>
              <w:bottom w:w="0" w:type="dxa"/>
              <w:right w:w="105" w:type="dxa"/>
            </w:tcMar>
            <w:vAlign w:val="center"/>
          </w:tcPr>
          <w:p w14:paraId="6695A529">
            <w:pPr>
              <w:keepNext w:val="0"/>
              <w:keepLines w:val="0"/>
              <w:widowControl/>
              <w:suppressLineNumbers w:val="0"/>
              <w:jc w:val="left"/>
              <w:rPr>
                <w:color w:val="000000" w:themeColor="text1"/>
                <w:highlight w:val="none"/>
                <w14:textFill>
                  <w14:solidFill>
                    <w14:schemeClr w14:val="tx1"/>
                  </w14:solidFill>
                </w14:textFill>
              </w:rPr>
            </w:pPr>
          </w:p>
        </w:tc>
      </w:tr>
      <w:tr w14:paraId="7EA0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072" w:type="dxa"/>
            <w:noWrap w:val="0"/>
            <w:tcMar>
              <w:top w:w="0" w:type="dxa"/>
              <w:left w:w="105" w:type="dxa"/>
              <w:bottom w:w="0" w:type="dxa"/>
              <w:right w:w="105" w:type="dxa"/>
            </w:tcMar>
            <w:vAlign w:val="center"/>
          </w:tcPr>
          <w:p w14:paraId="0061937A">
            <w:pPr>
              <w:keepNext w:val="0"/>
              <w:keepLines w:val="0"/>
              <w:widowControl/>
              <w:suppressLineNumbers w:val="0"/>
              <w:jc w:val="left"/>
              <w:rPr>
                <w:color w:val="000000" w:themeColor="text1"/>
                <w:highlight w:val="none"/>
                <w14:textFill>
                  <w14:solidFill>
                    <w14:schemeClr w14:val="tx1"/>
                  </w14:solidFill>
                </w14:textFill>
              </w:rPr>
            </w:pPr>
          </w:p>
        </w:tc>
        <w:tc>
          <w:tcPr>
            <w:tcW w:w="1487" w:type="dxa"/>
            <w:noWrap w:val="0"/>
            <w:tcMar>
              <w:top w:w="0" w:type="dxa"/>
              <w:left w:w="105" w:type="dxa"/>
              <w:bottom w:w="0" w:type="dxa"/>
              <w:right w:w="105" w:type="dxa"/>
            </w:tcMar>
            <w:vAlign w:val="center"/>
          </w:tcPr>
          <w:p w14:paraId="7678D19D">
            <w:pPr>
              <w:keepNext w:val="0"/>
              <w:keepLines w:val="0"/>
              <w:widowControl/>
              <w:suppressLineNumbers w:val="0"/>
              <w:jc w:val="left"/>
              <w:rPr>
                <w:color w:val="000000" w:themeColor="text1"/>
                <w:highlight w:val="none"/>
                <w14:textFill>
                  <w14:solidFill>
                    <w14:schemeClr w14:val="tx1"/>
                  </w14:solidFill>
                </w14:textFill>
              </w:rPr>
            </w:pPr>
          </w:p>
        </w:tc>
        <w:tc>
          <w:tcPr>
            <w:tcW w:w="2663" w:type="dxa"/>
            <w:noWrap w:val="0"/>
            <w:tcMar>
              <w:top w:w="0" w:type="dxa"/>
              <w:left w:w="105" w:type="dxa"/>
              <w:bottom w:w="0" w:type="dxa"/>
              <w:right w:w="105" w:type="dxa"/>
            </w:tcMar>
            <w:vAlign w:val="center"/>
          </w:tcPr>
          <w:p w14:paraId="1715A349">
            <w:pPr>
              <w:keepNext w:val="0"/>
              <w:keepLines w:val="0"/>
              <w:widowControl/>
              <w:suppressLineNumbers w:val="0"/>
              <w:jc w:val="left"/>
              <w:rPr>
                <w:color w:val="000000" w:themeColor="text1"/>
                <w:highlight w:val="none"/>
                <w14:textFill>
                  <w14:solidFill>
                    <w14:schemeClr w14:val="tx1"/>
                  </w14:solidFill>
                </w14:textFill>
              </w:rPr>
            </w:pPr>
          </w:p>
        </w:tc>
        <w:tc>
          <w:tcPr>
            <w:tcW w:w="2150" w:type="dxa"/>
            <w:noWrap w:val="0"/>
            <w:tcMar>
              <w:top w:w="0" w:type="dxa"/>
              <w:left w:w="105" w:type="dxa"/>
              <w:bottom w:w="0" w:type="dxa"/>
              <w:right w:w="105" w:type="dxa"/>
            </w:tcMar>
            <w:vAlign w:val="center"/>
          </w:tcPr>
          <w:p w14:paraId="05679A4C">
            <w:pPr>
              <w:keepNext w:val="0"/>
              <w:keepLines w:val="0"/>
              <w:widowControl/>
              <w:suppressLineNumbers w:val="0"/>
              <w:jc w:val="left"/>
              <w:rPr>
                <w:color w:val="000000" w:themeColor="text1"/>
                <w:highlight w:val="none"/>
                <w14:textFill>
                  <w14:solidFill>
                    <w14:schemeClr w14:val="tx1"/>
                  </w14:solidFill>
                </w14:textFill>
              </w:rPr>
            </w:pPr>
          </w:p>
        </w:tc>
        <w:tc>
          <w:tcPr>
            <w:tcW w:w="1412" w:type="dxa"/>
            <w:noWrap w:val="0"/>
            <w:tcMar>
              <w:top w:w="0" w:type="dxa"/>
              <w:left w:w="105" w:type="dxa"/>
              <w:bottom w:w="0" w:type="dxa"/>
              <w:right w:w="105" w:type="dxa"/>
            </w:tcMar>
            <w:vAlign w:val="center"/>
          </w:tcPr>
          <w:p w14:paraId="07532CBC">
            <w:pPr>
              <w:keepNext w:val="0"/>
              <w:keepLines w:val="0"/>
              <w:widowControl/>
              <w:suppressLineNumbers w:val="0"/>
              <w:jc w:val="left"/>
              <w:rPr>
                <w:color w:val="000000" w:themeColor="text1"/>
                <w:highlight w:val="none"/>
                <w14:textFill>
                  <w14:solidFill>
                    <w14:schemeClr w14:val="tx1"/>
                  </w14:solidFill>
                </w14:textFill>
              </w:rPr>
            </w:pPr>
          </w:p>
        </w:tc>
      </w:tr>
      <w:tr w14:paraId="320CC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072" w:type="dxa"/>
            <w:noWrap w:val="0"/>
            <w:tcMar>
              <w:top w:w="0" w:type="dxa"/>
              <w:left w:w="105" w:type="dxa"/>
              <w:bottom w:w="0" w:type="dxa"/>
              <w:right w:w="105" w:type="dxa"/>
            </w:tcMar>
            <w:vAlign w:val="center"/>
          </w:tcPr>
          <w:p w14:paraId="0BC7599A">
            <w:pPr>
              <w:keepNext w:val="0"/>
              <w:keepLines w:val="0"/>
              <w:widowControl/>
              <w:suppressLineNumbers w:val="0"/>
              <w:jc w:val="left"/>
              <w:rPr>
                <w:color w:val="000000" w:themeColor="text1"/>
                <w:highlight w:val="none"/>
                <w14:textFill>
                  <w14:solidFill>
                    <w14:schemeClr w14:val="tx1"/>
                  </w14:solidFill>
                </w14:textFill>
              </w:rPr>
            </w:pPr>
          </w:p>
        </w:tc>
        <w:tc>
          <w:tcPr>
            <w:tcW w:w="1487" w:type="dxa"/>
            <w:noWrap w:val="0"/>
            <w:tcMar>
              <w:top w:w="0" w:type="dxa"/>
              <w:left w:w="105" w:type="dxa"/>
              <w:bottom w:w="0" w:type="dxa"/>
              <w:right w:w="105" w:type="dxa"/>
            </w:tcMar>
            <w:vAlign w:val="center"/>
          </w:tcPr>
          <w:p w14:paraId="3C06B8A5">
            <w:pPr>
              <w:keepNext w:val="0"/>
              <w:keepLines w:val="0"/>
              <w:widowControl/>
              <w:suppressLineNumbers w:val="0"/>
              <w:jc w:val="left"/>
              <w:rPr>
                <w:color w:val="000000" w:themeColor="text1"/>
                <w:highlight w:val="none"/>
                <w14:textFill>
                  <w14:solidFill>
                    <w14:schemeClr w14:val="tx1"/>
                  </w14:solidFill>
                </w14:textFill>
              </w:rPr>
            </w:pPr>
          </w:p>
        </w:tc>
        <w:tc>
          <w:tcPr>
            <w:tcW w:w="2663" w:type="dxa"/>
            <w:noWrap w:val="0"/>
            <w:tcMar>
              <w:top w:w="0" w:type="dxa"/>
              <w:left w:w="105" w:type="dxa"/>
              <w:bottom w:w="0" w:type="dxa"/>
              <w:right w:w="105" w:type="dxa"/>
            </w:tcMar>
            <w:vAlign w:val="center"/>
          </w:tcPr>
          <w:p w14:paraId="6B03CBA3">
            <w:pPr>
              <w:keepNext w:val="0"/>
              <w:keepLines w:val="0"/>
              <w:widowControl/>
              <w:suppressLineNumbers w:val="0"/>
              <w:jc w:val="left"/>
              <w:rPr>
                <w:color w:val="000000" w:themeColor="text1"/>
                <w:highlight w:val="none"/>
                <w14:textFill>
                  <w14:solidFill>
                    <w14:schemeClr w14:val="tx1"/>
                  </w14:solidFill>
                </w14:textFill>
              </w:rPr>
            </w:pPr>
          </w:p>
        </w:tc>
        <w:tc>
          <w:tcPr>
            <w:tcW w:w="2150" w:type="dxa"/>
            <w:noWrap w:val="0"/>
            <w:tcMar>
              <w:top w:w="0" w:type="dxa"/>
              <w:left w:w="105" w:type="dxa"/>
              <w:bottom w:w="0" w:type="dxa"/>
              <w:right w:w="105" w:type="dxa"/>
            </w:tcMar>
            <w:vAlign w:val="center"/>
          </w:tcPr>
          <w:p w14:paraId="508E6A04">
            <w:pPr>
              <w:keepNext w:val="0"/>
              <w:keepLines w:val="0"/>
              <w:widowControl/>
              <w:suppressLineNumbers w:val="0"/>
              <w:jc w:val="left"/>
              <w:rPr>
                <w:color w:val="000000" w:themeColor="text1"/>
                <w:highlight w:val="none"/>
                <w14:textFill>
                  <w14:solidFill>
                    <w14:schemeClr w14:val="tx1"/>
                  </w14:solidFill>
                </w14:textFill>
              </w:rPr>
            </w:pPr>
          </w:p>
        </w:tc>
        <w:tc>
          <w:tcPr>
            <w:tcW w:w="1412" w:type="dxa"/>
            <w:noWrap w:val="0"/>
            <w:tcMar>
              <w:top w:w="0" w:type="dxa"/>
              <w:left w:w="105" w:type="dxa"/>
              <w:bottom w:w="0" w:type="dxa"/>
              <w:right w:w="105" w:type="dxa"/>
            </w:tcMar>
            <w:vAlign w:val="center"/>
          </w:tcPr>
          <w:p w14:paraId="05879049">
            <w:pPr>
              <w:keepNext w:val="0"/>
              <w:keepLines w:val="0"/>
              <w:widowControl/>
              <w:suppressLineNumbers w:val="0"/>
              <w:jc w:val="left"/>
              <w:rPr>
                <w:color w:val="000000" w:themeColor="text1"/>
                <w:highlight w:val="none"/>
                <w14:textFill>
                  <w14:solidFill>
                    <w14:schemeClr w14:val="tx1"/>
                  </w14:solidFill>
                </w14:textFill>
              </w:rPr>
            </w:pPr>
          </w:p>
        </w:tc>
      </w:tr>
      <w:tr w14:paraId="23F8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072" w:type="dxa"/>
            <w:noWrap w:val="0"/>
            <w:tcMar>
              <w:top w:w="0" w:type="dxa"/>
              <w:left w:w="105" w:type="dxa"/>
              <w:bottom w:w="0" w:type="dxa"/>
              <w:right w:w="105" w:type="dxa"/>
            </w:tcMar>
            <w:vAlign w:val="center"/>
          </w:tcPr>
          <w:p w14:paraId="375E4B72">
            <w:pPr>
              <w:keepNext w:val="0"/>
              <w:keepLines w:val="0"/>
              <w:widowControl/>
              <w:suppressLineNumbers w:val="0"/>
              <w:jc w:val="left"/>
              <w:rPr>
                <w:color w:val="000000" w:themeColor="text1"/>
                <w:highlight w:val="none"/>
                <w14:textFill>
                  <w14:solidFill>
                    <w14:schemeClr w14:val="tx1"/>
                  </w14:solidFill>
                </w14:textFill>
              </w:rPr>
            </w:pPr>
          </w:p>
        </w:tc>
        <w:tc>
          <w:tcPr>
            <w:tcW w:w="1487" w:type="dxa"/>
            <w:noWrap w:val="0"/>
            <w:tcMar>
              <w:top w:w="0" w:type="dxa"/>
              <w:left w:w="105" w:type="dxa"/>
              <w:bottom w:w="0" w:type="dxa"/>
              <w:right w:w="105" w:type="dxa"/>
            </w:tcMar>
            <w:vAlign w:val="center"/>
          </w:tcPr>
          <w:p w14:paraId="2C06617F">
            <w:pPr>
              <w:keepNext w:val="0"/>
              <w:keepLines w:val="0"/>
              <w:widowControl/>
              <w:suppressLineNumbers w:val="0"/>
              <w:jc w:val="left"/>
              <w:rPr>
                <w:color w:val="000000" w:themeColor="text1"/>
                <w:highlight w:val="none"/>
                <w14:textFill>
                  <w14:solidFill>
                    <w14:schemeClr w14:val="tx1"/>
                  </w14:solidFill>
                </w14:textFill>
              </w:rPr>
            </w:pPr>
          </w:p>
        </w:tc>
        <w:tc>
          <w:tcPr>
            <w:tcW w:w="2663" w:type="dxa"/>
            <w:noWrap w:val="0"/>
            <w:tcMar>
              <w:top w:w="0" w:type="dxa"/>
              <w:left w:w="105" w:type="dxa"/>
              <w:bottom w:w="0" w:type="dxa"/>
              <w:right w:w="105" w:type="dxa"/>
            </w:tcMar>
            <w:vAlign w:val="center"/>
          </w:tcPr>
          <w:p w14:paraId="1D999F23">
            <w:pPr>
              <w:keepNext w:val="0"/>
              <w:keepLines w:val="0"/>
              <w:widowControl/>
              <w:suppressLineNumbers w:val="0"/>
              <w:jc w:val="left"/>
              <w:rPr>
                <w:color w:val="000000" w:themeColor="text1"/>
                <w:highlight w:val="none"/>
                <w14:textFill>
                  <w14:solidFill>
                    <w14:schemeClr w14:val="tx1"/>
                  </w14:solidFill>
                </w14:textFill>
              </w:rPr>
            </w:pPr>
          </w:p>
        </w:tc>
        <w:tc>
          <w:tcPr>
            <w:tcW w:w="2150" w:type="dxa"/>
            <w:noWrap w:val="0"/>
            <w:tcMar>
              <w:top w:w="0" w:type="dxa"/>
              <w:left w:w="105" w:type="dxa"/>
              <w:bottom w:w="0" w:type="dxa"/>
              <w:right w:w="105" w:type="dxa"/>
            </w:tcMar>
            <w:vAlign w:val="center"/>
          </w:tcPr>
          <w:p w14:paraId="18FD7EB6">
            <w:pPr>
              <w:keepNext w:val="0"/>
              <w:keepLines w:val="0"/>
              <w:widowControl/>
              <w:suppressLineNumbers w:val="0"/>
              <w:jc w:val="left"/>
              <w:rPr>
                <w:color w:val="000000" w:themeColor="text1"/>
                <w:highlight w:val="none"/>
                <w14:textFill>
                  <w14:solidFill>
                    <w14:schemeClr w14:val="tx1"/>
                  </w14:solidFill>
                </w14:textFill>
              </w:rPr>
            </w:pPr>
          </w:p>
        </w:tc>
        <w:tc>
          <w:tcPr>
            <w:tcW w:w="1412" w:type="dxa"/>
            <w:noWrap w:val="0"/>
            <w:tcMar>
              <w:top w:w="0" w:type="dxa"/>
              <w:left w:w="105" w:type="dxa"/>
              <w:bottom w:w="0" w:type="dxa"/>
              <w:right w:w="105" w:type="dxa"/>
            </w:tcMar>
            <w:vAlign w:val="center"/>
          </w:tcPr>
          <w:p w14:paraId="007D1E46">
            <w:pPr>
              <w:keepNext w:val="0"/>
              <w:keepLines w:val="0"/>
              <w:widowControl/>
              <w:suppressLineNumbers w:val="0"/>
              <w:jc w:val="left"/>
              <w:rPr>
                <w:color w:val="000000" w:themeColor="text1"/>
                <w:highlight w:val="none"/>
                <w14:textFill>
                  <w14:solidFill>
                    <w14:schemeClr w14:val="tx1"/>
                  </w14:solidFill>
                </w14:textFill>
              </w:rPr>
            </w:pPr>
          </w:p>
        </w:tc>
      </w:tr>
      <w:tr w14:paraId="5F0E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072" w:type="dxa"/>
            <w:noWrap w:val="0"/>
            <w:tcMar>
              <w:top w:w="0" w:type="dxa"/>
              <w:left w:w="105" w:type="dxa"/>
              <w:bottom w:w="0" w:type="dxa"/>
              <w:right w:w="105" w:type="dxa"/>
            </w:tcMar>
            <w:vAlign w:val="center"/>
          </w:tcPr>
          <w:p w14:paraId="151CEBB3">
            <w:pPr>
              <w:keepNext w:val="0"/>
              <w:keepLines w:val="0"/>
              <w:widowControl/>
              <w:suppressLineNumbers w:val="0"/>
              <w:jc w:val="left"/>
              <w:rPr>
                <w:color w:val="000000" w:themeColor="text1"/>
                <w:highlight w:val="none"/>
                <w14:textFill>
                  <w14:solidFill>
                    <w14:schemeClr w14:val="tx1"/>
                  </w14:solidFill>
                </w14:textFill>
              </w:rPr>
            </w:pPr>
          </w:p>
        </w:tc>
        <w:tc>
          <w:tcPr>
            <w:tcW w:w="1487" w:type="dxa"/>
            <w:noWrap w:val="0"/>
            <w:tcMar>
              <w:top w:w="0" w:type="dxa"/>
              <w:left w:w="105" w:type="dxa"/>
              <w:bottom w:w="0" w:type="dxa"/>
              <w:right w:w="105" w:type="dxa"/>
            </w:tcMar>
            <w:vAlign w:val="center"/>
          </w:tcPr>
          <w:p w14:paraId="5799D541">
            <w:pPr>
              <w:keepNext w:val="0"/>
              <w:keepLines w:val="0"/>
              <w:widowControl/>
              <w:suppressLineNumbers w:val="0"/>
              <w:jc w:val="left"/>
              <w:rPr>
                <w:color w:val="000000" w:themeColor="text1"/>
                <w:highlight w:val="none"/>
                <w14:textFill>
                  <w14:solidFill>
                    <w14:schemeClr w14:val="tx1"/>
                  </w14:solidFill>
                </w14:textFill>
              </w:rPr>
            </w:pPr>
          </w:p>
        </w:tc>
        <w:tc>
          <w:tcPr>
            <w:tcW w:w="2663" w:type="dxa"/>
            <w:noWrap w:val="0"/>
            <w:tcMar>
              <w:top w:w="0" w:type="dxa"/>
              <w:left w:w="105" w:type="dxa"/>
              <w:bottom w:w="0" w:type="dxa"/>
              <w:right w:w="105" w:type="dxa"/>
            </w:tcMar>
            <w:vAlign w:val="center"/>
          </w:tcPr>
          <w:p w14:paraId="0AE97856">
            <w:pPr>
              <w:keepNext w:val="0"/>
              <w:keepLines w:val="0"/>
              <w:widowControl/>
              <w:suppressLineNumbers w:val="0"/>
              <w:jc w:val="left"/>
              <w:rPr>
                <w:color w:val="000000" w:themeColor="text1"/>
                <w:highlight w:val="none"/>
                <w14:textFill>
                  <w14:solidFill>
                    <w14:schemeClr w14:val="tx1"/>
                  </w14:solidFill>
                </w14:textFill>
              </w:rPr>
            </w:pPr>
          </w:p>
        </w:tc>
        <w:tc>
          <w:tcPr>
            <w:tcW w:w="2150" w:type="dxa"/>
            <w:noWrap w:val="0"/>
            <w:tcMar>
              <w:top w:w="0" w:type="dxa"/>
              <w:left w:w="105" w:type="dxa"/>
              <w:bottom w:w="0" w:type="dxa"/>
              <w:right w:w="105" w:type="dxa"/>
            </w:tcMar>
            <w:vAlign w:val="center"/>
          </w:tcPr>
          <w:p w14:paraId="05870529">
            <w:pPr>
              <w:keepNext w:val="0"/>
              <w:keepLines w:val="0"/>
              <w:widowControl/>
              <w:suppressLineNumbers w:val="0"/>
              <w:jc w:val="left"/>
              <w:rPr>
                <w:color w:val="000000" w:themeColor="text1"/>
                <w:highlight w:val="none"/>
                <w14:textFill>
                  <w14:solidFill>
                    <w14:schemeClr w14:val="tx1"/>
                  </w14:solidFill>
                </w14:textFill>
              </w:rPr>
            </w:pPr>
          </w:p>
        </w:tc>
        <w:tc>
          <w:tcPr>
            <w:tcW w:w="1412" w:type="dxa"/>
            <w:noWrap w:val="0"/>
            <w:tcMar>
              <w:top w:w="0" w:type="dxa"/>
              <w:left w:w="105" w:type="dxa"/>
              <w:bottom w:w="0" w:type="dxa"/>
              <w:right w:w="105" w:type="dxa"/>
            </w:tcMar>
            <w:vAlign w:val="center"/>
          </w:tcPr>
          <w:p w14:paraId="2DA17B85">
            <w:pPr>
              <w:keepNext w:val="0"/>
              <w:keepLines w:val="0"/>
              <w:widowControl/>
              <w:suppressLineNumbers w:val="0"/>
              <w:jc w:val="left"/>
              <w:rPr>
                <w:color w:val="000000" w:themeColor="text1"/>
                <w:highlight w:val="none"/>
                <w14:textFill>
                  <w14:solidFill>
                    <w14:schemeClr w14:val="tx1"/>
                  </w14:solidFill>
                </w14:textFill>
              </w:rPr>
            </w:pPr>
          </w:p>
        </w:tc>
      </w:tr>
      <w:tr w14:paraId="0C73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072" w:type="dxa"/>
            <w:noWrap w:val="0"/>
            <w:tcMar>
              <w:top w:w="0" w:type="dxa"/>
              <w:left w:w="105" w:type="dxa"/>
              <w:bottom w:w="0" w:type="dxa"/>
              <w:right w:w="105" w:type="dxa"/>
            </w:tcMar>
            <w:vAlign w:val="center"/>
          </w:tcPr>
          <w:p w14:paraId="6764BD86">
            <w:pPr>
              <w:keepNext w:val="0"/>
              <w:keepLines w:val="0"/>
              <w:widowControl/>
              <w:suppressLineNumbers w:val="0"/>
              <w:jc w:val="left"/>
              <w:rPr>
                <w:color w:val="000000" w:themeColor="text1"/>
                <w:highlight w:val="none"/>
                <w14:textFill>
                  <w14:solidFill>
                    <w14:schemeClr w14:val="tx1"/>
                  </w14:solidFill>
                </w14:textFill>
              </w:rPr>
            </w:pPr>
          </w:p>
        </w:tc>
        <w:tc>
          <w:tcPr>
            <w:tcW w:w="1487" w:type="dxa"/>
            <w:noWrap w:val="0"/>
            <w:tcMar>
              <w:top w:w="0" w:type="dxa"/>
              <w:left w:w="105" w:type="dxa"/>
              <w:bottom w:w="0" w:type="dxa"/>
              <w:right w:w="105" w:type="dxa"/>
            </w:tcMar>
            <w:vAlign w:val="center"/>
          </w:tcPr>
          <w:p w14:paraId="3E6FD01D">
            <w:pPr>
              <w:keepNext w:val="0"/>
              <w:keepLines w:val="0"/>
              <w:widowControl/>
              <w:suppressLineNumbers w:val="0"/>
              <w:jc w:val="left"/>
              <w:rPr>
                <w:color w:val="000000" w:themeColor="text1"/>
                <w:highlight w:val="none"/>
                <w14:textFill>
                  <w14:solidFill>
                    <w14:schemeClr w14:val="tx1"/>
                  </w14:solidFill>
                </w14:textFill>
              </w:rPr>
            </w:pPr>
          </w:p>
        </w:tc>
        <w:tc>
          <w:tcPr>
            <w:tcW w:w="2663" w:type="dxa"/>
            <w:noWrap w:val="0"/>
            <w:tcMar>
              <w:top w:w="0" w:type="dxa"/>
              <w:left w:w="105" w:type="dxa"/>
              <w:bottom w:w="0" w:type="dxa"/>
              <w:right w:w="105" w:type="dxa"/>
            </w:tcMar>
            <w:vAlign w:val="center"/>
          </w:tcPr>
          <w:p w14:paraId="23FE0C4B">
            <w:pPr>
              <w:keepNext w:val="0"/>
              <w:keepLines w:val="0"/>
              <w:widowControl/>
              <w:suppressLineNumbers w:val="0"/>
              <w:jc w:val="left"/>
              <w:rPr>
                <w:color w:val="000000" w:themeColor="text1"/>
                <w:highlight w:val="none"/>
                <w14:textFill>
                  <w14:solidFill>
                    <w14:schemeClr w14:val="tx1"/>
                  </w14:solidFill>
                </w14:textFill>
              </w:rPr>
            </w:pPr>
          </w:p>
        </w:tc>
        <w:tc>
          <w:tcPr>
            <w:tcW w:w="2150" w:type="dxa"/>
            <w:noWrap w:val="0"/>
            <w:tcMar>
              <w:top w:w="0" w:type="dxa"/>
              <w:left w:w="105" w:type="dxa"/>
              <w:bottom w:w="0" w:type="dxa"/>
              <w:right w:w="105" w:type="dxa"/>
            </w:tcMar>
            <w:vAlign w:val="center"/>
          </w:tcPr>
          <w:p w14:paraId="2D1A0BFB">
            <w:pPr>
              <w:keepNext w:val="0"/>
              <w:keepLines w:val="0"/>
              <w:widowControl/>
              <w:suppressLineNumbers w:val="0"/>
              <w:jc w:val="left"/>
              <w:rPr>
                <w:color w:val="000000" w:themeColor="text1"/>
                <w:highlight w:val="none"/>
                <w14:textFill>
                  <w14:solidFill>
                    <w14:schemeClr w14:val="tx1"/>
                  </w14:solidFill>
                </w14:textFill>
              </w:rPr>
            </w:pPr>
          </w:p>
        </w:tc>
        <w:tc>
          <w:tcPr>
            <w:tcW w:w="1412" w:type="dxa"/>
            <w:noWrap w:val="0"/>
            <w:tcMar>
              <w:top w:w="0" w:type="dxa"/>
              <w:left w:w="105" w:type="dxa"/>
              <w:bottom w:w="0" w:type="dxa"/>
              <w:right w:w="105" w:type="dxa"/>
            </w:tcMar>
            <w:vAlign w:val="center"/>
          </w:tcPr>
          <w:p w14:paraId="30C30911">
            <w:pPr>
              <w:keepNext w:val="0"/>
              <w:keepLines w:val="0"/>
              <w:widowControl/>
              <w:suppressLineNumbers w:val="0"/>
              <w:jc w:val="left"/>
              <w:rPr>
                <w:color w:val="000000" w:themeColor="text1"/>
                <w:highlight w:val="none"/>
                <w14:textFill>
                  <w14:solidFill>
                    <w14:schemeClr w14:val="tx1"/>
                  </w14:solidFill>
                </w14:textFill>
              </w:rPr>
            </w:pPr>
          </w:p>
        </w:tc>
      </w:tr>
    </w:tbl>
    <w:p w14:paraId="25659506">
      <w:pPr>
        <w:pStyle w:val="7"/>
        <w:keepNext w:val="0"/>
        <w:keepLines w:val="0"/>
        <w:widowControl/>
        <w:suppressLineNumbers w:val="0"/>
        <w:spacing w:before="75" w:beforeAutospacing="0" w:after="75" w:afterAutospacing="0" w:line="375" w:lineRule="atLeast"/>
        <w:ind w:left="0" w:right="0" w:firstLine="0"/>
        <w:rPr>
          <w:rStyle w:val="12"/>
          <w:rFonts w:hint="eastAsia" w:ascii="宋体" w:hAnsi="宋体" w:eastAsia="宋体" w:cs="宋体"/>
          <w:b/>
          <w:bCs/>
          <w:color w:val="000000" w:themeColor="text1"/>
          <w:spacing w:val="0"/>
          <w:sz w:val="21"/>
          <w:szCs w:val="21"/>
          <w:highlight w:val="none"/>
          <w14:textFill>
            <w14:solidFill>
              <w14:schemeClr w14:val="tx1"/>
            </w14:solidFill>
          </w14:textFill>
        </w:rPr>
      </w:pPr>
      <w:r>
        <w:rPr>
          <w:rStyle w:val="12"/>
          <w:rFonts w:hint="eastAsia" w:ascii="宋体" w:hAnsi="宋体" w:eastAsia="宋体" w:cs="宋体"/>
          <w:b/>
          <w:bCs/>
          <w:color w:val="000000" w:themeColor="text1"/>
          <w:spacing w:val="0"/>
          <w:sz w:val="21"/>
          <w:szCs w:val="21"/>
          <w:highlight w:val="none"/>
          <w14:textFill>
            <w14:solidFill>
              <w14:schemeClr w14:val="tx1"/>
            </w14:solidFill>
          </w14:textFill>
        </w:rPr>
        <w:t>注：</w:t>
      </w:r>
    </w:p>
    <w:p w14:paraId="0E9CDC6E">
      <w:pPr>
        <w:pStyle w:val="7"/>
        <w:keepNext w:val="0"/>
        <w:keepLines w:val="0"/>
        <w:widowControl/>
        <w:suppressLineNumbers w:val="0"/>
        <w:spacing w:before="75" w:beforeAutospacing="0" w:after="75" w:afterAutospacing="0" w:line="375" w:lineRule="atLeast"/>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1"/>
          <w:szCs w:val="21"/>
          <w:highlight w:val="none"/>
          <w14:textFill>
            <w14:solidFill>
              <w14:schemeClr w14:val="tx1"/>
            </w14:solidFill>
          </w14:textFill>
        </w:rPr>
        <w:t>（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09DC1EC6">
      <w:pPr>
        <w:pStyle w:val="7"/>
        <w:keepNext w:val="0"/>
        <w:keepLines w:val="0"/>
        <w:widowControl/>
        <w:suppressLineNumbers w:val="0"/>
        <w:spacing w:before="75" w:beforeAutospacing="0" w:after="75" w:afterAutospacing="0" w:line="375" w:lineRule="atLeast"/>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1"/>
          <w:szCs w:val="21"/>
          <w:highlight w:val="none"/>
          <w14:textFill>
            <w14:solidFill>
              <w14:schemeClr w14:val="tx1"/>
            </w14:solidFill>
          </w14:textFill>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14:paraId="38B204F4">
      <w:pPr>
        <w:pStyle w:val="7"/>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供应商代表签字： _________________</w:t>
      </w:r>
    </w:p>
    <w:p w14:paraId="555FC410">
      <w:pPr>
        <w:pStyle w:val="7"/>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69627CCF">
      <w:pPr>
        <w:pStyle w:val="7"/>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7613C2D8">
      <w:pPr>
        <w:pStyle w:val="7"/>
        <w:keepNext w:val="0"/>
        <w:keepLines w:val="0"/>
        <w:widowControl/>
        <w:suppressLineNumbers w:val="0"/>
        <w:spacing w:before="75" w:beforeAutospacing="0" w:after="75" w:afterAutospacing="0" w:line="37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附件</w:t>
      </w:r>
      <w:r>
        <w:rPr>
          <w:rFonts w:hint="eastAsia" w:ascii="宋体" w:hAnsi="宋体" w:cs="宋体"/>
          <w:color w:val="000000" w:themeColor="text1"/>
          <w:spacing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pacing w:val="0"/>
          <w:sz w:val="24"/>
          <w:szCs w:val="24"/>
          <w:highlight w:val="none"/>
          <w14:textFill>
            <w14:solidFill>
              <w14:schemeClr w14:val="tx1"/>
            </w14:solidFill>
          </w14:textFill>
        </w:rPr>
        <w:t>-2      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商务条件和其它事项响应表 </w:t>
      </w:r>
    </w:p>
    <w:p w14:paraId="7641DDF8">
      <w:pPr>
        <w:pStyle w:val="7"/>
        <w:keepNext w:val="0"/>
        <w:keepLines w:val="0"/>
        <w:widowControl/>
        <w:suppressLineNumbers w:val="0"/>
        <w:spacing w:before="75" w:beforeAutospacing="0" w:after="75" w:afterAutospacing="0" w:line="37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供应商名称：</w:t>
      </w:r>
      <w:r>
        <w:rPr>
          <w:rFonts w:hint="eastAsia" w:ascii="宋体" w:hAnsi="宋体" w:eastAsia="宋体" w:cs="宋体"/>
          <w:color w:val="000000" w:themeColor="text1"/>
          <w:spacing w:val="0"/>
          <w:sz w:val="24"/>
          <w:szCs w:val="24"/>
          <w:highlight w:val="none"/>
          <w:u w:val="single"/>
          <w14:textFill>
            <w14:solidFill>
              <w14:schemeClr w14:val="tx1"/>
            </w14:solidFill>
          </w14:textFill>
        </w:rPr>
        <w:t> （全称加盖单位公章）</w:t>
      </w:r>
      <w:r>
        <w:rPr>
          <w:rFonts w:hint="eastAsia" w:ascii="宋体" w:hAnsi="宋体" w:eastAsia="宋体" w:cs="宋体"/>
          <w:color w:val="000000" w:themeColor="text1"/>
          <w:spacing w:val="0"/>
          <w:sz w:val="24"/>
          <w:szCs w:val="24"/>
          <w:highlight w:val="none"/>
          <w14:textFill>
            <w14:solidFill>
              <w14:schemeClr w14:val="tx1"/>
            </w14:solidFill>
          </w14:textFill>
        </w:rPr>
        <w:t>  项目编号∶</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p>
    <w:tbl>
      <w:tblPr>
        <w:tblStyle w:val="10"/>
        <w:tblW w:w="8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47"/>
        <w:gridCol w:w="1537"/>
        <w:gridCol w:w="2225"/>
        <w:gridCol w:w="2400"/>
        <w:gridCol w:w="1613"/>
      </w:tblGrid>
      <w:tr w14:paraId="3C1A7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rPr>
        <w:tc>
          <w:tcPr>
            <w:tcW w:w="1047" w:type="dxa"/>
            <w:noWrap w:val="0"/>
            <w:tcMar>
              <w:top w:w="0" w:type="dxa"/>
              <w:left w:w="105" w:type="dxa"/>
              <w:bottom w:w="0" w:type="dxa"/>
              <w:right w:w="105" w:type="dxa"/>
            </w:tcMar>
            <w:vAlign w:val="center"/>
          </w:tcPr>
          <w:p w14:paraId="6C7A7243">
            <w:pPr>
              <w:pStyle w:val="7"/>
              <w:keepNext w:val="0"/>
              <w:keepLines w:val="0"/>
              <w:widowControl/>
              <w:suppressLineNumbers w:val="0"/>
              <w:spacing w:before="0" w:beforeAutospacing="0" w:after="0" w:afterAutospacing="0" w:line="375" w:lineRule="atLeast"/>
              <w:ind w:left="0" w:right="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合同包</w:t>
            </w:r>
          </w:p>
        </w:tc>
        <w:tc>
          <w:tcPr>
            <w:tcW w:w="1537" w:type="dxa"/>
            <w:noWrap w:val="0"/>
            <w:tcMar>
              <w:top w:w="0" w:type="dxa"/>
              <w:left w:w="105" w:type="dxa"/>
              <w:bottom w:w="0" w:type="dxa"/>
              <w:right w:w="105" w:type="dxa"/>
            </w:tcMar>
            <w:vAlign w:val="center"/>
          </w:tcPr>
          <w:p w14:paraId="14E893D0">
            <w:pPr>
              <w:pStyle w:val="7"/>
              <w:keepNext w:val="0"/>
              <w:keepLines w:val="0"/>
              <w:widowControl/>
              <w:suppressLineNumbers w:val="0"/>
              <w:spacing w:before="0" w:beforeAutospacing="0" w:after="0" w:afterAutospacing="0" w:line="375" w:lineRule="atLeast"/>
              <w:ind w:left="0" w:right="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章节条目号</w:t>
            </w:r>
          </w:p>
        </w:tc>
        <w:tc>
          <w:tcPr>
            <w:tcW w:w="2225" w:type="dxa"/>
            <w:noWrap w:val="0"/>
            <w:tcMar>
              <w:top w:w="0" w:type="dxa"/>
              <w:left w:w="105" w:type="dxa"/>
              <w:bottom w:w="0" w:type="dxa"/>
              <w:right w:w="105" w:type="dxa"/>
            </w:tcMar>
            <w:vAlign w:val="center"/>
          </w:tcPr>
          <w:p w14:paraId="0FE0577D">
            <w:pPr>
              <w:pStyle w:val="7"/>
              <w:keepNext w:val="0"/>
              <w:keepLines w:val="0"/>
              <w:widowControl/>
              <w:suppressLineNumbers w:val="0"/>
              <w:spacing w:before="0" w:beforeAutospacing="0" w:after="0" w:afterAutospacing="0" w:line="375" w:lineRule="atLeast"/>
              <w:ind w:left="0" w:right="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竞争性磋商文件规定的商务条件要求</w:t>
            </w:r>
          </w:p>
        </w:tc>
        <w:tc>
          <w:tcPr>
            <w:tcW w:w="2400" w:type="dxa"/>
            <w:noWrap w:val="0"/>
            <w:tcMar>
              <w:top w:w="0" w:type="dxa"/>
              <w:left w:w="105" w:type="dxa"/>
              <w:bottom w:w="0" w:type="dxa"/>
              <w:right w:w="105" w:type="dxa"/>
            </w:tcMar>
            <w:vAlign w:val="center"/>
          </w:tcPr>
          <w:p w14:paraId="51D57BF1">
            <w:pPr>
              <w:pStyle w:val="7"/>
              <w:keepNext w:val="0"/>
              <w:keepLines w:val="0"/>
              <w:widowControl/>
              <w:suppressLineNumbers w:val="0"/>
              <w:spacing w:before="0" w:beforeAutospacing="0" w:after="0" w:afterAutospacing="0" w:line="375" w:lineRule="atLeast"/>
              <w:ind w:left="0" w:right="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响应文件响应承诺</w:t>
            </w:r>
          </w:p>
        </w:tc>
        <w:tc>
          <w:tcPr>
            <w:tcW w:w="1613" w:type="dxa"/>
            <w:noWrap w:val="0"/>
            <w:tcMar>
              <w:top w:w="0" w:type="dxa"/>
              <w:left w:w="105" w:type="dxa"/>
              <w:bottom w:w="0" w:type="dxa"/>
              <w:right w:w="105" w:type="dxa"/>
            </w:tcMar>
            <w:vAlign w:val="center"/>
          </w:tcPr>
          <w:p w14:paraId="1E6420A3">
            <w:pPr>
              <w:pStyle w:val="7"/>
              <w:keepNext w:val="0"/>
              <w:keepLines w:val="0"/>
              <w:widowControl/>
              <w:suppressLineNumbers w:val="0"/>
              <w:spacing w:before="0" w:beforeAutospacing="0" w:after="0" w:afterAutospacing="0" w:line="375" w:lineRule="atLeast"/>
              <w:ind w:left="0" w:right="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是否偏离及说明</w:t>
            </w:r>
          </w:p>
        </w:tc>
      </w:tr>
      <w:tr w14:paraId="7319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047" w:type="dxa"/>
            <w:noWrap w:val="0"/>
            <w:tcMar>
              <w:top w:w="0" w:type="dxa"/>
              <w:left w:w="105" w:type="dxa"/>
              <w:bottom w:w="0" w:type="dxa"/>
              <w:right w:w="105" w:type="dxa"/>
            </w:tcMar>
            <w:vAlign w:val="center"/>
          </w:tcPr>
          <w:p w14:paraId="18294E02">
            <w:pPr>
              <w:keepNext w:val="0"/>
              <w:keepLines w:val="0"/>
              <w:widowControl/>
              <w:suppressLineNumbers w:val="0"/>
              <w:jc w:val="left"/>
              <w:rPr>
                <w:color w:val="000000" w:themeColor="text1"/>
                <w:highlight w:val="none"/>
                <w14:textFill>
                  <w14:solidFill>
                    <w14:schemeClr w14:val="tx1"/>
                  </w14:solidFill>
                </w14:textFill>
              </w:rPr>
            </w:pPr>
          </w:p>
        </w:tc>
        <w:tc>
          <w:tcPr>
            <w:tcW w:w="1537" w:type="dxa"/>
            <w:noWrap w:val="0"/>
            <w:tcMar>
              <w:top w:w="0" w:type="dxa"/>
              <w:left w:w="105" w:type="dxa"/>
              <w:bottom w:w="0" w:type="dxa"/>
              <w:right w:w="105" w:type="dxa"/>
            </w:tcMar>
            <w:vAlign w:val="center"/>
          </w:tcPr>
          <w:p w14:paraId="04046AEE">
            <w:pPr>
              <w:keepNext w:val="0"/>
              <w:keepLines w:val="0"/>
              <w:widowControl/>
              <w:suppressLineNumbers w:val="0"/>
              <w:jc w:val="left"/>
              <w:rPr>
                <w:color w:val="000000" w:themeColor="text1"/>
                <w:highlight w:val="none"/>
                <w14:textFill>
                  <w14:solidFill>
                    <w14:schemeClr w14:val="tx1"/>
                  </w14:solidFill>
                </w14:textFill>
              </w:rPr>
            </w:pPr>
          </w:p>
        </w:tc>
        <w:tc>
          <w:tcPr>
            <w:tcW w:w="2225" w:type="dxa"/>
            <w:noWrap w:val="0"/>
            <w:tcMar>
              <w:top w:w="0" w:type="dxa"/>
              <w:left w:w="105" w:type="dxa"/>
              <w:bottom w:w="0" w:type="dxa"/>
              <w:right w:w="105" w:type="dxa"/>
            </w:tcMar>
            <w:vAlign w:val="center"/>
          </w:tcPr>
          <w:p w14:paraId="7E42D1C3">
            <w:pPr>
              <w:keepNext w:val="0"/>
              <w:keepLines w:val="0"/>
              <w:widowControl/>
              <w:suppressLineNumbers w:val="0"/>
              <w:jc w:val="left"/>
              <w:rPr>
                <w:color w:val="000000" w:themeColor="text1"/>
                <w:highlight w:val="none"/>
                <w14:textFill>
                  <w14:solidFill>
                    <w14:schemeClr w14:val="tx1"/>
                  </w14:solidFill>
                </w14:textFill>
              </w:rPr>
            </w:pPr>
          </w:p>
        </w:tc>
        <w:tc>
          <w:tcPr>
            <w:tcW w:w="2400" w:type="dxa"/>
            <w:noWrap w:val="0"/>
            <w:tcMar>
              <w:top w:w="0" w:type="dxa"/>
              <w:left w:w="105" w:type="dxa"/>
              <w:bottom w:w="0" w:type="dxa"/>
              <w:right w:w="105" w:type="dxa"/>
            </w:tcMar>
            <w:vAlign w:val="center"/>
          </w:tcPr>
          <w:p w14:paraId="0041DD4E">
            <w:pPr>
              <w:keepNext w:val="0"/>
              <w:keepLines w:val="0"/>
              <w:widowControl/>
              <w:suppressLineNumbers w:val="0"/>
              <w:jc w:val="left"/>
              <w:rPr>
                <w:color w:val="000000" w:themeColor="text1"/>
                <w:highlight w:val="none"/>
                <w14:textFill>
                  <w14:solidFill>
                    <w14:schemeClr w14:val="tx1"/>
                  </w14:solidFill>
                </w14:textFill>
              </w:rPr>
            </w:pPr>
          </w:p>
        </w:tc>
        <w:tc>
          <w:tcPr>
            <w:tcW w:w="1613" w:type="dxa"/>
            <w:noWrap w:val="0"/>
            <w:tcMar>
              <w:top w:w="0" w:type="dxa"/>
              <w:left w:w="105" w:type="dxa"/>
              <w:bottom w:w="0" w:type="dxa"/>
              <w:right w:w="105" w:type="dxa"/>
            </w:tcMar>
            <w:vAlign w:val="center"/>
          </w:tcPr>
          <w:p w14:paraId="35F556B6">
            <w:pPr>
              <w:keepNext w:val="0"/>
              <w:keepLines w:val="0"/>
              <w:widowControl/>
              <w:suppressLineNumbers w:val="0"/>
              <w:jc w:val="left"/>
              <w:rPr>
                <w:color w:val="000000" w:themeColor="text1"/>
                <w:highlight w:val="none"/>
                <w14:textFill>
                  <w14:solidFill>
                    <w14:schemeClr w14:val="tx1"/>
                  </w14:solidFill>
                </w14:textFill>
              </w:rPr>
            </w:pPr>
          </w:p>
        </w:tc>
      </w:tr>
      <w:tr w14:paraId="1EE7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047" w:type="dxa"/>
            <w:noWrap w:val="0"/>
            <w:tcMar>
              <w:top w:w="0" w:type="dxa"/>
              <w:left w:w="105" w:type="dxa"/>
              <w:bottom w:w="0" w:type="dxa"/>
              <w:right w:w="105" w:type="dxa"/>
            </w:tcMar>
            <w:vAlign w:val="center"/>
          </w:tcPr>
          <w:p w14:paraId="174C4A96">
            <w:pPr>
              <w:keepNext w:val="0"/>
              <w:keepLines w:val="0"/>
              <w:widowControl/>
              <w:suppressLineNumbers w:val="0"/>
              <w:jc w:val="left"/>
              <w:rPr>
                <w:color w:val="000000" w:themeColor="text1"/>
                <w:highlight w:val="none"/>
                <w14:textFill>
                  <w14:solidFill>
                    <w14:schemeClr w14:val="tx1"/>
                  </w14:solidFill>
                </w14:textFill>
              </w:rPr>
            </w:pPr>
          </w:p>
        </w:tc>
        <w:tc>
          <w:tcPr>
            <w:tcW w:w="1537" w:type="dxa"/>
            <w:noWrap w:val="0"/>
            <w:tcMar>
              <w:top w:w="0" w:type="dxa"/>
              <w:left w:w="105" w:type="dxa"/>
              <w:bottom w:w="0" w:type="dxa"/>
              <w:right w:w="105" w:type="dxa"/>
            </w:tcMar>
            <w:vAlign w:val="center"/>
          </w:tcPr>
          <w:p w14:paraId="375FB594">
            <w:pPr>
              <w:keepNext w:val="0"/>
              <w:keepLines w:val="0"/>
              <w:widowControl/>
              <w:suppressLineNumbers w:val="0"/>
              <w:jc w:val="left"/>
              <w:rPr>
                <w:color w:val="000000" w:themeColor="text1"/>
                <w:highlight w:val="none"/>
                <w14:textFill>
                  <w14:solidFill>
                    <w14:schemeClr w14:val="tx1"/>
                  </w14:solidFill>
                </w14:textFill>
              </w:rPr>
            </w:pPr>
          </w:p>
        </w:tc>
        <w:tc>
          <w:tcPr>
            <w:tcW w:w="2225" w:type="dxa"/>
            <w:noWrap w:val="0"/>
            <w:tcMar>
              <w:top w:w="0" w:type="dxa"/>
              <w:left w:w="105" w:type="dxa"/>
              <w:bottom w:w="0" w:type="dxa"/>
              <w:right w:w="105" w:type="dxa"/>
            </w:tcMar>
            <w:vAlign w:val="center"/>
          </w:tcPr>
          <w:p w14:paraId="5C18CCCC">
            <w:pPr>
              <w:keepNext w:val="0"/>
              <w:keepLines w:val="0"/>
              <w:widowControl/>
              <w:suppressLineNumbers w:val="0"/>
              <w:jc w:val="left"/>
              <w:rPr>
                <w:color w:val="000000" w:themeColor="text1"/>
                <w:highlight w:val="none"/>
                <w14:textFill>
                  <w14:solidFill>
                    <w14:schemeClr w14:val="tx1"/>
                  </w14:solidFill>
                </w14:textFill>
              </w:rPr>
            </w:pPr>
          </w:p>
        </w:tc>
        <w:tc>
          <w:tcPr>
            <w:tcW w:w="2400" w:type="dxa"/>
            <w:noWrap w:val="0"/>
            <w:tcMar>
              <w:top w:w="0" w:type="dxa"/>
              <w:left w:w="105" w:type="dxa"/>
              <w:bottom w:w="0" w:type="dxa"/>
              <w:right w:w="105" w:type="dxa"/>
            </w:tcMar>
            <w:vAlign w:val="center"/>
          </w:tcPr>
          <w:p w14:paraId="40E74E06">
            <w:pPr>
              <w:keepNext w:val="0"/>
              <w:keepLines w:val="0"/>
              <w:widowControl/>
              <w:suppressLineNumbers w:val="0"/>
              <w:jc w:val="left"/>
              <w:rPr>
                <w:color w:val="000000" w:themeColor="text1"/>
                <w:highlight w:val="none"/>
                <w14:textFill>
                  <w14:solidFill>
                    <w14:schemeClr w14:val="tx1"/>
                  </w14:solidFill>
                </w14:textFill>
              </w:rPr>
            </w:pPr>
          </w:p>
        </w:tc>
        <w:tc>
          <w:tcPr>
            <w:tcW w:w="1613" w:type="dxa"/>
            <w:noWrap w:val="0"/>
            <w:tcMar>
              <w:top w:w="0" w:type="dxa"/>
              <w:left w:w="105" w:type="dxa"/>
              <w:bottom w:w="0" w:type="dxa"/>
              <w:right w:w="105" w:type="dxa"/>
            </w:tcMar>
            <w:vAlign w:val="center"/>
          </w:tcPr>
          <w:p w14:paraId="3548111E">
            <w:pPr>
              <w:keepNext w:val="0"/>
              <w:keepLines w:val="0"/>
              <w:widowControl/>
              <w:suppressLineNumbers w:val="0"/>
              <w:jc w:val="left"/>
              <w:rPr>
                <w:color w:val="000000" w:themeColor="text1"/>
                <w:highlight w:val="none"/>
                <w14:textFill>
                  <w14:solidFill>
                    <w14:schemeClr w14:val="tx1"/>
                  </w14:solidFill>
                </w14:textFill>
              </w:rPr>
            </w:pPr>
          </w:p>
        </w:tc>
      </w:tr>
      <w:tr w14:paraId="54B9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047" w:type="dxa"/>
            <w:noWrap w:val="0"/>
            <w:tcMar>
              <w:top w:w="0" w:type="dxa"/>
              <w:left w:w="105" w:type="dxa"/>
              <w:bottom w:w="0" w:type="dxa"/>
              <w:right w:w="105" w:type="dxa"/>
            </w:tcMar>
            <w:vAlign w:val="center"/>
          </w:tcPr>
          <w:p w14:paraId="03221A75">
            <w:pPr>
              <w:keepNext w:val="0"/>
              <w:keepLines w:val="0"/>
              <w:widowControl/>
              <w:suppressLineNumbers w:val="0"/>
              <w:jc w:val="left"/>
              <w:rPr>
                <w:color w:val="000000" w:themeColor="text1"/>
                <w:highlight w:val="none"/>
                <w14:textFill>
                  <w14:solidFill>
                    <w14:schemeClr w14:val="tx1"/>
                  </w14:solidFill>
                </w14:textFill>
              </w:rPr>
            </w:pPr>
          </w:p>
        </w:tc>
        <w:tc>
          <w:tcPr>
            <w:tcW w:w="1537" w:type="dxa"/>
            <w:noWrap w:val="0"/>
            <w:tcMar>
              <w:top w:w="0" w:type="dxa"/>
              <w:left w:w="105" w:type="dxa"/>
              <w:bottom w:w="0" w:type="dxa"/>
              <w:right w:w="105" w:type="dxa"/>
            </w:tcMar>
            <w:vAlign w:val="center"/>
          </w:tcPr>
          <w:p w14:paraId="4BDAF1BE">
            <w:pPr>
              <w:keepNext w:val="0"/>
              <w:keepLines w:val="0"/>
              <w:widowControl/>
              <w:suppressLineNumbers w:val="0"/>
              <w:jc w:val="left"/>
              <w:rPr>
                <w:color w:val="000000" w:themeColor="text1"/>
                <w:highlight w:val="none"/>
                <w14:textFill>
                  <w14:solidFill>
                    <w14:schemeClr w14:val="tx1"/>
                  </w14:solidFill>
                </w14:textFill>
              </w:rPr>
            </w:pPr>
          </w:p>
        </w:tc>
        <w:tc>
          <w:tcPr>
            <w:tcW w:w="2225" w:type="dxa"/>
            <w:noWrap w:val="0"/>
            <w:tcMar>
              <w:top w:w="0" w:type="dxa"/>
              <w:left w:w="105" w:type="dxa"/>
              <w:bottom w:w="0" w:type="dxa"/>
              <w:right w:w="105" w:type="dxa"/>
            </w:tcMar>
            <w:vAlign w:val="center"/>
          </w:tcPr>
          <w:p w14:paraId="565619FB">
            <w:pPr>
              <w:keepNext w:val="0"/>
              <w:keepLines w:val="0"/>
              <w:widowControl/>
              <w:suppressLineNumbers w:val="0"/>
              <w:jc w:val="left"/>
              <w:rPr>
                <w:color w:val="000000" w:themeColor="text1"/>
                <w:highlight w:val="none"/>
                <w14:textFill>
                  <w14:solidFill>
                    <w14:schemeClr w14:val="tx1"/>
                  </w14:solidFill>
                </w14:textFill>
              </w:rPr>
            </w:pPr>
          </w:p>
        </w:tc>
        <w:tc>
          <w:tcPr>
            <w:tcW w:w="2400" w:type="dxa"/>
            <w:noWrap w:val="0"/>
            <w:tcMar>
              <w:top w:w="0" w:type="dxa"/>
              <w:left w:w="105" w:type="dxa"/>
              <w:bottom w:w="0" w:type="dxa"/>
              <w:right w:w="105" w:type="dxa"/>
            </w:tcMar>
            <w:vAlign w:val="center"/>
          </w:tcPr>
          <w:p w14:paraId="5FEDB184">
            <w:pPr>
              <w:keepNext w:val="0"/>
              <w:keepLines w:val="0"/>
              <w:widowControl/>
              <w:suppressLineNumbers w:val="0"/>
              <w:jc w:val="left"/>
              <w:rPr>
                <w:color w:val="000000" w:themeColor="text1"/>
                <w:highlight w:val="none"/>
                <w14:textFill>
                  <w14:solidFill>
                    <w14:schemeClr w14:val="tx1"/>
                  </w14:solidFill>
                </w14:textFill>
              </w:rPr>
            </w:pPr>
          </w:p>
        </w:tc>
        <w:tc>
          <w:tcPr>
            <w:tcW w:w="1613" w:type="dxa"/>
            <w:noWrap w:val="0"/>
            <w:tcMar>
              <w:top w:w="0" w:type="dxa"/>
              <w:left w:w="105" w:type="dxa"/>
              <w:bottom w:w="0" w:type="dxa"/>
              <w:right w:w="105" w:type="dxa"/>
            </w:tcMar>
            <w:vAlign w:val="center"/>
          </w:tcPr>
          <w:p w14:paraId="2F15B95F">
            <w:pPr>
              <w:keepNext w:val="0"/>
              <w:keepLines w:val="0"/>
              <w:widowControl/>
              <w:suppressLineNumbers w:val="0"/>
              <w:jc w:val="left"/>
              <w:rPr>
                <w:color w:val="000000" w:themeColor="text1"/>
                <w:highlight w:val="none"/>
                <w14:textFill>
                  <w14:solidFill>
                    <w14:schemeClr w14:val="tx1"/>
                  </w14:solidFill>
                </w14:textFill>
              </w:rPr>
            </w:pPr>
          </w:p>
        </w:tc>
      </w:tr>
      <w:tr w14:paraId="2CD0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047" w:type="dxa"/>
            <w:noWrap w:val="0"/>
            <w:tcMar>
              <w:top w:w="0" w:type="dxa"/>
              <w:left w:w="105" w:type="dxa"/>
              <w:bottom w:w="0" w:type="dxa"/>
              <w:right w:w="105" w:type="dxa"/>
            </w:tcMar>
            <w:vAlign w:val="center"/>
          </w:tcPr>
          <w:p w14:paraId="2F742434">
            <w:pPr>
              <w:keepNext w:val="0"/>
              <w:keepLines w:val="0"/>
              <w:widowControl/>
              <w:suppressLineNumbers w:val="0"/>
              <w:jc w:val="left"/>
              <w:rPr>
                <w:color w:val="000000" w:themeColor="text1"/>
                <w:highlight w:val="none"/>
                <w14:textFill>
                  <w14:solidFill>
                    <w14:schemeClr w14:val="tx1"/>
                  </w14:solidFill>
                </w14:textFill>
              </w:rPr>
            </w:pPr>
          </w:p>
        </w:tc>
        <w:tc>
          <w:tcPr>
            <w:tcW w:w="1537" w:type="dxa"/>
            <w:noWrap w:val="0"/>
            <w:tcMar>
              <w:top w:w="0" w:type="dxa"/>
              <w:left w:w="105" w:type="dxa"/>
              <w:bottom w:w="0" w:type="dxa"/>
              <w:right w:w="105" w:type="dxa"/>
            </w:tcMar>
            <w:vAlign w:val="center"/>
          </w:tcPr>
          <w:p w14:paraId="5100B048">
            <w:pPr>
              <w:keepNext w:val="0"/>
              <w:keepLines w:val="0"/>
              <w:widowControl/>
              <w:suppressLineNumbers w:val="0"/>
              <w:jc w:val="left"/>
              <w:rPr>
                <w:color w:val="000000" w:themeColor="text1"/>
                <w:highlight w:val="none"/>
                <w14:textFill>
                  <w14:solidFill>
                    <w14:schemeClr w14:val="tx1"/>
                  </w14:solidFill>
                </w14:textFill>
              </w:rPr>
            </w:pPr>
          </w:p>
        </w:tc>
        <w:tc>
          <w:tcPr>
            <w:tcW w:w="2225" w:type="dxa"/>
            <w:noWrap w:val="0"/>
            <w:tcMar>
              <w:top w:w="0" w:type="dxa"/>
              <w:left w:w="105" w:type="dxa"/>
              <w:bottom w:w="0" w:type="dxa"/>
              <w:right w:w="105" w:type="dxa"/>
            </w:tcMar>
            <w:vAlign w:val="center"/>
          </w:tcPr>
          <w:p w14:paraId="2D45C327">
            <w:pPr>
              <w:keepNext w:val="0"/>
              <w:keepLines w:val="0"/>
              <w:widowControl/>
              <w:suppressLineNumbers w:val="0"/>
              <w:jc w:val="left"/>
              <w:rPr>
                <w:color w:val="000000" w:themeColor="text1"/>
                <w:highlight w:val="none"/>
                <w14:textFill>
                  <w14:solidFill>
                    <w14:schemeClr w14:val="tx1"/>
                  </w14:solidFill>
                </w14:textFill>
              </w:rPr>
            </w:pPr>
          </w:p>
        </w:tc>
        <w:tc>
          <w:tcPr>
            <w:tcW w:w="2400" w:type="dxa"/>
            <w:noWrap w:val="0"/>
            <w:tcMar>
              <w:top w:w="0" w:type="dxa"/>
              <w:left w:w="105" w:type="dxa"/>
              <w:bottom w:w="0" w:type="dxa"/>
              <w:right w:w="105" w:type="dxa"/>
            </w:tcMar>
            <w:vAlign w:val="center"/>
          </w:tcPr>
          <w:p w14:paraId="59118AEE">
            <w:pPr>
              <w:keepNext w:val="0"/>
              <w:keepLines w:val="0"/>
              <w:widowControl/>
              <w:suppressLineNumbers w:val="0"/>
              <w:jc w:val="left"/>
              <w:rPr>
                <w:color w:val="000000" w:themeColor="text1"/>
                <w:highlight w:val="none"/>
                <w14:textFill>
                  <w14:solidFill>
                    <w14:schemeClr w14:val="tx1"/>
                  </w14:solidFill>
                </w14:textFill>
              </w:rPr>
            </w:pPr>
          </w:p>
        </w:tc>
        <w:tc>
          <w:tcPr>
            <w:tcW w:w="1613" w:type="dxa"/>
            <w:noWrap w:val="0"/>
            <w:tcMar>
              <w:top w:w="0" w:type="dxa"/>
              <w:left w:w="105" w:type="dxa"/>
              <w:bottom w:w="0" w:type="dxa"/>
              <w:right w:w="105" w:type="dxa"/>
            </w:tcMar>
            <w:vAlign w:val="center"/>
          </w:tcPr>
          <w:p w14:paraId="25F2C26A">
            <w:pPr>
              <w:keepNext w:val="0"/>
              <w:keepLines w:val="0"/>
              <w:widowControl/>
              <w:suppressLineNumbers w:val="0"/>
              <w:jc w:val="left"/>
              <w:rPr>
                <w:color w:val="000000" w:themeColor="text1"/>
                <w:highlight w:val="none"/>
                <w14:textFill>
                  <w14:solidFill>
                    <w14:schemeClr w14:val="tx1"/>
                  </w14:solidFill>
                </w14:textFill>
              </w:rPr>
            </w:pPr>
          </w:p>
        </w:tc>
      </w:tr>
      <w:tr w14:paraId="257B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047" w:type="dxa"/>
            <w:noWrap w:val="0"/>
            <w:tcMar>
              <w:top w:w="0" w:type="dxa"/>
              <w:left w:w="105" w:type="dxa"/>
              <w:bottom w:w="0" w:type="dxa"/>
              <w:right w:w="105" w:type="dxa"/>
            </w:tcMar>
            <w:vAlign w:val="center"/>
          </w:tcPr>
          <w:p w14:paraId="38D7867E">
            <w:pPr>
              <w:keepNext w:val="0"/>
              <w:keepLines w:val="0"/>
              <w:widowControl/>
              <w:suppressLineNumbers w:val="0"/>
              <w:jc w:val="left"/>
              <w:rPr>
                <w:color w:val="000000" w:themeColor="text1"/>
                <w:highlight w:val="none"/>
                <w14:textFill>
                  <w14:solidFill>
                    <w14:schemeClr w14:val="tx1"/>
                  </w14:solidFill>
                </w14:textFill>
              </w:rPr>
            </w:pPr>
          </w:p>
        </w:tc>
        <w:tc>
          <w:tcPr>
            <w:tcW w:w="1537" w:type="dxa"/>
            <w:noWrap w:val="0"/>
            <w:tcMar>
              <w:top w:w="0" w:type="dxa"/>
              <w:left w:w="105" w:type="dxa"/>
              <w:bottom w:w="0" w:type="dxa"/>
              <w:right w:w="105" w:type="dxa"/>
            </w:tcMar>
            <w:vAlign w:val="center"/>
          </w:tcPr>
          <w:p w14:paraId="5E5AC8EA">
            <w:pPr>
              <w:keepNext w:val="0"/>
              <w:keepLines w:val="0"/>
              <w:widowControl/>
              <w:suppressLineNumbers w:val="0"/>
              <w:jc w:val="left"/>
              <w:rPr>
                <w:color w:val="000000" w:themeColor="text1"/>
                <w:highlight w:val="none"/>
                <w14:textFill>
                  <w14:solidFill>
                    <w14:schemeClr w14:val="tx1"/>
                  </w14:solidFill>
                </w14:textFill>
              </w:rPr>
            </w:pPr>
          </w:p>
        </w:tc>
        <w:tc>
          <w:tcPr>
            <w:tcW w:w="2225" w:type="dxa"/>
            <w:noWrap w:val="0"/>
            <w:tcMar>
              <w:top w:w="0" w:type="dxa"/>
              <w:left w:w="105" w:type="dxa"/>
              <w:bottom w:w="0" w:type="dxa"/>
              <w:right w:w="105" w:type="dxa"/>
            </w:tcMar>
            <w:vAlign w:val="center"/>
          </w:tcPr>
          <w:p w14:paraId="6E422AAF">
            <w:pPr>
              <w:keepNext w:val="0"/>
              <w:keepLines w:val="0"/>
              <w:widowControl/>
              <w:suppressLineNumbers w:val="0"/>
              <w:jc w:val="left"/>
              <w:rPr>
                <w:color w:val="000000" w:themeColor="text1"/>
                <w:highlight w:val="none"/>
                <w14:textFill>
                  <w14:solidFill>
                    <w14:schemeClr w14:val="tx1"/>
                  </w14:solidFill>
                </w14:textFill>
              </w:rPr>
            </w:pPr>
          </w:p>
        </w:tc>
        <w:tc>
          <w:tcPr>
            <w:tcW w:w="2400" w:type="dxa"/>
            <w:noWrap w:val="0"/>
            <w:tcMar>
              <w:top w:w="0" w:type="dxa"/>
              <w:left w:w="105" w:type="dxa"/>
              <w:bottom w:w="0" w:type="dxa"/>
              <w:right w:w="105" w:type="dxa"/>
            </w:tcMar>
            <w:vAlign w:val="center"/>
          </w:tcPr>
          <w:p w14:paraId="57496F37">
            <w:pPr>
              <w:keepNext w:val="0"/>
              <w:keepLines w:val="0"/>
              <w:widowControl/>
              <w:suppressLineNumbers w:val="0"/>
              <w:jc w:val="left"/>
              <w:rPr>
                <w:color w:val="000000" w:themeColor="text1"/>
                <w:highlight w:val="none"/>
                <w14:textFill>
                  <w14:solidFill>
                    <w14:schemeClr w14:val="tx1"/>
                  </w14:solidFill>
                </w14:textFill>
              </w:rPr>
            </w:pPr>
          </w:p>
        </w:tc>
        <w:tc>
          <w:tcPr>
            <w:tcW w:w="1613" w:type="dxa"/>
            <w:noWrap w:val="0"/>
            <w:tcMar>
              <w:top w:w="0" w:type="dxa"/>
              <w:left w:w="105" w:type="dxa"/>
              <w:bottom w:w="0" w:type="dxa"/>
              <w:right w:w="105" w:type="dxa"/>
            </w:tcMar>
            <w:vAlign w:val="center"/>
          </w:tcPr>
          <w:p w14:paraId="22636AB5">
            <w:pPr>
              <w:keepNext w:val="0"/>
              <w:keepLines w:val="0"/>
              <w:widowControl/>
              <w:suppressLineNumbers w:val="0"/>
              <w:jc w:val="left"/>
              <w:rPr>
                <w:color w:val="000000" w:themeColor="text1"/>
                <w:highlight w:val="none"/>
                <w14:textFill>
                  <w14:solidFill>
                    <w14:schemeClr w14:val="tx1"/>
                  </w14:solidFill>
                </w14:textFill>
              </w:rPr>
            </w:pPr>
          </w:p>
        </w:tc>
      </w:tr>
      <w:tr w14:paraId="5C512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1047" w:type="dxa"/>
            <w:noWrap w:val="0"/>
            <w:tcMar>
              <w:top w:w="0" w:type="dxa"/>
              <w:left w:w="105" w:type="dxa"/>
              <w:bottom w:w="0" w:type="dxa"/>
              <w:right w:w="105" w:type="dxa"/>
            </w:tcMar>
            <w:vAlign w:val="center"/>
          </w:tcPr>
          <w:p w14:paraId="23FFE292">
            <w:pPr>
              <w:keepNext w:val="0"/>
              <w:keepLines w:val="0"/>
              <w:widowControl/>
              <w:suppressLineNumbers w:val="0"/>
              <w:jc w:val="left"/>
              <w:rPr>
                <w:color w:val="000000" w:themeColor="text1"/>
                <w:highlight w:val="none"/>
                <w14:textFill>
                  <w14:solidFill>
                    <w14:schemeClr w14:val="tx1"/>
                  </w14:solidFill>
                </w14:textFill>
              </w:rPr>
            </w:pPr>
          </w:p>
        </w:tc>
        <w:tc>
          <w:tcPr>
            <w:tcW w:w="1537" w:type="dxa"/>
            <w:noWrap w:val="0"/>
            <w:tcMar>
              <w:top w:w="0" w:type="dxa"/>
              <w:left w:w="105" w:type="dxa"/>
              <w:bottom w:w="0" w:type="dxa"/>
              <w:right w:w="105" w:type="dxa"/>
            </w:tcMar>
            <w:vAlign w:val="center"/>
          </w:tcPr>
          <w:p w14:paraId="1030D9E3">
            <w:pPr>
              <w:keepNext w:val="0"/>
              <w:keepLines w:val="0"/>
              <w:widowControl/>
              <w:suppressLineNumbers w:val="0"/>
              <w:jc w:val="left"/>
              <w:rPr>
                <w:color w:val="000000" w:themeColor="text1"/>
                <w:highlight w:val="none"/>
                <w14:textFill>
                  <w14:solidFill>
                    <w14:schemeClr w14:val="tx1"/>
                  </w14:solidFill>
                </w14:textFill>
              </w:rPr>
            </w:pPr>
          </w:p>
        </w:tc>
        <w:tc>
          <w:tcPr>
            <w:tcW w:w="2225" w:type="dxa"/>
            <w:noWrap w:val="0"/>
            <w:tcMar>
              <w:top w:w="0" w:type="dxa"/>
              <w:left w:w="105" w:type="dxa"/>
              <w:bottom w:w="0" w:type="dxa"/>
              <w:right w:w="105" w:type="dxa"/>
            </w:tcMar>
            <w:vAlign w:val="center"/>
          </w:tcPr>
          <w:p w14:paraId="30ADA407">
            <w:pPr>
              <w:keepNext w:val="0"/>
              <w:keepLines w:val="0"/>
              <w:widowControl/>
              <w:suppressLineNumbers w:val="0"/>
              <w:jc w:val="left"/>
              <w:rPr>
                <w:color w:val="000000" w:themeColor="text1"/>
                <w:highlight w:val="none"/>
                <w14:textFill>
                  <w14:solidFill>
                    <w14:schemeClr w14:val="tx1"/>
                  </w14:solidFill>
                </w14:textFill>
              </w:rPr>
            </w:pPr>
          </w:p>
        </w:tc>
        <w:tc>
          <w:tcPr>
            <w:tcW w:w="2400" w:type="dxa"/>
            <w:noWrap w:val="0"/>
            <w:tcMar>
              <w:top w:w="0" w:type="dxa"/>
              <w:left w:w="105" w:type="dxa"/>
              <w:bottom w:w="0" w:type="dxa"/>
              <w:right w:w="105" w:type="dxa"/>
            </w:tcMar>
            <w:vAlign w:val="center"/>
          </w:tcPr>
          <w:p w14:paraId="674BCB57">
            <w:pPr>
              <w:keepNext w:val="0"/>
              <w:keepLines w:val="0"/>
              <w:widowControl/>
              <w:suppressLineNumbers w:val="0"/>
              <w:jc w:val="left"/>
              <w:rPr>
                <w:color w:val="000000" w:themeColor="text1"/>
                <w:highlight w:val="none"/>
                <w14:textFill>
                  <w14:solidFill>
                    <w14:schemeClr w14:val="tx1"/>
                  </w14:solidFill>
                </w14:textFill>
              </w:rPr>
            </w:pPr>
          </w:p>
        </w:tc>
        <w:tc>
          <w:tcPr>
            <w:tcW w:w="1613" w:type="dxa"/>
            <w:noWrap w:val="0"/>
            <w:tcMar>
              <w:top w:w="0" w:type="dxa"/>
              <w:left w:w="105" w:type="dxa"/>
              <w:bottom w:w="0" w:type="dxa"/>
              <w:right w:w="105" w:type="dxa"/>
            </w:tcMar>
            <w:vAlign w:val="center"/>
          </w:tcPr>
          <w:p w14:paraId="097B198D">
            <w:pPr>
              <w:keepNext w:val="0"/>
              <w:keepLines w:val="0"/>
              <w:widowControl/>
              <w:suppressLineNumbers w:val="0"/>
              <w:jc w:val="left"/>
              <w:rPr>
                <w:color w:val="000000" w:themeColor="text1"/>
                <w:highlight w:val="none"/>
                <w14:textFill>
                  <w14:solidFill>
                    <w14:schemeClr w14:val="tx1"/>
                  </w14:solidFill>
                </w14:textFill>
              </w:rPr>
            </w:pPr>
          </w:p>
        </w:tc>
      </w:tr>
      <w:tr w14:paraId="7DB2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047" w:type="dxa"/>
            <w:noWrap w:val="0"/>
            <w:tcMar>
              <w:top w:w="0" w:type="dxa"/>
              <w:left w:w="105" w:type="dxa"/>
              <w:bottom w:w="0" w:type="dxa"/>
              <w:right w:w="105" w:type="dxa"/>
            </w:tcMar>
            <w:vAlign w:val="center"/>
          </w:tcPr>
          <w:p w14:paraId="43F567D3">
            <w:pPr>
              <w:keepNext w:val="0"/>
              <w:keepLines w:val="0"/>
              <w:widowControl/>
              <w:suppressLineNumbers w:val="0"/>
              <w:jc w:val="left"/>
              <w:rPr>
                <w:color w:val="000000" w:themeColor="text1"/>
                <w:highlight w:val="none"/>
                <w14:textFill>
                  <w14:solidFill>
                    <w14:schemeClr w14:val="tx1"/>
                  </w14:solidFill>
                </w14:textFill>
              </w:rPr>
            </w:pPr>
          </w:p>
        </w:tc>
        <w:tc>
          <w:tcPr>
            <w:tcW w:w="1537" w:type="dxa"/>
            <w:noWrap w:val="0"/>
            <w:tcMar>
              <w:top w:w="0" w:type="dxa"/>
              <w:left w:w="105" w:type="dxa"/>
              <w:bottom w:w="0" w:type="dxa"/>
              <w:right w:w="105" w:type="dxa"/>
            </w:tcMar>
            <w:vAlign w:val="center"/>
          </w:tcPr>
          <w:p w14:paraId="49D0BF47">
            <w:pPr>
              <w:keepNext w:val="0"/>
              <w:keepLines w:val="0"/>
              <w:widowControl/>
              <w:suppressLineNumbers w:val="0"/>
              <w:jc w:val="left"/>
              <w:rPr>
                <w:color w:val="000000" w:themeColor="text1"/>
                <w:highlight w:val="none"/>
                <w14:textFill>
                  <w14:solidFill>
                    <w14:schemeClr w14:val="tx1"/>
                  </w14:solidFill>
                </w14:textFill>
              </w:rPr>
            </w:pPr>
          </w:p>
        </w:tc>
        <w:tc>
          <w:tcPr>
            <w:tcW w:w="2225" w:type="dxa"/>
            <w:noWrap w:val="0"/>
            <w:tcMar>
              <w:top w:w="0" w:type="dxa"/>
              <w:left w:w="105" w:type="dxa"/>
              <w:bottom w:w="0" w:type="dxa"/>
              <w:right w:w="105" w:type="dxa"/>
            </w:tcMar>
            <w:vAlign w:val="center"/>
          </w:tcPr>
          <w:p w14:paraId="3D7FEF9D">
            <w:pPr>
              <w:keepNext w:val="0"/>
              <w:keepLines w:val="0"/>
              <w:widowControl/>
              <w:suppressLineNumbers w:val="0"/>
              <w:jc w:val="left"/>
              <w:rPr>
                <w:color w:val="000000" w:themeColor="text1"/>
                <w:highlight w:val="none"/>
                <w14:textFill>
                  <w14:solidFill>
                    <w14:schemeClr w14:val="tx1"/>
                  </w14:solidFill>
                </w14:textFill>
              </w:rPr>
            </w:pPr>
          </w:p>
        </w:tc>
        <w:tc>
          <w:tcPr>
            <w:tcW w:w="2400" w:type="dxa"/>
            <w:noWrap w:val="0"/>
            <w:tcMar>
              <w:top w:w="0" w:type="dxa"/>
              <w:left w:w="105" w:type="dxa"/>
              <w:bottom w:w="0" w:type="dxa"/>
              <w:right w:w="105" w:type="dxa"/>
            </w:tcMar>
            <w:vAlign w:val="center"/>
          </w:tcPr>
          <w:p w14:paraId="5A4216E4">
            <w:pPr>
              <w:keepNext w:val="0"/>
              <w:keepLines w:val="0"/>
              <w:widowControl/>
              <w:suppressLineNumbers w:val="0"/>
              <w:jc w:val="left"/>
              <w:rPr>
                <w:color w:val="000000" w:themeColor="text1"/>
                <w:highlight w:val="none"/>
                <w14:textFill>
                  <w14:solidFill>
                    <w14:schemeClr w14:val="tx1"/>
                  </w14:solidFill>
                </w14:textFill>
              </w:rPr>
            </w:pPr>
          </w:p>
        </w:tc>
        <w:tc>
          <w:tcPr>
            <w:tcW w:w="1613" w:type="dxa"/>
            <w:noWrap w:val="0"/>
            <w:tcMar>
              <w:top w:w="0" w:type="dxa"/>
              <w:left w:w="105" w:type="dxa"/>
              <w:bottom w:w="0" w:type="dxa"/>
              <w:right w:w="105" w:type="dxa"/>
            </w:tcMar>
            <w:vAlign w:val="center"/>
          </w:tcPr>
          <w:p w14:paraId="0295379A">
            <w:pPr>
              <w:keepNext w:val="0"/>
              <w:keepLines w:val="0"/>
              <w:widowControl/>
              <w:suppressLineNumbers w:val="0"/>
              <w:jc w:val="left"/>
              <w:rPr>
                <w:color w:val="000000" w:themeColor="text1"/>
                <w:highlight w:val="none"/>
                <w14:textFill>
                  <w14:solidFill>
                    <w14:schemeClr w14:val="tx1"/>
                  </w14:solidFill>
                </w14:textFill>
              </w:rPr>
            </w:pPr>
          </w:p>
        </w:tc>
      </w:tr>
      <w:tr w14:paraId="1CDD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047" w:type="dxa"/>
            <w:noWrap w:val="0"/>
            <w:tcMar>
              <w:top w:w="0" w:type="dxa"/>
              <w:left w:w="105" w:type="dxa"/>
              <w:bottom w:w="0" w:type="dxa"/>
              <w:right w:w="105" w:type="dxa"/>
            </w:tcMar>
            <w:vAlign w:val="center"/>
          </w:tcPr>
          <w:p w14:paraId="1ADF8870">
            <w:pPr>
              <w:keepNext w:val="0"/>
              <w:keepLines w:val="0"/>
              <w:widowControl/>
              <w:suppressLineNumbers w:val="0"/>
              <w:jc w:val="left"/>
              <w:rPr>
                <w:color w:val="000000" w:themeColor="text1"/>
                <w:highlight w:val="none"/>
                <w14:textFill>
                  <w14:solidFill>
                    <w14:schemeClr w14:val="tx1"/>
                  </w14:solidFill>
                </w14:textFill>
              </w:rPr>
            </w:pPr>
          </w:p>
        </w:tc>
        <w:tc>
          <w:tcPr>
            <w:tcW w:w="1537" w:type="dxa"/>
            <w:noWrap w:val="0"/>
            <w:tcMar>
              <w:top w:w="0" w:type="dxa"/>
              <w:left w:w="105" w:type="dxa"/>
              <w:bottom w:w="0" w:type="dxa"/>
              <w:right w:w="105" w:type="dxa"/>
            </w:tcMar>
            <w:vAlign w:val="center"/>
          </w:tcPr>
          <w:p w14:paraId="1E12567D">
            <w:pPr>
              <w:keepNext w:val="0"/>
              <w:keepLines w:val="0"/>
              <w:widowControl/>
              <w:suppressLineNumbers w:val="0"/>
              <w:jc w:val="left"/>
              <w:rPr>
                <w:color w:val="000000" w:themeColor="text1"/>
                <w:highlight w:val="none"/>
                <w14:textFill>
                  <w14:solidFill>
                    <w14:schemeClr w14:val="tx1"/>
                  </w14:solidFill>
                </w14:textFill>
              </w:rPr>
            </w:pPr>
          </w:p>
        </w:tc>
        <w:tc>
          <w:tcPr>
            <w:tcW w:w="2225" w:type="dxa"/>
            <w:noWrap w:val="0"/>
            <w:tcMar>
              <w:top w:w="0" w:type="dxa"/>
              <w:left w:w="105" w:type="dxa"/>
              <w:bottom w:w="0" w:type="dxa"/>
              <w:right w:w="105" w:type="dxa"/>
            </w:tcMar>
            <w:vAlign w:val="center"/>
          </w:tcPr>
          <w:p w14:paraId="1EA83138">
            <w:pPr>
              <w:keepNext w:val="0"/>
              <w:keepLines w:val="0"/>
              <w:widowControl/>
              <w:suppressLineNumbers w:val="0"/>
              <w:jc w:val="left"/>
              <w:rPr>
                <w:color w:val="000000" w:themeColor="text1"/>
                <w:highlight w:val="none"/>
                <w14:textFill>
                  <w14:solidFill>
                    <w14:schemeClr w14:val="tx1"/>
                  </w14:solidFill>
                </w14:textFill>
              </w:rPr>
            </w:pPr>
          </w:p>
        </w:tc>
        <w:tc>
          <w:tcPr>
            <w:tcW w:w="2400" w:type="dxa"/>
            <w:noWrap w:val="0"/>
            <w:tcMar>
              <w:top w:w="0" w:type="dxa"/>
              <w:left w:w="105" w:type="dxa"/>
              <w:bottom w:w="0" w:type="dxa"/>
              <w:right w:w="105" w:type="dxa"/>
            </w:tcMar>
            <w:vAlign w:val="center"/>
          </w:tcPr>
          <w:p w14:paraId="636FA7BE">
            <w:pPr>
              <w:keepNext w:val="0"/>
              <w:keepLines w:val="0"/>
              <w:widowControl/>
              <w:suppressLineNumbers w:val="0"/>
              <w:jc w:val="left"/>
              <w:rPr>
                <w:color w:val="000000" w:themeColor="text1"/>
                <w:highlight w:val="none"/>
                <w14:textFill>
                  <w14:solidFill>
                    <w14:schemeClr w14:val="tx1"/>
                  </w14:solidFill>
                </w14:textFill>
              </w:rPr>
            </w:pPr>
          </w:p>
        </w:tc>
        <w:tc>
          <w:tcPr>
            <w:tcW w:w="1613" w:type="dxa"/>
            <w:noWrap w:val="0"/>
            <w:tcMar>
              <w:top w:w="0" w:type="dxa"/>
              <w:left w:w="105" w:type="dxa"/>
              <w:bottom w:w="0" w:type="dxa"/>
              <w:right w:w="105" w:type="dxa"/>
            </w:tcMar>
            <w:vAlign w:val="center"/>
          </w:tcPr>
          <w:p w14:paraId="07D0EF6E">
            <w:pPr>
              <w:keepNext w:val="0"/>
              <w:keepLines w:val="0"/>
              <w:widowControl/>
              <w:suppressLineNumbers w:val="0"/>
              <w:jc w:val="left"/>
              <w:rPr>
                <w:color w:val="000000" w:themeColor="text1"/>
                <w:highlight w:val="none"/>
                <w14:textFill>
                  <w14:solidFill>
                    <w14:schemeClr w14:val="tx1"/>
                  </w14:solidFill>
                </w14:textFill>
              </w:rPr>
            </w:pPr>
          </w:p>
        </w:tc>
      </w:tr>
      <w:tr w14:paraId="1413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047" w:type="dxa"/>
            <w:noWrap w:val="0"/>
            <w:tcMar>
              <w:top w:w="0" w:type="dxa"/>
              <w:left w:w="105" w:type="dxa"/>
              <w:bottom w:w="0" w:type="dxa"/>
              <w:right w:w="105" w:type="dxa"/>
            </w:tcMar>
            <w:vAlign w:val="center"/>
          </w:tcPr>
          <w:p w14:paraId="4E50919F">
            <w:pPr>
              <w:keepNext w:val="0"/>
              <w:keepLines w:val="0"/>
              <w:widowControl/>
              <w:suppressLineNumbers w:val="0"/>
              <w:jc w:val="left"/>
              <w:rPr>
                <w:color w:val="000000" w:themeColor="text1"/>
                <w:highlight w:val="none"/>
                <w14:textFill>
                  <w14:solidFill>
                    <w14:schemeClr w14:val="tx1"/>
                  </w14:solidFill>
                </w14:textFill>
              </w:rPr>
            </w:pPr>
          </w:p>
        </w:tc>
        <w:tc>
          <w:tcPr>
            <w:tcW w:w="1537" w:type="dxa"/>
            <w:noWrap w:val="0"/>
            <w:tcMar>
              <w:top w:w="0" w:type="dxa"/>
              <w:left w:w="105" w:type="dxa"/>
              <w:bottom w:w="0" w:type="dxa"/>
              <w:right w:w="105" w:type="dxa"/>
            </w:tcMar>
            <w:vAlign w:val="center"/>
          </w:tcPr>
          <w:p w14:paraId="7D014299">
            <w:pPr>
              <w:keepNext w:val="0"/>
              <w:keepLines w:val="0"/>
              <w:widowControl/>
              <w:suppressLineNumbers w:val="0"/>
              <w:jc w:val="left"/>
              <w:rPr>
                <w:color w:val="000000" w:themeColor="text1"/>
                <w:highlight w:val="none"/>
                <w14:textFill>
                  <w14:solidFill>
                    <w14:schemeClr w14:val="tx1"/>
                  </w14:solidFill>
                </w14:textFill>
              </w:rPr>
            </w:pPr>
          </w:p>
        </w:tc>
        <w:tc>
          <w:tcPr>
            <w:tcW w:w="2225" w:type="dxa"/>
            <w:noWrap w:val="0"/>
            <w:tcMar>
              <w:top w:w="0" w:type="dxa"/>
              <w:left w:w="105" w:type="dxa"/>
              <w:bottom w:w="0" w:type="dxa"/>
              <w:right w:w="105" w:type="dxa"/>
            </w:tcMar>
            <w:vAlign w:val="center"/>
          </w:tcPr>
          <w:p w14:paraId="6662E328">
            <w:pPr>
              <w:keepNext w:val="0"/>
              <w:keepLines w:val="0"/>
              <w:widowControl/>
              <w:suppressLineNumbers w:val="0"/>
              <w:jc w:val="left"/>
              <w:rPr>
                <w:color w:val="000000" w:themeColor="text1"/>
                <w:highlight w:val="none"/>
                <w14:textFill>
                  <w14:solidFill>
                    <w14:schemeClr w14:val="tx1"/>
                  </w14:solidFill>
                </w14:textFill>
              </w:rPr>
            </w:pPr>
          </w:p>
        </w:tc>
        <w:tc>
          <w:tcPr>
            <w:tcW w:w="2400" w:type="dxa"/>
            <w:noWrap w:val="0"/>
            <w:tcMar>
              <w:top w:w="0" w:type="dxa"/>
              <w:left w:w="105" w:type="dxa"/>
              <w:bottom w:w="0" w:type="dxa"/>
              <w:right w:w="105" w:type="dxa"/>
            </w:tcMar>
            <w:vAlign w:val="center"/>
          </w:tcPr>
          <w:p w14:paraId="43309D92">
            <w:pPr>
              <w:keepNext w:val="0"/>
              <w:keepLines w:val="0"/>
              <w:widowControl/>
              <w:suppressLineNumbers w:val="0"/>
              <w:jc w:val="left"/>
              <w:rPr>
                <w:color w:val="000000" w:themeColor="text1"/>
                <w:highlight w:val="none"/>
                <w14:textFill>
                  <w14:solidFill>
                    <w14:schemeClr w14:val="tx1"/>
                  </w14:solidFill>
                </w14:textFill>
              </w:rPr>
            </w:pPr>
          </w:p>
        </w:tc>
        <w:tc>
          <w:tcPr>
            <w:tcW w:w="1613" w:type="dxa"/>
            <w:noWrap w:val="0"/>
            <w:tcMar>
              <w:top w:w="0" w:type="dxa"/>
              <w:left w:w="105" w:type="dxa"/>
              <w:bottom w:w="0" w:type="dxa"/>
              <w:right w:w="105" w:type="dxa"/>
            </w:tcMar>
            <w:vAlign w:val="center"/>
          </w:tcPr>
          <w:p w14:paraId="3A344018">
            <w:pPr>
              <w:keepNext w:val="0"/>
              <w:keepLines w:val="0"/>
              <w:widowControl/>
              <w:suppressLineNumbers w:val="0"/>
              <w:jc w:val="left"/>
              <w:rPr>
                <w:color w:val="000000" w:themeColor="text1"/>
                <w:highlight w:val="none"/>
                <w14:textFill>
                  <w14:solidFill>
                    <w14:schemeClr w14:val="tx1"/>
                  </w14:solidFill>
                </w14:textFill>
              </w:rPr>
            </w:pPr>
          </w:p>
        </w:tc>
      </w:tr>
      <w:tr w14:paraId="6B1C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1047" w:type="dxa"/>
            <w:noWrap w:val="0"/>
            <w:tcMar>
              <w:top w:w="0" w:type="dxa"/>
              <w:left w:w="105" w:type="dxa"/>
              <w:bottom w:w="0" w:type="dxa"/>
              <w:right w:w="105" w:type="dxa"/>
            </w:tcMar>
            <w:vAlign w:val="center"/>
          </w:tcPr>
          <w:p w14:paraId="7CAC84AD">
            <w:pPr>
              <w:keepNext w:val="0"/>
              <w:keepLines w:val="0"/>
              <w:widowControl/>
              <w:suppressLineNumbers w:val="0"/>
              <w:jc w:val="left"/>
              <w:rPr>
                <w:color w:val="000000" w:themeColor="text1"/>
                <w:highlight w:val="none"/>
                <w14:textFill>
                  <w14:solidFill>
                    <w14:schemeClr w14:val="tx1"/>
                  </w14:solidFill>
                </w14:textFill>
              </w:rPr>
            </w:pPr>
          </w:p>
        </w:tc>
        <w:tc>
          <w:tcPr>
            <w:tcW w:w="1537" w:type="dxa"/>
            <w:noWrap w:val="0"/>
            <w:tcMar>
              <w:top w:w="0" w:type="dxa"/>
              <w:left w:w="105" w:type="dxa"/>
              <w:bottom w:w="0" w:type="dxa"/>
              <w:right w:w="105" w:type="dxa"/>
            </w:tcMar>
            <w:vAlign w:val="center"/>
          </w:tcPr>
          <w:p w14:paraId="4BF07D65">
            <w:pPr>
              <w:keepNext w:val="0"/>
              <w:keepLines w:val="0"/>
              <w:widowControl/>
              <w:suppressLineNumbers w:val="0"/>
              <w:jc w:val="left"/>
              <w:rPr>
                <w:color w:val="000000" w:themeColor="text1"/>
                <w:highlight w:val="none"/>
                <w14:textFill>
                  <w14:solidFill>
                    <w14:schemeClr w14:val="tx1"/>
                  </w14:solidFill>
                </w14:textFill>
              </w:rPr>
            </w:pPr>
          </w:p>
        </w:tc>
        <w:tc>
          <w:tcPr>
            <w:tcW w:w="2225" w:type="dxa"/>
            <w:noWrap w:val="0"/>
            <w:tcMar>
              <w:top w:w="0" w:type="dxa"/>
              <w:left w:w="105" w:type="dxa"/>
              <w:bottom w:w="0" w:type="dxa"/>
              <w:right w:w="105" w:type="dxa"/>
            </w:tcMar>
            <w:vAlign w:val="center"/>
          </w:tcPr>
          <w:p w14:paraId="1C38397B">
            <w:pPr>
              <w:keepNext w:val="0"/>
              <w:keepLines w:val="0"/>
              <w:widowControl/>
              <w:suppressLineNumbers w:val="0"/>
              <w:jc w:val="left"/>
              <w:rPr>
                <w:color w:val="000000" w:themeColor="text1"/>
                <w:highlight w:val="none"/>
                <w14:textFill>
                  <w14:solidFill>
                    <w14:schemeClr w14:val="tx1"/>
                  </w14:solidFill>
                </w14:textFill>
              </w:rPr>
            </w:pPr>
          </w:p>
        </w:tc>
        <w:tc>
          <w:tcPr>
            <w:tcW w:w="2400" w:type="dxa"/>
            <w:noWrap w:val="0"/>
            <w:tcMar>
              <w:top w:w="0" w:type="dxa"/>
              <w:left w:w="105" w:type="dxa"/>
              <w:bottom w:w="0" w:type="dxa"/>
              <w:right w:w="105" w:type="dxa"/>
            </w:tcMar>
            <w:vAlign w:val="center"/>
          </w:tcPr>
          <w:p w14:paraId="602D2F47">
            <w:pPr>
              <w:keepNext w:val="0"/>
              <w:keepLines w:val="0"/>
              <w:widowControl/>
              <w:suppressLineNumbers w:val="0"/>
              <w:jc w:val="left"/>
              <w:rPr>
                <w:color w:val="000000" w:themeColor="text1"/>
                <w:highlight w:val="none"/>
                <w14:textFill>
                  <w14:solidFill>
                    <w14:schemeClr w14:val="tx1"/>
                  </w14:solidFill>
                </w14:textFill>
              </w:rPr>
            </w:pPr>
          </w:p>
        </w:tc>
        <w:tc>
          <w:tcPr>
            <w:tcW w:w="1613" w:type="dxa"/>
            <w:noWrap w:val="0"/>
            <w:tcMar>
              <w:top w:w="0" w:type="dxa"/>
              <w:left w:w="105" w:type="dxa"/>
              <w:bottom w:w="0" w:type="dxa"/>
              <w:right w:w="105" w:type="dxa"/>
            </w:tcMar>
            <w:vAlign w:val="center"/>
          </w:tcPr>
          <w:p w14:paraId="73759911">
            <w:pPr>
              <w:keepNext w:val="0"/>
              <w:keepLines w:val="0"/>
              <w:widowControl/>
              <w:suppressLineNumbers w:val="0"/>
              <w:jc w:val="left"/>
              <w:rPr>
                <w:color w:val="000000" w:themeColor="text1"/>
                <w:highlight w:val="none"/>
                <w14:textFill>
                  <w14:solidFill>
                    <w14:schemeClr w14:val="tx1"/>
                  </w14:solidFill>
                </w14:textFill>
              </w:rPr>
            </w:pPr>
          </w:p>
        </w:tc>
      </w:tr>
    </w:tbl>
    <w:p w14:paraId="6A1967C4">
      <w:pPr>
        <w:pStyle w:val="7"/>
        <w:keepNext w:val="0"/>
        <w:keepLines w:val="0"/>
        <w:widowControl/>
        <w:suppressLineNumbers w:val="0"/>
        <w:spacing w:before="75" w:beforeAutospacing="0" w:after="75" w:afterAutospacing="0" w:line="375" w:lineRule="atLeast"/>
        <w:ind w:left="0" w:right="0" w:firstLine="0"/>
        <w:rPr>
          <w:rStyle w:val="12"/>
          <w:rFonts w:hint="eastAsia" w:ascii="宋体" w:hAnsi="宋体" w:eastAsia="宋体" w:cs="宋体"/>
          <w:b/>
          <w:bCs/>
          <w:color w:val="000000" w:themeColor="text1"/>
          <w:spacing w:val="0"/>
          <w:sz w:val="24"/>
          <w:szCs w:val="24"/>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注：</w:t>
      </w:r>
    </w:p>
    <w:p w14:paraId="0C259EC9">
      <w:pPr>
        <w:pStyle w:val="7"/>
        <w:keepNext w:val="0"/>
        <w:keepLines w:val="0"/>
        <w:widowControl/>
        <w:suppressLineNumbers w:val="0"/>
        <w:spacing w:before="75" w:beforeAutospacing="0" w:after="75" w:afterAutospacing="0" w:line="375" w:lineRule="atLeast"/>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4D0D5B32">
      <w:pPr>
        <w:pStyle w:val="7"/>
        <w:keepNext w:val="0"/>
        <w:keepLines w:val="0"/>
        <w:widowControl/>
        <w:suppressLineNumbers w:val="0"/>
        <w:spacing w:before="75" w:beforeAutospacing="0" w:after="75" w:afterAutospacing="0" w:line="375" w:lineRule="atLeast"/>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1"/>
          <w:szCs w:val="21"/>
          <w:highlight w:val="none"/>
          <w14:textFill>
            <w14:solidFill>
              <w14:schemeClr w14:val="tx1"/>
            </w14:solidFill>
          </w14:textFill>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14:paraId="23AC3DA7">
      <w:pPr>
        <w:pStyle w:val="7"/>
        <w:keepNext w:val="0"/>
        <w:keepLines w:val="0"/>
        <w:widowControl/>
        <w:suppressLineNumbers w:val="0"/>
        <w:spacing w:before="75" w:beforeAutospacing="0" w:after="75" w:afterAutospacing="0" w:line="37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供应商代表签字： _________________</w:t>
      </w:r>
    </w:p>
    <w:p w14:paraId="5717B46C">
      <w:pPr>
        <w:pStyle w:val="7"/>
        <w:keepNext w:val="0"/>
        <w:keepLines w:val="0"/>
        <w:widowControl/>
        <w:suppressLineNumbers w:val="0"/>
        <w:spacing w:before="75" w:beforeAutospacing="0" w:after="75" w:afterAutospacing="0" w:line="420" w:lineRule="atLeast"/>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7B3FE204">
      <w:pPr>
        <w:pStyle w:val="7"/>
        <w:keepNext w:val="0"/>
        <w:keepLines w:val="0"/>
        <w:widowControl/>
        <w:suppressLineNumbers w:val="0"/>
        <w:spacing w:before="75" w:beforeAutospacing="0" w:after="75" w:afterAutospacing="0" w:line="420" w:lineRule="atLeast"/>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62724536">
      <w:pPr>
        <w:pStyle w:val="7"/>
        <w:keepNext w:val="0"/>
        <w:keepLines w:val="0"/>
        <w:widowControl/>
        <w:suppressLineNumbers w:val="0"/>
        <w:spacing w:before="75" w:beforeAutospacing="0" w:after="75" w:afterAutospacing="0" w:line="42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br w:type="page"/>
      </w:r>
      <w:r>
        <w:rPr>
          <w:rFonts w:hint="eastAsia" w:ascii="宋体" w:hAnsi="宋体" w:eastAsia="宋体" w:cs="宋体"/>
          <w:color w:val="000000" w:themeColor="text1"/>
          <w:spacing w:val="0"/>
          <w:sz w:val="24"/>
          <w:szCs w:val="24"/>
          <w:highlight w:val="none"/>
          <w14:textFill>
            <w14:solidFill>
              <w14:schemeClr w14:val="tx1"/>
            </w14:solidFill>
          </w14:textFill>
        </w:rPr>
        <w:t>附件</w:t>
      </w:r>
      <w:r>
        <w:rPr>
          <w:rFonts w:hint="eastAsia" w:ascii="宋体" w:hAnsi="宋体" w:cs="宋体"/>
          <w:color w:val="000000" w:themeColor="text1"/>
          <w:spacing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0"/>
          <w:sz w:val="24"/>
          <w:szCs w:val="24"/>
          <w:highlight w:val="none"/>
          <w14:textFill>
            <w14:solidFill>
              <w14:schemeClr w14:val="tx1"/>
            </w14:solidFill>
          </w14:textFill>
        </w:rPr>
        <w:t xml:space="preserve">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相关技术、商务、服务响应承诺及资料</w:t>
      </w:r>
    </w:p>
    <w:p w14:paraId="644FE8B8">
      <w:pPr>
        <w:pStyle w:val="7"/>
        <w:keepNext w:val="0"/>
        <w:keepLines w:val="0"/>
        <w:widowControl/>
        <w:suppressLineNumbers w:val="0"/>
        <w:spacing w:before="75" w:beforeAutospacing="0" w:after="75" w:afterAutospacing="0" w:line="42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4F417D57">
      <w:pPr>
        <w:pStyle w:val="7"/>
        <w:keepNext w:val="0"/>
        <w:keepLines w:val="0"/>
        <w:widowControl/>
        <w:suppressLineNumbers w:val="0"/>
        <w:spacing w:before="75" w:beforeAutospacing="0" w:after="75" w:afterAutospacing="0" w:line="495" w:lineRule="atLeast"/>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说明：    </w:t>
      </w:r>
    </w:p>
    <w:p w14:paraId="2FFC96B5">
      <w:pPr>
        <w:pStyle w:val="7"/>
        <w:keepNext w:val="0"/>
        <w:keepLines w:val="0"/>
        <w:widowControl/>
        <w:suppressLineNumbers w:val="0"/>
        <w:spacing w:before="75" w:beforeAutospacing="0" w:after="75" w:afterAutospacing="0" w:line="49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14:paraId="249F09ED">
      <w:pPr>
        <w:pStyle w:val="7"/>
        <w:keepNext w:val="0"/>
        <w:keepLines w:val="0"/>
        <w:widowControl/>
        <w:suppressLineNumbers w:val="0"/>
        <w:spacing w:before="75" w:beforeAutospacing="0" w:after="75" w:afterAutospacing="0" w:line="49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2.如果没有特别要求的，供应商根据磋商文件的要求以及特点，提供相关技术、商务、服务响应承诺及资料，格式自拟。</w:t>
      </w:r>
    </w:p>
    <w:p w14:paraId="3E0B83D7">
      <w:pPr>
        <w:pStyle w:val="7"/>
        <w:keepNext w:val="0"/>
        <w:keepLines w:val="0"/>
        <w:widowControl/>
        <w:suppressLineNumbers w:val="0"/>
        <w:spacing w:before="75" w:beforeAutospacing="0" w:after="75" w:afterAutospacing="0" w:line="495" w:lineRule="atLeast"/>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p>
    <w:p w14:paraId="75BFEA97">
      <w:pPr>
        <w:pStyle w:val="7"/>
        <w:keepNext w:val="0"/>
        <w:keepLines w:val="0"/>
        <w:widowControl/>
        <w:suppressLineNumbers w:val="0"/>
        <w:spacing w:before="75" w:beforeAutospacing="0" w:after="75" w:afterAutospacing="0" w:line="420" w:lineRule="atLeast"/>
        <w:ind w:left="0" w:right="0" w:firstLine="480"/>
        <w:rPr>
          <w:rFonts w:hint="eastAsia" w:ascii="宋体" w:hAnsi="宋体" w:eastAsia="宋体" w:cs="宋体"/>
          <w:color w:val="000000" w:themeColor="text1"/>
          <w:spacing w:val="0"/>
          <w:sz w:val="24"/>
          <w:szCs w:val="24"/>
          <w:highlight w:val="none"/>
          <w14:textFill>
            <w14:solidFill>
              <w14:schemeClr w14:val="tx1"/>
            </w14:solidFill>
          </w14:textFill>
        </w:rPr>
      </w:pPr>
    </w:p>
    <w:p w14:paraId="50F43BAD">
      <w:pPr>
        <w:pStyle w:val="7"/>
        <w:keepNext w:val="0"/>
        <w:keepLines w:val="0"/>
        <w:widowControl/>
        <w:suppressLineNumbers w:val="0"/>
        <w:spacing w:before="75" w:beforeAutospacing="0" w:after="75" w:afterAutospacing="0" w:line="420"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5094F6E4">
      <w:pPr>
        <w:pStyle w:val="7"/>
        <w:keepNext w:val="0"/>
        <w:keepLines w:val="0"/>
        <w:widowControl/>
        <w:suppressLineNumbers w:val="0"/>
        <w:spacing w:before="75" w:beforeAutospacing="0" w:after="75" w:afterAutospacing="0" w:line="420"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1375D3FB">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（签字） </w:t>
      </w:r>
    </w:p>
    <w:p w14:paraId="3BF275A5">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供应商名称：</w:t>
      </w:r>
      <w:r>
        <w:rPr>
          <w:rFonts w:hint="eastAsia" w:ascii="宋体" w:hAnsi="宋体" w:eastAsia="宋体" w:cs="宋体"/>
          <w:color w:val="000000" w:themeColor="text1"/>
          <w:spacing w:val="0"/>
          <w:sz w:val="24"/>
          <w:szCs w:val="24"/>
          <w:highlight w:val="none"/>
          <w:u w:val="single"/>
          <w14:textFill>
            <w14:solidFill>
              <w14:schemeClr w14:val="tx1"/>
            </w14:solidFill>
          </w14:textFill>
        </w:rPr>
        <w:t>         （全称并加盖公章）</w:t>
      </w:r>
    </w:p>
    <w:p w14:paraId="20F98B90">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日  期：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w:t>
      </w:r>
    </w:p>
    <w:p w14:paraId="2F0C3F51">
      <w:pPr>
        <w:pStyle w:val="7"/>
        <w:keepNext w:val="0"/>
        <w:keepLines w:val="0"/>
        <w:widowControl/>
        <w:suppressLineNumbers w:val="0"/>
        <w:spacing w:before="75" w:beforeAutospacing="0" w:after="75" w:afterAutospacing="0" w:line="420"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63A6B8F2">
      <w:pPr>
        <w:pStyle w:val="7"/>
        <w:keepNext w:val="0"/>
        <w:keepLines w:val="0"/>
        <w:widowControl/>
        <w:suppressLineNumbers w:val="0"/>
        <w:spacing w:before="75" w:beforeAutospacing="0" w:after="75" w:afterAutospacing="0" w:line="49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7171C8FD">
      <w:pPr>
        <w:pStyle w:val="7"/>
        <w:keepNext w:val="0"/>
        <w:keepLines w:val="0"/>
        <w:widowControl/>
        <w:suppressLineNumbers w:val="0"/>
        <w:spacing w:before="75" w:beforeAutospacing="0" w:after="75" w:afterAutospacing="0" w:line="495" w:lineRule="atLeast"/>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p>
    <w:p w14:paraId="5ADD0377">
      <w:pPr>
        <w:pStyle w:val="7"/>
        <w:keepNext w:val="0"/>
        <w:keepLines w:val="0"/>
        <w:widowControl/>
        <w:suppressLineNumbers w:val="0"/>
        <w:spacing w:before="75" w:beforeAutospacing="0" w:after="75" w:afterAutospacing="0" w:line="495" w:lineRule="atLeast"/>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p>
    <w:p w14:paraId="55CDE04B">
      <w:pPr>
        <w:pStyle w:val="7"/>
        <w:keepNext w:val="0"/>
        <w:keepLines w:val="0"/>
        <w:widowControl/>
        <w:suppressLineNumbers w:val="0"/>
        <w:spacing w:before="75" w:beforeAutospacing="0" w:after="75" w:afterAutospacing="0" w:line="495" w:lineRule="atLeast"/>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p>
    <w:p w14:paraId="61D084F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br w:type="page"/>
      </w:r>
      <w:r>
        <w:rPr>
          <w:rFonts w:hint="eastAsia" w:ascii="宋体" w:hAnsi="宋体" w:eastAsia="宋体" w:cs="宋体"/>
          <w:color w:val="000000" w:themeColor="text1"/>
          <w:spacing w:val="0"/>
          <w:sz w:val="24"/>
          <w:szCs w:val="24"/>
          <w:highlight w:val="none"/>
          <w14:textFill>
            <w14:solidFill>
              <w14:schemeClr w14:val="tx1"/>
            </w14:solidFill>
          </w14:textFill>
        </w:rPr>
        <w:t>附件</w:t>
      </w:r>
      <w:r>
        <w:rPr>
          <w:rFonts w:hint="eastAsia" w:ascii="宋体" w:hAnsi="宋体" w:cs="宋体"/>
          <w:color w:val="000000" w:themeColor="text1"/>
          <w:spacing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pacing w:val="0"/>
          <w:sz w:val="24"/>
          <w:szCs w:val="24"/>
          <w:highlight w:val="none"/>
          <w14:textFill>
            <w14:solidFill>
              <w14:schemeClr w14:val="tx1"/>
            </w14:solidFill>
          </w14:textFill>
        </w:rPr>
        <w:t xml:space="preserve">     </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供应商提交的</w:t>
      </w:r>
      <w:r>
        <w:rPr>
          <w:rStyle w:val="12"/>
          <w:rFonts w:hint="eastAsia" w:ascii="宋体" w:hAnsi="宋体" w:cs="宋体"/>
          <w:b/>
          <w:bCs/>
          <w:color w:val="000000" w:themeColor="text1"/>
          <w:spacing w:val="0"/>
          <w:sz w:val="24"/>
          <w:szCs w:val="24"/>
          <w:highlight w:val="none"/>
          <w:lang w:val="en-US" w:eastAsia="zh-CN"/>
          <w14:textFill>
            <w14:solidFill>
              <w14:schemeClr w14:val="tx1"/>
            </w14:solidFill>
          </w14:textFill>
        </w:rPr>
        <w:t>其他</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材料</w:t>
      </w:r>
    </w:p>
    <w:p w14:paraId="087C7FF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8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793DC0B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附件</w:t>
      </w:r>
      <w:r>
        <w:rPr>
          <w:rFonts w:hint="eastAsia" w:ascii="宋体" w:hAnsi="宋体" w:cs="宋体"/>
          <w:color w:val="000000" w:themeColor="text1"/>
          <w:spacing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pacing w:val="0"/>
          <w:sz w:val="24"/>
          <w:szCs w:val="24"/>
          <w:highlight w:val="none"/>
          <w14:textFill>
            <w14:solidFill>
              <w14:schemeClr w14:val="tx1"/>
            </w14:solidFill>
          </w14:textFill>
        </w:rPr>
        <w:t>-1</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highlight w:val="none"/>
          <w14:textFill>
            <w14:solidFill>
              <w14:schemeClr w14:val="tx1"/>
            </w14:solidFill>
          </w14:textFill>
        </w:rPr>
        <w:t xml:space="preserve">        </w:t>
      </w:r>
      <w:r>
        <w:rPr>
          <w:rFonts w:hint="eastAsia" w:ascii="宋体" w:hAnsi="宋体" w:cs="宋体"/>
          <w:color w:val="000000" w:themeColor="text1"/>
          <w:spacing w:val="0"/>
          <w:sz w:val="24"/>
          <w:szCs w:val="24"/>
          <w:highlight w:val="none"/>
          <w:lang w:val="en-US" w:eastAsia="zh-CN"/>
          <w14:textFill>
            <w14:solidFill>
              <w14:schemeClr w14:val="tx1"/>
            </w14:solidFill>
          </w14:textFill>
        </w:rPr>
        <w:t xml:space="preserve">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中小企业声明函（</w:t>
      </w:r>
      <w:r>
        <w:rPr>
          <w:rStyle w:val="12"/>
          <w:rFonts w:hint="eastAsia" w:ascii="宋体" w:hAnsi="宋体" w:cs="宋体"/>
          <w:b/>
          <w:bCs/>
          <w:color w:val="000000" w:themeColor="text1"/>
          <w:spacing w:val="0"/>
          <w:sz w:val="24"/>
          <w:szCs w:val="24"/>
          <w:highlight w:val="none"/>
          <w:lang w:eastAsia="zh-CN"/>
          <w14:textFill>
            <w14:solidFill>
              <w14:schemeClr w14:val="tx1"/>
            </w14:solidFill>
          </w14:textFill>
        </w:rPr>
        <w:t>若有</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w:t>
      </w:r>
    </w:p>
    <w:p w14:paraId="7DDE82B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0D65E077">
      <w:pPr>
        <w:pStyle w:val="13"/>
        <w:ind w:firstLine="480"/>
        <w:jc w:val="center"/>
      </w:pPr>
      <w:r>
        <w:rPr>
          <w:b/>
          <w:bCs/>
        </w:rPr>
        <w:t>中小企业声明函（货物）</w:t>
      </w:r>
    </w:p>
    <w:p w14:paraId="44D8E8B5">
      <w:pPr>
        <w:pStyle w:val="13"/>
        <w:ind w:firstLine="480"/>
        <w:jc w:val="left"/>
      </w:pPr>
      <w:r>
        <w:t>本公司</w:t>
      </w:r>
      <w:r>
        <w:rPr>
          <w:u w:val="single"/>
        </w:rPr>
        <w:t>（联合体）</w:t>
      </w:r>
      <w:r>
        <w:t>郑重声明，根据《政府采购促进中小企业发展管理办法》（财库﹝2020﹞46号）的规定，本公司</w:t>
      </w:r>
      <w:r>
        <w:rPr>
          <w:u w:val="single"/>
        </w:rPr>
        <w:t>（联合体）</w:t>
      </w:r>
      <w:r>
        <w:t>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347D4DF2">
      <w:pPr>
        <w:pStyle w:val="13"/>
        <w:ind w:firstLine="480"/>
        <w:jc w:val="left"/>
      </w:pPr>
      <w:r>
        <w:t>1.</w:t>
      </w:r>
      <w:r>
        <w:rPr>
          <w:u w:val="single"/>
        </w:rPr>
        <w:t>（标的名称）</w:t>
      </w:r>
      <w:r>
        <w:t>，属于</w:t>
      </w:r>
      <w:r>
        <w:rPr>
          <w:u w:val="single"/>
        </w:rPr>
        <w:t>（采购文件中明确的所属行业）</w:t>
      </w:r>
      <w:r>
        <w:t>行业；制造商为</w:t>
      </w:r>
      <w:r>
        <w:rPr>
          <w:u w:val="single"/>
        </w:rPr>
        <w:t>（企业名称）</w:t>
      </w:r>
      <w:r>
        <w:t>，从业人员人，营业收入为万元，资产总额为万元1，属于</w:t>
      </w:r>
      <w:r>
        <w:rPr>
          <w:u w:val="single"/>
        </w:rPr>
        <w:t>（中型企业、小型企业、微型企业）</w:t>
      </w:r>
      <w:r>
        <w:t>；</w:t>
      </w:r>
    </w:p>
    <w:p w14:paraId="2F7ECB68">
      <w:pPr>
        <w:pStyle w:val="13"/>
        <w:ind w:firstLine="480"/>
        <w:jc w:val="left"/>
      </w:pPr>
      <w:r>
        <w:t>2.</w:t>
      </w:r>
      <w:r>
        <w:rPr>
          <w:u w:val="single"/>
        </w:rPr>
        <w:t>（标的名称）</w:t>
      </w:r>
      <w:r>
        <w:t>，属于</w:t>
      </w:r>
      <w:r>
        <w:rPr>
          <w:u w:val="single"/>
        </w:rPr>
        <w:t>（采购文件中明确的所属行业）</w:t>
      </w:r>
      <w:r>
        <w:t>行业；制造商为</w:t>
      </w:r>
      <w:r>
        <w:rPr>
          <w:u w:val="single"/>
        </w:rPr>
        <w:t>（企业名称）</w:t>
      </w:r>
      <w:r>
        <w:t>，从业人员人，营业收入为万元，资产总额为万元1，属于</w:t>
      </w:r>
      <w:r>
        <w:rPr>
          <w:u w:val="single"/>
        </w:rPr>
        <w:t>（中型企业、小型企业、微型企业）</w:t>
      </w:r>
      <w:r>
        <w:t>；</w:t>
      </w:r>
    </w:p>
    <w:p w14:paraId="3041DC38">
      <w:pPr>
        <w:pStyle w:val="13"/>
        <w:ind w:firstLine="480"/>
        <w:jc w:val="left"/>
      </w:pPr>
      <w:r>
        <w:t>......</w:t>
      </w:r>
    </w:p>
    <w:p w14:paraId="66550FC3">
      <w:pPr>
        <w:pStyle w:val="13"/>
        <w:ind w:firstLine="480"/>
        <w:jc w:val="left"/>
      </w:pPr>
      <w:r>
        <w:t>以上企业，不属于大企业的分支机构，不存在控股股东为大企业的情形，也不存在与大企业的负责人为同一人的情形。</w:t>
      </w:r>
    </w:p>
    <w:p w14:paraId="0CF2BADC">
      <w:pPr>
        <w:pStyle w:val="13"/>
        <w:ind w:firstLine="480"/>
        <w:jc w:val="left"/>
      </w:pPr>
      <w:r>
        <w:t>本企业对上述声明内容的真实性负责。如有虚假，将依法承担相应责任。</w:t>
      </w:r>
    </w:p>
    <w:p w14:paraId="3EA44354">
      <w:pPr>
        <w:pStyle w:val="13"/>
        <w:ind w:firstLine="480"/>
        <w:jc w:val="left"/>
      </w:pPr>
      <w:r>
        <w:t>企业名称（盖章）：</w:t>
      </w:r>
    </w:p>
    <w:p w14:paraId="5ED79F73">
      <w:pPr>
        <w:pStyle w:val="13"/>
        <w:ind w:firstLine="480"/>
        <w:jc w:val="left"/>
      </w:pPr>
      <w:r>
        <w:t>日期：</w:t>
      </w:r>
      <w:r>
        <w:rPr>
          <w:u w:val="single"/>
        </w:rPr>
        <w:t>　　　</w:t>
      </w:r>
      <w:r>
        <w:t>年</w:t>
      </w:r>
      <w:r>
        <w:rPr>
          <w:u w:val="single"/>
        </w:rPr>
        <w:t>　　　</w:t>
      </w:r>
      <w:r>
        <w:t>月</w:t>
      </w:r>
      <w:r>
        <w:rPr>
          <w:u w:val="single"/>
        </w:rPr>
        <w:t>　　　</w:t>
      </w:r>
      <w:r>
        <w:t>日</w:t>
      </w:r>
    </w:p>
    <w:p w14:paraId="167BC036">
      <w:pPr>
        <w:pStyle w:val="13"/>
        <w:ind w:firstLine="480"/>
        <w:jc w:val="left"/>
      </w:pPr>
      <w:r>
        <w:t>※注意：</w:t>
      </w:r>
    </w:p>
    <w:p w14:paraId="78A2EF88">
      <w:pPr>
        <w:pStyle w:val="13"/>
        <w:ind w:firstLine="480"/>
        <w:jc w:val="left"/>
      </w:pPr>
      <w:r>
        <w:t>1、从业人员、营业收入、资产总额填报上一年度数据，无上一年度数据的新成立企业可不填报。</w:t>
      </w:r>
    </w:p>
    <w:p w14:paraId="364390A5">
      <w:pPr>
        <w:pStyle w:val="13"/>
        <w:ind w:firstLine="480"/>
        <w:jc w:val="left"/>
      </w:pPr>
      <w:r>
        <w:t>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4FF5A31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48" w:firstLineChars="1770"/>
        <w:textAlignment w:val="auto"/>
      </w:pPr>
      <w: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01CDA7B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48" w:firstLineChars="1770"/>
        <w:textAlignment w:val="auto"/>
      </w:pPr>
    </w:p>
    <w:p w14:paraId="0DC8E77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48" w:firstLineChars="1770"/>
        <w:textAlignment w:val="auto"/>
      </w:pPr>
    </w:p>
    <w:p w14:paraId="77A066B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48" w:firstLineChars="1770"/>
        <w:textAlignment w:val="auto"/>
      </w:pPr>
    </w:p>
    <w:p w14:paraId="253CD5B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48" w:firstLineChars="1770"/>
        <w:textAlignment w:val="auto"/>
      </w:pPr>
    </w:p>
    <w:p w14:paraId="49C53F2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48" w:firstLineChars="1770"/>
        <w:textAlignment w:val="auto"/>
      </w:pPr>
    </w:p>
    <w:p w14:paraId="0C36544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48" w:firstLineChars="1770"/>
        <w:textAlignment w:val="auto"/>
      </w:pPr>
    </w:p>
    <w:p w14:paraId="0CF9663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48" w:firstLineChars="1770"/>
        <w:textAlignment w:val="auto"/>
      </w:pPr>
    </w:p>
    <w:p w14:paraId="20D12F9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48" w:firstLineChars="1770"/>
        <w:textAlignment w:val="auto"/>
      </w:pPr>
    </w:p>
    <w:p w14:paraId="406EFBE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48" w:firstLineChars="1770"/>
        <w:textAlignment w:val="auto"/>
      </w:pPr>
    </w:p>
    <w:p w14:paraId="355CEBA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48" w:firstLineChars="1770"/>
        <w:textAlignment w:val="auto"/>
      </w:pPr>
    </w:p>
    <w:p w14:paraId="5045D0B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48" w:firstLineChars="1770"/>
        <w:textAlignment w:val="auto"/>
      </w:pPr>
    </w:p>
    <w:p w14:paraId="10C3BD0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48" w:firstLineChars="1770"/>
        <w:textAlignment w:val="auto"/>
      </w:pPr>
    </w:p>
    <w:p w14:paraId="5A4C38B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48" w:firstLineChars="1770"/>
        <w:textAlignment w:val="auto"/>
      </w:pPr>
    </w:p>
    <w:p w14:paraId="7D3B7BA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48" w:firstLineChars="1770"/>
        <w:textAlignment w:val="auto"/>
      </w:pPr>
    </w:p>
    <w:p w14:paraId="7CBB2B2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48" w:firstLineChars="1770"/>
        <w:textAlignment w:val="auto"/>
      </w:pPr>
    </w:p>
    <w:p w14:paraId="3D5213E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48" w:firstLineChars="1770"/>
        <w:textAlignment w:val="auto"/>
      </w:pPr>
    </w:p>
    <w:p w14:paraId="2C4D28DB">
      <w:pPr>
        <w:pStyle w:val="13"/>
        <w:jc w:val="center"/>
        <w:outlineLvl w:val="3"/>
      </w:pPr>
      <w:r>
        <w:rPr>
          <w:b/>
          <w:sz w:val="24"/>
        </w:rPr>
        <w:t>中小企业声明函（工程、服务）</w:t>
      </w:r>
    </w:p>
    <w:p w14:paraId="36469C78">
      <w:pPr>
        <w:pStyle w:val="13"/>
        <w:ind w:firstLine="480"/>
        <w:jc w:val="left"/>
      </w:pPr>
      <w:r>
        <w:t>本公司</w:t>
      </w:r>
      <w:r>
        <w:rPr>
          <w:u w:val="single"/>
        </w:rPr>
        <w:t>（联合体）</w:t>
      </w:r>
      <w:r>
        <w:t>郑重声明，根据《政府采购促进中小企业发展管理办法》（财库﹝2020﹞46号）的规定，本公司</w:t>
      </w:r>
      <w:r>
        <w:rPr>
          <w:u w:val="single"/>
        </w:rPr>
        <w:t>（联合体）</w:t>
      </w:r>
      <w:r>
        <w:t>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5540A4AB">
      <w:pPr>
        <w:pStyle w:val="13"/>
        <w:ind w:firstLine="480"/>
        <w:jc w:val="left"/>
      </w:pPr>
      <w:r>
        <w:t>1.</w:t>
      </w:r>
      <w:r>
        <w:rPr>
          <w:u w:val="single"/>
        </w:rPr>
        <w:t>（标的名称）</w:t>
      </w:r>
      <w:r>
        <w:t>，属于</w:t>
      </w:r>
      <w:r>
        <w:rPr>
          <w:u w:val="single"/>
        </w:rPr>
        <w:t>（采购文件中明确的所属行业）</w:t>
      </w:r>
      <w:r>
        <w:t>行业；承建（承接）企业为</w:t>
      </w:r>
      <w:r>
        <w:rPr>
          <w:u w:val="single"/>
        </w:rPr>
        <w:t>（企业名称）</w:t>
      </w:r>
      <w:r>
        <w:t>，从业人员人，营业收入为万元，资产总额为万元1，属于</w:t>
      </w:r>
      <w:r>
        <w:rPr>
          <w:u w:val="single"/>
        </w:rPr>
        <w:t>（中型企业、小型企业、微型企业）</w:t>
      </w:r>
      <w:r>
        <w:t>；</w:t>
      </w:r>
    </w:p>
    <w:p w14:paraId="3E580B0A">
      <w:pPr>
        <w:pStyle w:val="13"/>
        <w:ind w:firstLine="480"/>
        <w:jc w:val="left"/>
      </w:pPr>
      <w:r>
        <w:t>1.</w:t>
      </w:r>
      <w:r>
        <w:rPr>
          <w:u w:val="single"/>
        </w:rPr>
        <w:t>（标的名称）</w:t>
      </w:r>
      <w:r>
        <w:t>，属于</w:t>
      </w:r>
      <w:r>
        <w:rPr>
          <w:u w:val="single"/>
        </w:rPr>
        <w:t>（采购文件中明确的所属行业）</w:t>
      </w:r>
      <w:r>
        <w:t>行业；承建（承接）企业为</w:t>
      </w:r>
      <w:r>
        <w:rPr>
          <w:u w:val="single"/>
        </w:rPr>
        <w:t>（企业名称）</w:t>
      </w:r>
      <w:r>
        <w:t>，从业人员人，营业收入为万元，资产总额为万元1，属于</w:t>
      </w:r>
      <w:r>
        <w:rPr>
          <w:u w:val="single"/>
        </w:rPr>
        <w:t>（中型企业、小型企业、微型企业）</w:t>
      </w:r>
      <w:r>
        <w:t>；</w:t>
      </w:r>
    </w:p>
    <w:p w14:paraId="21481B9B">
      <w:pPr>
        <w:pStyle w:val="13"/>
        <w:ind w:firstLine="480"/>
        <w:jc w:val="left"/>
      </w:pPr>
      <w:r>
        <w:t>......</w:t>
      </w:r>
    </w:p>
    <w:p w14:paraId="7FD043CC">
      <w:pPr>
        <w:pStyle w:val="13"/>
        <w:ind w:firstLine="480"/>
        <w:jc w:val="left"/>
      </w:pPr>
      <w:r>
        <w:t>以上企业，不属于大企业的分支机构，不存在控股股东为大企业的情形，也不存在与大企业的负责人为同一人的情形。</w:t>
      </w:r>
    </w:p>
    <w:p w14:paraId="3644E36A">
      <w:pPr>
        <w:pStyle w:val="13"/>
        <w:ind w:firstLine="480"/>
        <w:jc w:val="left"/>
      </w:pPr>
      <w:r>
        <w:t>本企业对上述声明内容的真实性负责。如有虚假，将依法承担相应责任。</w:t>
      </w:r>
    </w:p>
    <w:p w14:paraId="6097FBF2">
      <w:pPr>
        <w:pStyle w:val="13"/>
        <w:ind w:firstLine="480"/>
        <w:jc w:val="left"/>
      </w:pPr>
      <w:r>
        <w:t>企业名称（盖章）：</w:t>
      </w:r>
    </w:p>
    <w:p w14:paraId="07EEFFE8">
      <w:pPr>
        <w:pStyle w:val="13"/>
        <w:ind w:firstLine="480"/>
        <w:jc w:val="left"/>
      </w:pPr>
      <w:r>
        <w:t>日期：</w:t>
      </w:r>
      <w:r>
        <w:rPr>
          <w:u w:val="single"/>
        </w:rPr>
        <w:t>　　　</w:t>
      </w:r>
      <w:r>
        <w:t>年</w:t>
      </w:r>
      <w:r>
        <w:rPr>
          <w:u w:val="single"/>
        </w:rPr>
        <w:t>　　　</w:t>
      </w:r>
      <w:r>
        <w:t>月</w:t>
      </w:r>
      <w:r>
        <w:rPr>
          <w:u w:val="single"/>
        </w:rPr>
        <w:t>　　　</w:t>
      </w:r>
      <w:r>
        <w:t>日</w:t>
      </w:r>
    </w:p>
    <w:p w14:paraId="6039AC6A">
      <w:pPr>
        <w:pStyle w:val="13"/>
        <w:ind w:firstLine="480"/>
        <w:jc w:val="left"/>
      </w:pPr>
      <w:r>
        <w:t>※注意：</w:t>
      </w:r>
    </w:p>
    <w:p w14:paraId="0C9378A7">
      <w:pPr>
        <w:pStyle w:val="13"/>
        <w:ind w:firstLine="480"/>
        <w:jc w:val="left"/>
      </w:pPr>
      <w:r>
        <w:t>1、从业人员、营业收入、资产总额填报上一年度数据，无上一年度数据的新成立企业可不填报。</w:t>
      </w:r>
    </w:p>
    <w:p w14:paraId="34594DE6">
      <w:pPr>
        <w:pStyle w:val="13"/>
        <w:ind w:firstLine="480"/>
        <w:jc w:val="left"/>
      </w:pPr>
      <w:r>
        <w:t>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280C1ACB">
      <w:pPr>
        <w:pStyle w:val="13"/>
        <w:ind w:firstLine="480"/>
        <w:jc w:val="left"/>
      </w:pPr>
      <w: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1A19538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p>
    <w:p w14:paraId="2FFD43B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p>
    <w:p w14:paraId="6FB1593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p>
    <w:p w14:paraId="7A9B914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p>
    <w:p w14:paraId="2F67E0E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p>
    <w:p w14:paraId="24648DB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p>
    <w:p w14:paraId="65E46F5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p>
    <w:p w14:paraId="204D976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p>
    <w:p w14:paraId="644B338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p>
    <w:p w14:paraId="5C0B3C9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p>
    <w:p w14:paraId="0AA738E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p>
    <w:p w14:paraId="039FEBA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p>
    <w:p w14:paraId="0BCB617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p>
    <w:p w14:paraId="7547A6A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p>
    <w:p w14:paraId="4B3F080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p>
    <w:p w14:paraId="15DB3F2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p>
    <w:p w14:paraId="29E73BF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p>
    <w:p w14:paraId="0A9F3A7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p>
    <w:p w14:paraId="673A478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p>
    <w:p w14:paraId="3C10C4A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000000" w:themeColor="text1"/>
          <w:spacing w:val="0"/>
          <w:sz w:val="24"/>
          <w:szCs w:val="24"/>
          <w:highlight w:val="none"/>
          <w14:textFill>
            <w14:solidFill>
              <w14:schemeClr w14:val="tx1"/>
            </w14:solidFill>
          </w14:textFill>
        </w:rPr>
      </w:pPr>
    </w:p>
    <w:p w14:paraId="01E8B494">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附件</w:t>
      </w:r>
      <w:r>
        <w:rPr>
          <w:rFonts w:hint="eastAsia" w:ascii="宋体" w:hAnsi="宋体" w:cs="宋体"/>
          <w:color w:val="000000" w:themeColor="text1"/>
          <w:spacing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pacing w:val="0"/>
          <w:sz w:val="24"/>
          <w:szCs w:val="24"/>
          <w:highlight w:val="none"/>
          <w14:textFill>
            <w14:solidFill>
              <w14:schemeClr w14:val="tx1"/>
            </w14:solidFill>
          </w14:textFill>
        </w:rPr>
        <w:t>-2</w:t>
      </w:r>
    </w:p>
    <w:p w14:paraId="0460288E">
      <w:pPr>
        <w:pStyle w:val="7"/>
        <w:keepNext w:val="0"/>
        <w:keepLines w:val="0"/>
        <w:widowControl/>
        <w:suppressLineNumbers w:val="0"/>
        <w:spacing w:before="75" w:beforeAutospacing="0" w:after="75" w:afterAutospacing="0" w:line="315" w:lineRule="atLeast"/>
        <w:ind w:left="0" w:right="0" w:firstLine="480"/>
        <w:jc w:val="both"/>
        <w:rPr>
          <w:color w:val="000000" w:themeColor="text1"/>
          <w:highlight w:val="none"/>
          <w14:textFill>
            <w14:solidFill>
              <w14:schemeClr w14:val="tx1"/>
            </w14:solidFill>
          </w14:textFill>
        </w:rPr>
      </w:pPr>
    </w:p>
    <w:p w14:paraId="6006215D">
      <w:pPr>
        <w:pStyle w:val="7"/>
        <w:keepNext w:val="0"/>
        <w:keepLines w:val="0"/>
        <w:widowControl/>
        <w:suppressLineNumbers w:val="0"/>
        <w:spacing w:before="75" w:beforeAutospacing="0" w:after="75" w:afterAutospacing="0"/>
        <w:ind w:left="0" w:right="0" w:firstLine="0"/>
        <w:jc w:val="center"/>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残疾人福利性单位声明函（</w:t>
      </w:r>
      <w:r>
        <w:rPr>
          <w:rStyle w:val="12"/>
          <w:rFonts w:hint="eastAsia" w:ascii="宋体" w:hAnsi="宋体" w:cs="宋体"/>
          <w:b/>
          <w:bCs/>
          <w:color w:val="000000" w:themeColor="text1"/>
          <w:spacing w:val="0"/>
          <w:sz w:val="24"/>
          <w:szCs w:val="24"/>
          <w:highlight w:val="none"/>
          <w:lang w:eastAsia="zh-CN"/>
          <w14:textFill>
            <w14:solidFill>
              <w14:schemeClr w14:val="tx1"/>
            </w14:solidFill>
          </w14:textFill>
        </w:rPr>
        <w:t>若有</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w:t>
      </w:r>
    </w:p>
    <w:p w14:paraId="5AA108A0">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p>
    <w:p w14:paraId="234B3C32">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color w:val="000000" w:themeColor="text1"/>
          <w:sz w:val="24"/>
          <w:szCs w:val="24"/>
          <w:highlight w:val="none"/>
          <w:u w:val="single"/>
          <w14:textFill>
            <w14:solidFill>
              <w14:schemeClr w14:val="tx1"/>
            </w14:solidFill>
          </w14:textFill>
        </w:rPr>
        <w:t>（填写“项目名称”）</w:t>
      </w:r>
      <w:r>
        <w:rPr>
          <w:rFonts w:hint="eastAsia" w:ascii="宋体" w:hAnsi="宋体" w:eastAsia="宋体" w:cs="宋体"/>
          <w:color w:val="000000" w:themeColor="text1"/>
          <w:sz w:val="24"/>
          <w:szCs w:val="24"/>
          <w:highlight w:val="none"/>
          <w14:textFill>
            <w14:solidFill>
              <w14:schemeClr w14:val="tx1"/>
            </w14:solidFill>
          </w14:textFill>
        </w:rPr>
        <w:t>项目采购活动：</w:t>
      </w:r>
    </w:p>
    <w:p w14:paraId="0EB7F59F">
      <w:pPr>
        <w:pStyle w:val="7"/>
        <w:keepNext w:val="0"/>
        <w:keepLines w:val="0"/>
        <w:widowControl/>
        <w:suppressLineNumbers w:val="0"/>
        <w:spacing w:before="75" w:beforeAutospacing="0" w:after="75" w:afterAutospacing="0" w:line="435" w:lineRule="atLeast"/>
        <w:ind w:left="0" w:right="0" w:firstLine="420"/>
        <w:jc w:val="both"/>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r>
        <w:rPr>
          <w:rFonts w:hint="eastAsia" w:ascii="宋体" w:hAnsi="宋体" w:eastAsia="宋体" w:cs="宋体"/>
          <w:color w:val="000000" w:themeColor="text1"/>
          <w:sz w:val="21"/>
          <w:szCs w:val="21"/>
          <w:highlight w:val="none"/>
          <w14:textFill>
            <w14:solidFill>
              <w14:schemeClr w14:val="tx1"/>
            </w14:solidFill>
          </w14:textFill>
        </w:rPr>
        <w:t>提供本供应商制造的</w:t>
      </w:r>
      <w:r>
        <w:rPr>
          <w:rFonts w:hint="eastAsia" w:ascii="宋体" w:hAnsi="宋体" w:eastAsia="宋体" w:cs="宋体"/>
          <w:color w:val="000000" w:themeColor="text1"/>
          <w:sz w:val="21"/>
          <w:szCs w:val="21"/>
          <w:highlight w:val="none"/>
          <w:u w:val="single"/>
          <w14:textFill>
            <w14:solidFill>
              <w14:schemeClr w14:val="tx1"/>
            </w14:solidFill>
          </w14:textFill>
        </w:rPr>
        <w:t>（填写“所投合同包、品目号”）</w:t>
      </w:r>
      <w:r>
        <w:rPr>
          <w:rFonts w:hint="eastAsia" w:ascii="宋体" w:hAnsi="宋体" w:eastAsia="宋体" w:cs="宋体"/>
          <w:color w:val="000000" w:themeColor="text1"/>
          <w:sz w:val="21"/>
          <w:szCs w:val="21"/>
          <w:highlight w:val="none"/>
          <w14:textFill>
            <w14:solidFill>
              <w14:schemeClr w14:val="tx1"/>
            </w14:solidFill>
          </w14:textFill>
        </w:rPr>
        <w:t>货物，或提供其他残疾人福利性单位制造的</w:t>
      </w:r>
      <w:r>
        <w:rPr>
          <w:rFonts w:hint="eastAsia" w:ascii="宋体" w:hAnsi="宋体" w:eastAsia="宋体" w:cs="宋体"/>
          <w:color w:val="000000" w:themeColor="text1"/>
          <w:sz w:val="21"/>
          <w:szCs w:val="21"/>
          <w:highlight w:val="none"/>
          <w:u w:val="single"/>
          <w14:textFill>
            <w14:solidFill>
              <w14:schemeClr w14:val="tx1"/>
            </w14:solidFill>
          </w14:textFill>
        </w:rPr>
        <w:t>（填写“所投合同包、品目号”）</w:t>
      </w:r>
      <w:r>
        <w:rPr>
          <w:rFonts w:hint="eastAsia" w:ascii="宋体" w:hAnsi="宋体" w:eastAsia="宋体" w:cs="宋体"/>
          <w:color w:val="000000" w:themeColor="text1"/>
          <w:sz w:val="21"/>
          <w:szCs w:val="21"/>
          <w:highlight w:val="none"/>
          <w14:textFill>
            <w14:solidFill>
              <w14:schemeClr w14:val="tx1"/>
            </w14:solidFill>
          </w14:textFill>
        </w:rPr>
        <w:t>货物（不包括使用非残疾人福利性单位注册商标的货物）。（说明：只有部分货物由残疾人福利企业制造的，在该货物后标</w:t>
      </w:r>
      <w:r>
        <w:rPr>
          <w:rFonts w:ascii="Segoe UI Symbol" w:hAnsi="Segoe UI Symbol" w:eastAsia="Segoe UI Symbol" w:cs="Segoe UI Symbol"/>
          <w:color w:val="000000" w:themeColor="text1"/>
          <w:sz w:val="19"/>
          <w:szCs w:val="19"/>
          <w:highlight w:val="none"/>
          <w:shd w:val="clear" w:color="auto" w:fill="FFFFFF"/>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p>
    <w:p w14:paraId="7A94A5C3">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）由本供应商承建的</w:t>
      </w:r>
      <w:r>
        <w:rPr>
          <w:rFonts w:hint="eastAsia" w:ascii="宋体" w:hAnsi="宋体" w:eastAsia="宋体" w:cs="宋体"/>
          <w:color w:val="000000" w:themeColor="text1"/>
          <w:sz w:val="21"/>
          <w:szCs w:val="21"/>
          <w:highlight w:val="none"/>
          <w:u w:val="single"/>
          <w14:textFill>
            <w14:solidFill>
              <w14:schemeClr w14:val="tx1"/>
            </w14:solidFill>
          </w14:textFill>
        </w:rPr>
        <w:t>（填写“所投合同包、品目号”）</w:t>
      </w:r>
      <w:r>
        <w:rPr>
          <w:rFonts w:hint="eastAsia" w:ascii="宋体" w:hAnsi="宋体" w:eastAsia="宋体" w:cs="宋体"/>
          <w:color w:val="000000" w:themeColor="text1"/>
          <w:sz w:val="21"/>
          <w:szCs w:val="21"/>
          <w:highlight w:val="none"/>
          <w14:textFill>
            <w14:solidFill>
              <w14:schemeClr w14:val="tx1"/>
            </w14:solidFill>
          </w14:textFill>
        </w:rPr>
        <w:t>工程</w:t>
      </w:r>
    </w:p>
    <w:p w14:paraId="064F3B3F">
      <w:pPr>
        <w:pStyle w:val="7"/>
        <w:keepNext w:val="0"/>
        <w:keepLines w:val="0"/>
        <w:widowControl/>
        <w:suppressLineNumbers w:val="0"/>
        <w:spacing w:before="75" w:beforeAutospacing="0" w:after="75" w:afterAutospacing="0"/>
        <w:ind w:left="0" w:right="0" w:firstLine="420"/>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）由本供应商承接的</w:t>
      </w:r>
      <w:r>
        <w:rPr>
          <w:rFonts w:hint="eastAsia" w:ascii="宋体" w:hAnsi="宋体" w:eastAsia="宋体" w:cs="宋体"/>
          <w:color w:val="000000" w:themeColor="text1"/>
          <w:sz w:val="21"/>
          <w:szCs w:val="21"/>
          <w:highlight w:val="none"/>
          <w:u w:val="single"/>
          <w14:textFill>
            <w14:solidFill>
              <w14:schemeClr w14:val="tx1"/>
            </w14:solidFill>
          </w14:textFill>
        </w:rPr>
        <w:t>（填写“所投合同包、品目号”）</w:t>
      </w:r>
      <w:r>
        <w:rPr>
          <w:rFonts w:hint="eastAsia" w:ascii="宋体" w:hAnsi="宋体" w:eastAsia="宋体" w:cs="宋体"/>
          <w:color w:val="000000" w:themeColor="text1"/>
          <w:sz w:val="21"/>
          <w:szCs w:val="21"/>
          <w:highlight w:val="none"/>
          <w14:textFill>
            <w14:solidFill>
              <w14:schemeClr w14:val="tx1"/>
            </w14:solidFill>
          </w14:textFill>
        </w:rPr>
        <w:t>服务；</w:t>
      </w:r>
    </w:p>
    <w:p w14:paraId="408C4E52">
      <w:pPr>
        <w:pStyle w:val="7"/>
        <w:keepNext w:val="0"/>
        <w:keepLines w:val="0"/>
        <w:widowControl/>
        <w:suppressLineNumbers w:val="0"/>
        <w:spacing w:before="75" w:beforeAutospacing="0" w:after="75" w:afterAutospacing="0" w:line="435" w:lineRule="atLeast"/>
        <w:ind w:left="0" w:right="0" w:firstLine="420"/>
        <w:jc w:val="both"/>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本供应商对上述声明的真实性负责。如有虚假，将依法承担相应责任。 </w:t>
      </w:r>
    </w:p>
    <w:p w14:paraId="61FDE062">
      <w:pPr>
        <w:pStyle w:val="7"/>
        <w:keepNext w:val="0"/>
        <w:keepLines w:val="0"/>
        <w:widowControl/>
        <w:suppressLineNumbers w:val="0"/>
        <w:spacing w:before="75" w:beforeAutospacing="0" w:after="75" w:afterAutospacing="0" w:line="435" w:lineRule="atLeast"/>
        <w:ind w:left="0" w:right="0"/>
        <w:jc w:val="both"/>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p w14:paraId="6396D8B8">
      <w:pPr>
        <w:pStyle w:val="7"/>
        <w:keepNext w:val="0"/>
        <w:keepLines w:val="0"/>
        <w:widowControl/>
        <w:suppressLineNumbers w:val="0"/>
        <w:spacing w:before="75" w:beforeAutospacing="0" w:after="75" w:afterAutospacing="0" w:line="435" w:lineRule="atLeast"/>
        <w:ind w:left="0" w:right="0"/>
        <w:jc w:val="both"/>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供应商代表：</w:t>
      </w:r>
      <w:r>
        <w:rPr>
          <w:rFonts w:hint="eastAsia" w:ascii="宋体" w:hAnsi="宋体" w:eastAsia="宋体" w:cs="宋体"/>
          <w:color w:val="000000" w:themeColor="text1"/>
          <w:sz w:val="24"/>
          <w:szCs w:val="24"/>
          <w:highlight w:val="none"/>
          <w:u w:val="single"/>
          <w14:textFill>
            <w14:solidFill>
              <w14:schemeClr w14:val="tx1"/>
            </w14:solidFill>
          </w14:textFill>
        </w:rPr>
        <w:t>             （签字） </w:t>
      </w:r>
    </w:p>
    <w:p w14:paraId="7EB41FD8">
      <w:pPr>
        <w:pStyle w:val="7"/>
        <w:keepNext w:val="0"/>
        <w:keepLines w:val="0"/>
        <w:widowControl/>
        <w:suppressLineNumbers w:val="0"/>
        <w:spacing w:before="75" w:beforeAutospacing="0" w:after="75" w:afterAutospacing="0" w:line="435" w:lineRule="atLeast"/>
        <w:ind w:left="0" w:right="0"/>
        <w:jc w:val="both"/>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供应商名称：</w:t>
      </w:r>
      <w:r>
        <w:rPr>
          <w:rFonts w:hint="eastAsia" w:ascii="宋体" w:hAnsi="宋体" w:eastAsia="宋体" w:cs="宋体"/>
          <w:color w:val="000000" w:themeColor="text1"/>
          <w:sz w:val="24"/>
          <w:szCs w:val="24"/>
          <w:highlight w:val="none"/>
          <w:u w:val="single"/>
          <w14:textFill>
            <w14:solidFill>
              <w14:schemeClr w14:val="tx1"/>
            </w14:solidFill>
          </w14:textFill>
        </w:rPr>
        <w:t>    （全称并加盖公章）     </w:t>
      </w:r>
    </w:p>
    <w:p w14:paraId="47F0BDC3">
      <w:pPr>
        <w:pStyle w:val="7"/>
        <w:keepNext w:val="0"/>
        <w:keepLines w:val="0"/>
        <w:widowControl/>
        <w:suppressLineNumbers w:val="0"/>
        <w:spacing w:before="75" w:beforeAutospacing="0" w:after="75" w:afterAutospacing="0" w:line="435" w:lineRule="atLeast"/>
        <w:ind w:left="0" w:right="0"/>
        <w:jc w:val="both"/>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 </w:t>
      </w:r>
      <w:r>
        <w:rPr>
          <w:rFonts w:hint="eastAsia" w:ascii="宋体" w:hAnsi="宋体" w:eastAsia="宋体" w:cs="宋体"/>
          <w:color w:val="000000" w:themeColor="text1"/>
          <w:sz w:val="24"/>
          <w:szCs w:val="24"/>
          <w:highlight w:val="none"/>
          <w:u w:val="single"/>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年 </w:t>
      </w:r>
      <w:r>
        <w:rPr>
          <w:rFonts w:hint="eastAsia" w:ascii="宋体" w:hAnsi="宋体" w:eastAsia="宋体" w:cs="宋体"/>
          <w:color w:val="000000" w:themeColor="text1"/>
          <w:sz w:val="24"/>
          <w:szCs w:val="24"/>
          <w:highlight w:val="none"/>
          <w:u w:val="single"/>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月 </w:t>
      </w:r>
      <w:r>
        <w:rPr>
          <w:rFonts w:hint="eastAsia" w:ascii="宋体" w:hAnsi="宋体" w:eastAsia="宋体" w:cs="宋体"/>
          <w:color w:val="000000" w:themeColor="text1"/>
          <w:sz w:val="24"/>
          <w:szCs w:val="24"/>
          <w:highlight w:val="none"/>
          <w:u w:val="single"/>
          <w14:textFill>
            <w14:solidFill>
              <w14:schemeClr w14:val="tx1"/>
            </w14:solidFill>
          </w14:textFill>
        </w:rPr>
        <w:t>   </w:t>
      </w:r>
      <w:r>
        <w:rPr>
          <w:rFonts w:hint="eastAsia" w:ascii="宋体" w:hAnsi="宋体" w:eastAsia="宋体" w:cs="宋体"/>
          <w:color w:val="000000" w:themeColor="text1"/>
          <w:sz w:val="24"/>
          <w:szCs w:val="24"/>
          <w:highlight w:val="none"/>
          <w14:textFill>
            <w14:solidFill>
              <w14:schemeClr w14:val="tx1"/>
            </w14:solidFill>
          </w14:textFill>
        </w:rPr>
        <w:t>日</w:t>
      </w:r>
    </w:p>
    <w:p w14:paraId="6DB02E20">
      <w:pPr>
        <w:pStyle w:val="7"/>
        <w:keepNext w:val="0"/>
        <w:keepLines w:val="0"/>
        <w:widowControl/>
        <w:suppressLineNumbers w:val="0"/>
        <w:spacing w:before="75" w:beforeAutospacing="0" w:after="75" w:afterAutospacing="0" w:line="420" w:lineRule="atLeast"/>
        <w:ind w:left="0" w:right="0"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p w14:paraId="58DB464D">
      <w:pPr>
        <w:pStyle w:val="7"/>
        <w:keepNext w:val="0"/>
        <w:keepLines w:val="0"/>
        <w:widowControl/>
        <w:suppressLineNumbers w:val="0"/>
        <w:spacing w:before="75" w:beforeAutospacing="0" w:after="75" w:afterAutospacing="0" w:line="420"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若供应商不符合残疾人福利性单位，不用提供本声明函，否则视为提供虚假材料。供应商在提交最后报价前，如果已向磋商小组提交上述声明函，视同为供应商符合残疾人福利性单位，享受价格扣除的优惠政策。</w:t>
      </w:r>
    </w:p>
    <w:p w14:paraId="4761498F">
      <w:pPr>
        <w:pStyle w:val="7"/>
        <w:keepNext w:val="0"/>
        <w:keepLines w:val="0"/>
        <w:widowControl/>
        <w:suppressLineNumbers w:val="0"/>
        <w:spacing w:before="75" w:beforeAutospacing="0" w:after="75" w:afterAutospacing="0" w:line="420"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（2）请供应商按照实际情况编制填写本声明函，并在相应的（）中打“√”。</w:t>
      </w:r>
    </w:p>
    <w:p w14:paraId="3F028DC5">
      <w:pPr>
        <w:pStyle w:val="7"/>
        <w:keepNext w:val="0"/>
        <w:keepLines w:val="0"/>
        <w:widowControl/>
        <w:suppressLineNumbers w:val="0"/>
        <w:spacing w:before="75" w:beforeAutospacing="0" w:after="75" w:afterAutospacing="0" w:line="420"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（3）纸质响应文件正本中的本声明函（若有）应为原件。</w:t>
      </w:r>
    </w:p>
    <w:p w14:paraId="51146EBE">
      <w:pPr>
        <w:pStyle w:val="7"/>
        <w:keepNext w:val="0"/>
        <w:keepLines w:val="0"/>
        <w:widowControl/>
        <w:suppressLineNumbers w:val="0"/>
        <w:spacing w:before="75" w:beforeAutospacing="0" w:after="75" w:afterAutospacing="0" w:line="420"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（4）若《残疾人福利性单位声明函》内容不真实，视为提供虚假材料。</w:t>
      </w:r>
    </w:p>
    <w:p w14:paraId="6EF008B5">
      <w:pPr>
        <w:pStyle w:val="7"/>
        <w:keepNext w:val="0"/>
        <w:keepLines w:val="0"/>
        <w:widowControl/>
        <w:suppressLineNumbers w:val="0"/>
        <w:spacing w:before="75" w:beforeAutospacing="0" w:after="75" w:afterAutospacing="0"/>
        <w:ind w:left="0" w:right="0" w:firstLine="0"/>
        <w:jc w:val="center"/>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72901784">
      <w:pPr>
        <w:pStyle w:val="7"/>
        <w:keepNext w:val="0"/>
        <w:keepLines w:val="0"/>
        <w:widowControl/>
        <w:suppressLineNumbers w:val="0"/>
        <w:spacing w:before="75" w:beforeAutospacing="0" w:after="75" w:afterAutospacing="0"/>
        <w:ind w:left="0" w:right="0" w:firstLine="0"/>
        <w:jc w:val="center"/>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4B748368">
      <w:pPr>
        <w:pStyle w:val="7"/>
        <w:keepNext w:val="0"/>
        <w:keepLines w:val="0"/>
        <w:widowControl/>
        <w:suppressLineNumbers w:val="0"/>
        <w:spacing w:before="75" w:beforeAutospacing="0" w:after="75" w:afterAutospacing="0"/>
        <w:ind w:left="0" w:right="0" w:firstLine="0"/>
        <w:jc w:val="center"/>
        <w:rPr>
          <w:rFonts w:hint="eastAsia" w:ascii="宋体" w:hAnsi="宋体" w:eastAsia="宋体" w:cs="宋体"/>
          <w:b w:val="0"/>
          <w:bCs w:val="0"/>
          <w:color w:val="000000" w:themeColor="text1"/>
          <w:spacing w:val="0"/>
          <w:sz w:val="24"/>
          <w:szCs w:val="24"/>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br w:type="page"/>
      </w:r>
    </w:p>
    <w:p w14:paraId="20329CCB">
      <w:pPr>
        <w:pStyle w:val="7"/>
        <w:keepNext w:val="0"/>
        <w:keepLines w:val="0"/>
        <w:widowControl/>
        <w:suppressLineNumbers w:val="0"/>
        <w:spacing w:before="75" w:beforeAutospacing="0" w:after="75" w:afterAutospacing="0"/>
        <w:ind w:left="0" w:right="0" w:firstLine="0"/>
        <w:jc w:val="left"/>
        <w:rPr>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spacing w:val="0"/>
          <w:sz w:val="24"/>
          <w:szCs w:val="24"/>
          <w:highlight w:val="none"/>
          <w14:textFill>
            <w14:solidFill>
              <w14:schemeClr w14:val="tx1"/>
            </w14:solidFill>
          </w14:textFill>
        </w:rPr>
        <w:t>附件7-</w:t>
      </w:r>
      <w:r>
        <w:rPr>
          <w:rFonts w:hint="eastAsia" w:ascii="宋体" w:hAnsi="宋体" w:cs="宋体"/>
          <w:b w:val="0"/>
          <w:bCs w:val="0"/>
          <w:color w:val="000000" w:themeColor="text1"/>
          <w:spacing w:val="0"/>
          <w:sz w:val="24"/>
          <w:szCs w:val="24"/>
          <w:highlight w:val="none"/>
          <w:lang w:val="en-US" w:eastAsia="zh-CN"/>
          <w14:textFill>
            <w14:solidFill>
              <w14:schemeClr w14:val="tx1"/>
            </w14:solidFill>
          </w14:textFill>
        </w:rPr>
        <w:t>3</w:t>
      </w:r>
      <w:r>
        <w:rPr>
          <w:rStyle w:val="12"/>
          <w:rFonts w:hint="eastAsia" w:ascii="宋体" w:hAnsi="宋体" w:eastAsia="宋体" w:cs="宋体"/>
          <w:b w:val="0"/>
          <w:bCs w:val="0"/>
          <w:color w:val="000000" w:themeColor="text1"/>
          <w:spacing w:val="0"/>
          <w:sz w:val="24"/>
          <w:szCs w:val="24"/>
          <w:highlight w:val="none"/>
          <w14:textFill>
            <w14:solidFill>
              <w14:schemeClr w14:val="tx1"/>
            </w14:solidFill>
          </w14:textFill>
        </w:rPr>
        <w:t>优先类节能产品、环境标志产品价格扣除证明材料（</w:t>
      </w:r>
      <w:r>
        <w:rPr>
          <w:rStyle w:val="12"/>
          <w:rFonts w:hint="eastAsia" w:ascii="宋体" w:hAnsi="宋体" w:cs="宋体"/>
          <w:b w:val="0"/>
          <w:bCs w:val="0"/>
          <w:color w:val="000000" w:themeColor="text1"/>
          <w:spacing w:val="0"/>
          <w:sz w:val="24"/>
          <w:szCs w:val="24"/>
          <w:highlight w:val="none"/>
          <w:lang w:eastAsia="zh-CN"/>
          <w14:textFill>
            <w14:solidFill>
              <w14:schemeClr w14:val="tx1"/>
            </w14:solidFill>
          </w14:textFill>
        </w:rPr>
        <w:t>若有</w:t>
      </w:r>
      <w:r>
        <w:rPr>
          <w:rStyle w:val="12"/>
          <w:rFonts w:hint="eastAsia" w:ascii="宋体" w:hAnsi="宋体" w:eastAsia="宋体" w:cs="宋体"/>
          <w:b w:val="0"/>
          <w:bCs w:val="0"/>
          <w:color w:val="000000" w:themeColor="text1"/>
          <w:spacing w:val="0"/>
          <w:sz w:val="24"/>
          <w:szCs w:val="24"/>
          <w:highlight w:val="none"/>
          <w14:textFill>
            <w14:solidFill>
              <w14:schemeClr w14:val="tx1"/>
            </w14:solidFill>
          </w14:textFill>
        </w:rPr>
        <w:t>）</w:t>
      </w:r>
    </w:p>
    <w:p w14:paraId="61889A4A">
      <w:pPr>
        <w:pStyle w:val="7"/>
        <w:keepNext w:val="0"/>
        <w:keepLines w:val="0"/>
        <w:widowControl/>
        <w:suppressLineNumbers w:val="0"/>
        <w:spacing w:before="75" w:beforeAutospacing="0" w:after="75" w:afterAutospacing="0"/>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tbl>
      <w:tblPr>
        <w:tblStyle w:val="10"/>
        <w:tblW w:w="9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15"/>
        <w:gridCol w:w="1215"/>
        <w:gridCol w:w="1215"/>
        <w:gridCol w:w="1215"/>
        <w:gridCol w:w="1215"/>
        <w:gridCol w:w="1215"/>
        <w:gridCol w:w="2420"/>
      </w:tblGrid>
      <w:tr w14:paraId="521D2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noWrap w:val="0"/>
            <w:tcMar>
              <w:top w:w="0" w:type="dxa"/>
              <w:left w:w="105" w:type="dxa"/>
              <w:bottom w:w="0" w:type="dxa"/>
              <w:right w:w="105" w:type="dxa"/>
            </w:tcMar>
            <w:vAlign w:val="center"/>
          </w:tcPr>
          <w:p w14:paraId="3F3B724D">
            <w:pPr>
              <w:keepNext w:val="0"/>
              <w:keepLines w:val="0"/>
              <w:widowControl/>
              <w:suppressLineNumbers w:val="0"/>
              <w:jc w:val="left"/>
              <w:rPr>
                <w:color w:val="000000" w:themeColor="text1"/>
                <w:highlight w:val="none"/>
                <w14:textFill>
                  <w14:solidFill>
                    <w14:schemeClr w14:val="tx1"/>
                  </w14:solidFill>
                </w14:textFill>
              </w:rPr>
            </w:pPr>
          </w:p>
        </w:tc>
        <w:tc>
          <w:tcPr>
            <w:tcW w:w="8495" w:type="dxa"/>
            <w:gridSpan w:val="6"/>
            <w:noWrap w:val="0"/>
            <w:tcMar>
              <w:top w:w="0" w:type="dxa"/>
              <w:left w:w="105" w:type="dxa"/>
              <w:bottom w:w="0" w:type="dxa"/>
              <w:right w:w="105" w:type="dxa"/>
            </w:tcMar>
            <w:vAlign w:val="center"/>
          </w:tcPr>
          <w:p w14:paraId="0AA95643">
            <w:pPr>
              <w:pStyle w:val="7"/>
              <w:keepNext w:val="0"/>
              <w:keepLines w:val="0"/>
              <w:widowControl/>
              <w:suppressLineNumbers w:val="0"/>
              <w:spacing w:before="0" w:beforeAutospacing="0" w:after="0" w:afterAutospacing="0"/>
              <w:ind w:left="0" w:right="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本合同包内属于节能、环境标志产品的情况</w:t>
            </w:r>
          </w:p>
        </w:tc>
      </w:tr>
      <w:tr w14:paraId="45C6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noWrap w:val="0"/>
            <w:tcMar>
              <w:top w:w="0" w:type="dxa"/>
              <w:left w:w="105" w:type="dxa"/>
              <w:bottom w:w="0" w:type="dxa"/>
              <w:right w:w="105" w:type="dxa"/>
            </w:tcMar>
            <w:vAlign w:val="center"/>
          </w:tcPr>
          <w:p w14:paraId="5DF4F94D">
            <w:pPr>
              <w:pStyle w:val="7"/>
              <w:keepNext w:val="0"/>
              <w:keepLines w:val="0"/>
              <w:widowControl/>
              <w:suppressLineNumbers w:val="0"/>
              <w:spacing w:before="0" w:beforeAutospacing="0" w:after="0" w:afterAutospacing="0"/>
              <w:ind w:left="0" w:right="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合同包</w:t>
            </w:r>
          </w:p>
        </w:tc>
        <w:tc>
          <w:tcPr>
            <w:tcW w:w="1215" w:type="dxa"/>
            <w:noWrap w:val="0"/>
            <w:tcMar>
              <w:top w:w="0" w:type="dxa"/>
              <w:left w:w="105" w:type="dxa"/>
              <w:bottom w:w="0" w:type="dxa"/>
              <w:right w:w="105" w:type="dxa"/>
            </w:tcMar>
            <w:vAlign w:val="center"/>
          </w:tcPr>
          <w:p w14:paraId="52331B39">
            <w:pPr>
              <w:pStyle w:val="7"/>
              <w:keepNext w:val="0"/>
              <w:keepLines w:val="0"/>
              <w:widowControl/>
              <w:suppressLineNumbers w:val="0"/>
              <w:spacing w:before="0" w:beforeAutospacing="0" w:after="0" w:afterAutospacing="0"/>
              <w:ind w:left="0" w:right="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品目号</w:t>
            </w:r>
          </w:p>
        </w:tc>
        <w:tc>
          <w:tcPr>
            <w:tcW w:w="1215" w:type="dxa"/>
            <w:noWrap w:val="0"/>
            <w:tcMar>
              <w:top w:w="0" w:type="dxa"/>
              <w:left w:w="105" w:type="dxa"/>
              <w:bottom w:w="0" w:type="dxa"/>
              <w:right w:w="105" w:type="dxa"/>
            </w:tcMar>
            <w:vAlign w:val="center"/>
          </w:tcPr>
          <w:p w14:paraId="50B1640C">
            <w:pPr>
              <w:pStyle w:val="7"/>
              <w:keepNext w:val="0"/>
              <w:keepLines w:val="0"/>
              <w:widowControl/>
              <w:suppressLineNumbers w:val="0"/>
              <w:spacing w:before="0" w:beforeAutospacing="0" w:after="0" w:afterAutospacing="0"/>
              <w:ind w:left="0" w:right="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产品名称</w:t>
            </w:r>
          </w:p>
        </w:tc>
        <w:tc>
          <w:tcPr>
            <w:tcW w:w="1215" w:type="dxa"/>
            <w:noWrap w:val="0"/>
            <w:tcMar>
              <w:top w:w="0" w:type="dxa"/>
              <w:left w:w="105" w:type="dxa"/>
              <w:bottom w:w="0" w:type="dxa"/>
              <w:right w:w="105" w:type="dxa"/>
            </w:tcMar>
            <w:vAlign w:val="center"/>
          </w:tcPr>
          <w:p w14:paraId="2967E097">
            <w:pPr>
              <w:pStyle w:val="7"/>
              <w:keepNext w:val="0"/>
              <w:keepLines w:val="0"/>
              <w:widowControl/>
              <w:suppressLineNumbers w:val="0"/>
              <w:spacing w:before="0" w:beforeAutospacing="0" w:after="0" w:afterAutospacing="0"/>
              <w:ind w:left="0" w:right="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最后报价单价</w:t>
            </w:r>
          </w:p>
          <w:p w14:paraId="20F19310">
            <w:pPr>
              <w:pStyle w:val="7"/>
              <w:keepNext w:val="0"/>
              <w:keepLines w:val="0"/>
              <w:widowControl/>
              <w:suppressLineNumbers w:val="0"/>
              <w:spacing w:before="0" w:beforeAutospacing="0" w:after="0" w:afterAutospacing="0"/>
              <w:ind w:left="0" w:right="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（现场）</w:t>
            </w:r>
          </w:p>
        </w:tc>
        <w:tc>
          <w:tcPr>
            <w:tcW w:w="1215" w:type="dxa"/>
            <w:noWrap w:val="0"/>
            <w:tcMar>
              <w:top w:w="0" w:type="dxa"/>
              <w:left w:w="105" w:type="dxa"/>
              <w:bottom w:w="0" w:type="dxa"/>
              <w:right w:w="105" w:type="dxa"/>
            </w:tcMar>
            <w:vAlign w:val="center"/>
          </w:tcPr>
          <w:p w14:paraId="3BBFA226">
            <w:pPr>
              <w:pStyle w:val="7"/>
              <w:keepNext w:val="0"/>
              <w:keepLines w:val="0"/>
              <w:widowControl/>
              <w:suppressLineNumbers w:val="0"/>
              <w:spacing w:before="0" w:beforeAutospacing="0" w:after="0" w:afterAutospacing="0"/>
              <w:ind w:left="0" w:right="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数量</w:t>
            </w:r>
          </w:p>
        </w:tc>
        <w:tc>
          <w:tcPr>
            <w:tcW w:w="1215" w:type="dxa"/>
            <w:noWrap w:val="0"/>
            <w:tcMar>
              <w:top w:w="0" w:type="dxa"/>
              <w:left w:w="105" w:type="dxa"/>
              <w:bottom w:w="0" w:type="dxa"/>
              <w:right w:w="105" w:type="dxa"/>
            </w:tcMar>
            <w:vAlign w:val="center"/>
          </w:tcPr>
          <w:p w14:paraId="34E5F4EA">
            <w:pPr>
              <w:pStyle w:val="7"/>
              <w:keepNext w:val="0"/>
              <w:keepLines w:val="0"/>
              <w:widowControl/>
              <w:suppressLineNumbers w:val="0"/>
              <w:spacing w:before="0" w:beforeAutospacing="0" w:after="0" w:afterAutospacing="0"/>
              <w:ind w:left="0" w:right="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最后报价总价</w:t>
            </w:r>
          </w:p>
          <w:p w14:paraId="0003AB49">
            <w:pPr>
              <w:pStyle w:val="7"/>
              <w:keepNext w:val="0"/>
              <w:keepLines w:val="0"/>
              <w:widowControl/>
              <w:suppressLineNumbers w:val="0"/>
              <w:spacing w:before="0" w:beforeAutospacing="0" w:after="0" w:afterAutospacing="0"/>
              <w:ind w:left="0" w:right="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（现场）</w:t>
            </w:r>
          </w:p>
        </w:tc>
        <w:tc>
          <w:tcPr>
            <w:tcW w:w="2420" w:type="dxa"/>
            <w:noWrap w:val="0"/>
            <w:tcMar>
              <w:top w:w="0" w:type="dxa"/>
              <w:left w:w="105" w:type="dxa"/>
              <w:bottom w:w="0" w:type="dxa"/>
              <w:right w:w="105" w:type="dxa"/>
            </w:tcMar>
            <w:vAlign w:val="center"/>
          </w:tcPr>
          <w:p w14:paraId="1DE22628">
            <w:pPr>
              <w:pStyle w:val="7"/>
              <w:keepNext w:val="0"/>
              <w:keepLines w:val="0"/>
              <w:widowControl/>
              <w:suppressLineNumbers w:val="0"/>
              <w:spacing w:before="0" w:beforeAutospacing="0" w:after="0" w:afterAutospacing="0"/>
              <w:ind w:left="0" w:right="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认证种类</w:t>
            </w:r>
          </w:p>
        </w:tc>
      </w:tr>
      <w:tr w14:paraId="1749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vMerge w:val="restart"/>
            <w:noWrap w:val="0"/>
            <w:tcMar>
              <w:top w:w="0" w:type="dxa"/>
              <w:left w:w="105" w:type="dxa"/>
              <w:bottom w:w="0" w:type="dxa"/>
              <w:right w:w="105" w:type="dxa"/>
            </w:tcMar>
            <w:vAlign w:val="center"/>
          </w:tcPr>
          <w:p w14:paraId="1D6C978D">
            <w:pPr>
              <w:pStyle w:val="7"/>
              <w:keepNext w:val="0"/>
              <w:keepLines w:val="0"/>
              <w:widowControl/>
              <w:suppressLineNumbers w:val="0"/>
              <w:spacing w:before="0" w:beforeAutospacing="0" w:after="0" w:afterAutospacing="0"/>
              <w:ind w:left="0" w:right="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w:t>
            </w:r>
          </w:p>
        </w:tc>
        <w:tc>
          <w:tcPr>
            <w:tcW w:w="1215" w:type="dxa"/>
            <w:noWrap w:val="0"/>
            <w:tcMar>
              <w:top w:w="0" w:type="dxa"/>
              <w:left w:w="105" w:type="dxa"/>
              <w:bottom w:w="0" w:type="dxa"/>
              <w:right w:w="105" w:type="dxa"/>
            </w:tcMar>
            <w:vAlign w:val="center"/>
          </w:tcPr>
          <w:p w14:paraId="0FD5C1B4">
            <w:pPr>
              <w:pStyle w:val="7"/>
              <w:keepNext w:val="0"/>
              <w:keepLines w:val="0"/>
              <w:widowControl/>
              <w:suppressLineNumbers w:val="0"/>
              <w:spacing w:before="0" w:beforeAutospacing="0" w:after="0" w:afterAutospacing="0"/>
              <w:ind w:left="0" w:right="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*-1</w:t>
            </w:r>
          </w:p>
        </w:tc>
        <w:tc>
          <w:tcPr>
            <w:tcW w:w="1215" w:type="dxa"/>
            <w:noWrap w:val="0"/>
            <w:tcMar>
              <w:top w:w="0" w:type="dxa"/>
              <w:left w:w="105" w:type="dxa"/>
              <w:bottom w:w="0" w:type="dxa"/>
              <w:right w:w="105" w:type="dxa"/>
            </w:tcMar>
            <w:vAlign w:val="center"/>
          </w:tcPr>
          <w:p w14:paraId="5A3F6E10">
            <w:pPr>
              <w:keepNext w:val="0"/>
              <w:keepLines w:val="0"/>
              <w:widowControl/>
              <w:suppressLineNumbers w:val="0"/>
              <w:jc w:val="left"/>
              <w:rPr>
                <w:color w:val="000000" w:themeColor="text1"/>
                <w:highlight w:val="none"/>
                <w14:textFill>
                  <w14:solidFill>
                    <w14:schemeClr w14:val="tx1"/>
                  </w14:solidFill>
                </w14:textFill>
              </w:rPr>
            </w:pPr>
          </w:p>
        </w:tc>
        <w:tc>
          <w:tcPr>
            <w:tcW w:w="1215" w:type="dxa"/>
            <w:noWrap w:val="0"/>
            <w:tcMar>
              <w:top w:w="0" w:type="dxa"/>
              <w:left w:w="105" w:type="dxa"/>
              <w:bottom w:w="0" w:type="dxa"/>
              <w:right w:w="105" w:type="dxa"/>
            </w:tcMar>
            <w:vAlign w:val="center"/>
          </w:tcPr>
          <w:p w14:paraId="1E601D11">
            <w:pPr>
              <w:keepNext w:val="0"/>
              <w:keepLines w:val="0"/>
              <w:widowControl/>
              <w:suppressLineNumbers w:val="0"/>
              <w:jc w:val="left"/>
              <w:rPr>
                <w:color w:val="000000" w:themeColor="text1"/>
                <w:highlight w:val="none"/>
                <w14:textFill>
                  <w14:solidFill>
                    <w14:schemeClr w14:val="tx1"/>
                  </w14:solidFill>
                </w14:textFill>
              </w:rPr>
            </w:pPr>
          </w:p>
        </w:tc>
        <w:tc>
          <w:tcPr>
            <w:tcW w:w="1215" w:type="dxa"/>
            <w:noWrap w:val="0"/>
            <w:tcMar>
              <w:top w:w="0" w:type="dxa"/>
              <w:left w:w="105" w:type="dxa"/>
              <w:bottom w:w="0" w:type="dxa"/>
              <w:right w:w="105" w:type="dxa"/>
            </w:tcMar>
            <w:vAlign w:val="center"/>
          </w:tcPr>
          <w:p w14:paraId="33706BBB">
            <w:pPr>
              <w:keepNext w:val="0"/>
              <w:keepLines w:val="0"/>
              <w:widowControl/>
              <w:suppressLineNumbers w:val="0"/>
              <w:jc w:val="left"/>
              <w:rPr>
                <w:color w:val="000000" w:themeColor="text1"/>
                <w:highlight w:val="none"/>
                <w14:textFill>
                  <w14:solidFill>
                    <w14:schemeClr w14:val="tx1"/>
                  </w14:solidFill>
                </w14:textFill>
              </w:rPr>
            </w:pPr>
          </w:p>
        </w:tc>
        <w:tc>
          <w:tcPr>
            <w:tcW w:w="1215" w:type="dxa"/>
            <w:noWrap w:val="0"/>
            <w:tcMar>
              <w:top w:w="0" w:type="dxa"/>
              <w:left w:w="105" w:type="dxa"/>
              <w:bottom w:w="0" w:type="dxa"/>
              <w:right w:w="105" w:type="dxa"/>
            </w:tcMar>
            <w:vAlign w:val="center"/>
          </w:tcPr>
          <w:p w14:paraId="7E4405BD">
            <w:pPr>
              <w:keepNext w:val="0"/>
              <w:keepLines w:val="0"/>
              <w:widowControl/>
              <w:suppressLineNumbers w:val="0"/>
              <w:jc w:val="left"/>
              <w:rPr>
                <w:color w:val="000000" w:themeColor="text1"/>
                <w:highlight w:val="none"/>
                <w14:textFill>
                  <w14:solidFill>
                    <w14:schemeClr w14:val="tx1"/>
                  </w14:solidFill>
                </w14:textFill>
              </w:rPr>
            </w:pPr>
          </w:p>
        </w:tc>
        <w:tc>
          <w:tcPr>
            <w:tcW w:w="2420" w:type="dxa"/>
            <w:noWrap w:val="0"/>
            <w:tcMar>
              <w:top w:w="0" w:type="dxa"/>
              <w:left w:w="105" w:type="dxa"/>
              <w:bottom w:w="0" w:type="dxa"/>
              <w:right w:w="105" w:type="dxa"/>
            </w:tcMar>
            <w:vAlign w:val="center"/>
          </w:tcPr>
          <w:p w14:paraId="3508C24A">
            <w:pPr>
              <w:keepNext w:val="0"/>
              <w:keepLines w:val="0"/>
              <w:widowControl/>
              <w:suppressLineNumbers w:val="0"/>
              <w:jc w:val="left"/>
              <w:rPr>
                <w:color w:val="000000" w:themeColor="text1"/>
                <w:highlight w:val="none"/>
                <w14:textFill>
                  <w14:solidFill>
                    <w14:schemeClr w14:val="tx1"/>
                  </w14:solidFill>
                </w14:textFill>
              </w:rPr>
            </w:pPr>
          </w:p>
        </w:tc>
      </w:tr>
      <w:tr w14:paraId="1D6A2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vMerge w:val="continue"/>
            <w:noWrap w:val="0"/>
            <w:tcMar>
              <w:top w:w="0" w:type="dxa"/>
              <w:left w:w="105" w:type="dxa"/>
              <w:bottom w:w="0" w:type="dxa"/>
              <w:right w:w="105" w:type="dxa"/>
            </w:tcMar>
            <w:vAlign w:val="center"/>
          </w:tcPr>
          <w:p w14:paraId="6FA783FA">
            <w:pPr>
              <w:rPr>
                <w:rFonts w:hint="eastAsia" w:ascii="宋体"/>
                <w:color w:val="000000" w:themeColor="text1"/>
                <w:sz w:val="24"/>
                <w:szCs w:val="24"/>
                <w:highlight w:val="none"/>
                <w14:textFill>
                  <w14:solidFill>
                    <w14:schemeClr w14:val="tx1"/>
                  </w14:solidFill>
                </w14:textFill>
              </w:rPr>
            </w:pPr>
          </w:p>
        </w:tc>
        <w:tc>
          <w:tcPr>
            <w:tcW w:w="1215" w:type="dxa"/>
            <w:noWrap w:val="0"/>
            <w:tcMar>
              <w:top w:w="0" w:type="dxa"/>
              <w:left w:w="105" w:type="dxa"/>
              <w:bottom w:w="0" w:type="dxa"/>
              <w:right w:w="105" w:type="dxa"/>
            </w:tcMar>
            <w:vAlign w:val="center"/>
          </w:tcPr>
          <w:p w14:paraId="4B7D1390">
            <w:pPr>
              <w:pStyle w:val="7"/>
              <w:keepNext w:val="0"/>
              <w:keepLines w:val="0"/>
              <w:widowControl/>
              <w:suppressLineNumbers w:val="0"/>
              <w:spacing w:before="0" w:beforeAutospacing="0" w:after="0" w:afterAutospacing="0"/>
              <w:ind w:left="0" w:right="0"/>
              <w:jc w:val="center"/>
              <w:rPr>
                <w:color w:val="000000" w:themeColor="text1"/>
                <w:highlight w:val="none"/>
                <w14:textFill>
                  <w14:solidFill>
                    <w14:schemeClr w14:val="tx1"/>
                  </w14:solidFill>
                </w14:textFill>
              </w:rPr>
            </w:pPr>
            <w:r>
              <w:rPr>
                <w:rFonts w:hint="default" w:ascii="Calibri" w:hAnsi="Calibri" w:cs="Calibri"/>
                <w:color w:val="000000" w:themeColor="text1"/>
                <w:spacing w:val="0"/>
                <w:sz w:val="21"/>
                <w:szCs w:val="21"/>
                <w:highlight w:val="none"/>
                <w14:textFill>
                  <w14:solidFill>
                    <w14:schemeClr w14:val="tx1"/>
                  </w14:solidFill>
                </w14:textFill>
              </w:rPr>
              <w:t>…</w:t>
            </w:r>
          </w:p>
        </w:tc>
        <w:tc>
          <w:tcPr>
            <w:tcW w:w="1215" w:type="dxa"/>
            <w:noWrap w:val="0"/>
            <w:tcMar>
              <w:top w:w="0" w:type="dxa"/>
              <w:left w:w="105" w:type="dxa"/>
              <w:bottom w:w="0" w:type="dxa"/>
              <w:right w:w="105" w:type="dxa"/>
            </w:tcMar>
            <w:vAlign w:val="center"/>
          </w:tcPr>
          <w:p w14:paraId="3EE10E88">
            <w:pPr>
              <w:keepNext w:val="0"/>
              <w:keepLines w:val="0"/>
              <w:widowControl/>
              <w:suppressLineNumbers w:val="0"/>
              <w:jc w:val="left"/>
              <w:rPr>
                <w:color w:val="000000" w:themeColor="text1"/>
                <w:highlight w:val="none"/>
                <w14:textFill>
                  <w14:solidFill>
                    <w14:schemeClr w14:val="tx1"/>
                  </w14:solidFill>
                </w14:textFill>
              </w:rPr>
            </w:pPr>
          </w:p>
        </w:tc>
        <w:tc>
          <w:tcPr>
            <w:tcW w:w="1215" w:type="dxa"/>
            <w:noWrap w:val="0"/>
            <w:tcMar>
              <w:top w:w="0" w:type="dxa"/>
              <w:left w:w="105" w:type="dxa"/>
              <w:bottom w:w="0" w:type="dxa"/>
              <w:right w:w="105" w:type="dxa"/>
            </w:tcMar>
            <w:vAlign w:val="center"/>
          </w:tcPr>
          <w:p w14:paraId="185EF708">
            <w:pPr>
              <w:keepNext w:val="0"/>
              <w:keepLines w:val="0"/>
              <w:widowControl/>
              <w:suppressLineNumbers w:val="0"/>
              <w:jc w:val="left"/>
              <w:rPr>
                <w:color w:val="000000" w:themeColor="text1"/>
                <w:highlight w:val="none"/>
                <w14:textFill>
                  <w14:solidFill>
                    <w14:schemeClr w14:val="tx1"/>
                  </w14:solidFill>
                </w14:textFill>
              </w:rPr>
            </w:pPr>
          </w:p>
        </w:tc>
        <w:tc>
          <w:tcPr>
            <w:tcW w:w="1215" w:type="dxa"/>
            <w:noWrap w:val="0"/>
            <w:tcMar>
              <w:top w:w="0" w:type="dxa"/>
              <w:left w:w="105" w:type="dxa"/>
              <w:bottom w:w="0" w:type="dxa"/>
              <w:right w:w="105" w:type="dxa"/>
            </w:tcMar>
            <w:vAlign w:val="center"/>
          </w:tcPr>
          <w:p w14:paraId="28D68AD8">
            <w:pPr>
              <w:keepNext w:val="0"/>
              <w:keepLines w:val="0"/>
              <w:widowControl/>
              <w:suppressLineNumbers w:val="0"/>
              <w:jc w:val="left"/>
              <w:rPr>
                <w:color w:val="000000" w:themeColor="text1"/>
                <w:highlight w:val="none"/>
                <w14:textFill>
                  <w14:solidFill>
                    <w14:schemeClr w14:val="tx1"/>
                  </w14:solidFill>
                </w14:textFill>
              </w:rPr>
            </w:pPr>
          </w:p>
        </w:tc>
        <w:tc>
          <w:tcPr>
            <w:tcW w:w="1215" w:type="dxa"/>
            <w:noWrap w:val="0"/>
            <w:tcMar>
              <w:top w:w="0" w:type="dxa"/>
              <w:left w:w="105" w:type="dxa"/>
              <w:bottom w:w="0" w:type="dxa"/>
              <w:right w:w="105" w:type="dxa"/>
            </w:tcMar>
            <w:vAlign w:val="center"/>
          </w:tcPr>
          <w:p w14:paraId="1767D39B">
            <w:pPr>
              <w:keepNext w:val="0"/>
              <w:keepLines w:val="0"/>
              <w:widowControl/>
              <w:suppressLineNumbers w:val="0"/>
              <w:jc w:val="left"/>
              <w:rPr>
                <w:color w:val="000000" w:themeColor="text1"/>
                <w:highlight w:val="none"/>
                <w14:textFill>
                  <w14:solidFill>
                    <w14:schemeClr w14:val="tx1"/>
                  </w14:solidFill>
                </w14:textFill>
              </w:rPr>
            </w:pPr>
          </w:p>
        </w:tc>
        <w:tc>
          <w:tcPr>
            <w:tcW w:w="2420" w:type="dxa"/>
            <w:noWrap w:val="0"/>
            <w:tcMar>
              <w:top w:w="0" w:type="dxa"/>
              <w:left w:w="105" w:type="dxa"/>
              <w:bottom w:w="0" w:type="dxa"/>
              <w:right w:w="105" w:type="dxa"/>
            </w:tcMar>
            <w:vAlign w:val="center"/>
          </w:tcPr>
          <w:p w14:paraId="3B90274C">
            <w:pPr>
              <w:keepNext w:val="0"/>
              <w:keepLines w:val="0"/>
              <w:widowControl/>
              <w:suppressLineNumbers w:val="0"/>
              <w:jc w:val="left"/>
              <w:rPr>
                <w:color w:val="000000" w:themeColor="text1"/>
                <w:highlight w:val="none"/>
                <w14:textFill>
                  <w14:solidFill>
                    <w14:schemeClr w14:val="tx1"/>
                  </w14:solidFill>
                </w14:textFill>
              </w:rPr>
            </w:pPr>
          </w:p>
        </w:tc>
      </w:tr>
      <w:tr w14:paraId="20D1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15" w:type="dxa"/>
            <w:noWrap w:val="0"/>
            <w:tcMar>
              <w:top w:w="0" w:type="dxa"/>
              <w:left w:w="105" w:type="dxa"/>
              <w:bottom w:w="0" w:type="dxa"/>
              <w:right w:w="105" w:type="dxa"/>
            </w:tcMar>
            <w:vAlign w:val="center"/>
          </w:tcPr>
          <w:p w14:paraId="03DD888B">
            <w:pPr>
              <w:pStyle w:val="7"/>
              <w:keepNext w:val="0"/>
              <w:keepLines w:val="0"/>
              <w:widowControl/>
              <w:suppressLineNumbers w:val="0"/>
              <w:spacing w:before="0" w:beforeAutospacing="0" w:after="0" w:afterAutospacing="0"/>
              <w:ind w:left="0" w:right="0"/>
              <w:jc w:val="center"/>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备注</w:t>
            </w:r>
          </w:p>
        </w:tc>
        <w:tc>
          <w:tcPr>
            <w:tcW w:w="8495" w:type="dxa"/>
            <w:gridSpan w:val="6"/>
            <w:noWrap w:val="0"/>
            <w:tcMar>
              <w:top w:w="0" w:type="dxa"/>
              <w:left w:w="105" w:type="dxa"/>
              <w:bottom w:w="0" w:type="dxa"/>
              <w:right w:w="105" w:type="dxa"/>
            </w:tcMar>
            <w:vAlign w:val="top"/>
          </w:tcPr>
          <w:p w14:paraId="35030CF9">
            <w:pPr>
              <w:pStyle w:val="7"/>
              <w:keepNext w:val="0"/>
              <w:keepLines w:val="0"/>
              <w:widowControl/>
              <w:suppressLineNumbers w:val="0"/>
              <w:spacing w:before="0" w:beforeAutospacing="0" w:after="0" w:afterAutospacing="0"/>
              <w:ind w:left="0" w:right="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a.本合同包内属于节能、环境标志产品的合计最后报价总金额：</w:t>
            </w:r>
            <w:r>
              <w:rPr>
                <w:rFonts w:hint="eastAsia" w:ascii="宋体" w:hAnsi="宋体" w:eastAsia="宋体" w:cs="宋体"/>
                <w:color w:val="000000" w:themeColor="text1"/>
                <w:spacing w:val="0"/>
                <w:sz w:val="21"/>
                <w:szCs w:val="21"/>
                <w:highlight w:val="none"/>
                <w:u w:val="single"/>
                <w14:textFill>
                  <w14:solidFill>
                    <w14:schemeClr w14:val="tx1"/>
                  </w14:solidFill>
                </w14:textFill>
              </w:rPr>
              <w:t>        </w:t>
            </w:r>
            <w:r>
              <w:rPr>
                <w:rFonts w:hint="eastAsia" w:ascii="宋体" w:hAnsi="宋体" w:eastAsia="宋体" w:cs="宋体"/>
                <w:color w:val="000000" w:themeColor="text1"/>
                <w:spacing w:val="0"/>
                <w:sz w:val="21"/>
                <w:szCs w:val="21"/>
                <w:highlight w:val="none"/>
                <w14:textFill>
                  <w14:solidFill>
                    <w14:schemeClr w14:val="tx1"/>
                  </w14:solidFill>
                </w14:textFill>
              </w:rPr>
              <w:t>；</w:t>
            </w:r>
          </w:p>
          <w:p w14:paraId="474FC928">
            <w:pPr>
              <w:pStyle w:val="7"/>
              <w:keepNext w:val="0"/>
              <w:keepLines w:val="0"/>
              <w:widowControl/>
              <w:suppressLineNumbers w:val="0"/>
              <w:spacing w:before="0" w:beforeAutospacing="0" w:after="0" w:afterAutospacing="0"/>
              <w:ind w:left="0" w:right="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b.本合同包最后报价总价：</w:t>
            </w:r>
            <w:r>
              <w:rPr>
                <w:rFonts w:hint="eastAsia" w:ascii="宋体" w:hAnsi="宋体" w:eastAsia="宋体" w:cs="宋体"/>
                <w:color w:val="000000" w:themeColor="text1"/>
                <w:spacing w:val="0"/>
                <w:sz w:val="21"/>
                <w:szCs w:val="21"/>
                <w:highlight w:val="none"/>
                <w:u w:val="single"/>
                <w14:textFill>
                  <w14:solidFill>
                    <w14:schemeClr w14:val="tx1"/>
                  </w14:solidFill>
                </w14:textFill>
              </w:rPr>
              <w:t>        </w:t>
            </w:r>
            <w:r>
              <w:rPr>
                <w:rFonts w:hint="eastAsia" w:ascii="宋体" w:hAnsi="宋体" w:eastAsia="宋体" w:cs="宋体"/>
                <w:color w:val="000000" w:themeColor="text1"/>
                <w:spacing w:val="0"/>
                <w:sz w:val="21"/>
                <w:szCs w:val="21"/>
                <w:highlight w:val="none"/>
                <w14:textFill>
                  <w14:solidFill>
                    <w14:schemeClr w14:val="tx1"/>
                  </w14:solidFill>
                </w14:textFill>
              </w:rPr>
              <w:t>；</w:t>
            </w:r>
          </w:p>
          <w:p w14:paraId="720AB779">
            <w:pPr>
              <w:pStyle w:val="7"/>
              <w:keepNext w:val="0"/>
              <w:keepLines w:val="0"/>
              <w:widowControl/>
              <w:suppressLineNumbers w:val="0"/>
              <w:spacing w:before="0" w:beforeAutospacing="0" w:after="0" w:afterAutospacing="0"/>
              <w:ind w:left="0" w:right="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c.本合同包内属于节能、环境标志产品的合计最后报价总金额占本合同包最后报价总价的比例（以</w:t>
            </w:r>
            <w:r>
              <w:rPr>
                <w:rFonts w:hint="default" w:ascii="Calibri" w:hAnsi="Calibri" w:cs="Calibri"/>
                <w:color w:val="000000" w:themeColor="text1"/>
                <w:spacing w:val="0"/>
                <w:sz w:val="21"/>
                <w:szCs w:val="21"/>
                <w:highlight w:val="none"/>
                <w14:textFill>
                  <w14:solidFill>
                    <w14:schemeClr w14:val="tx1"/>
                  </w14:solidFill>
                </w14:textFill>
              </w:rPr>
              <w:t>%</w:t>
            </w:r>
            <w:r>
              <w:rPr>
                <w:rFonts w:hint="eastAsia" w:ascii="宋体" w:hAnsi="宋体" w:eastAsia="宋体" w:cs="宋体"/>
                <w:color w:val="000000" w:themeColor="text1"/>
                <w:spacing w:val="0"/>
                <w:sz w:val="21"/>
                <w:szCs w:val="21"/>
                <w:highlight w:val="none"/>
                <w14:textFill>
                  <w14:solidFill>
                    <w14:schemeClr w14:val="tx1"/>
                  </w14:solidFill>
                </w14:textFill>
              </w:rPr>
              <w:t>列示）：</w:t>
            </w:r>
            <w:r>
              <w:rPr>
                <w:rFonts w:hint="eastAsia" w:ascii="宋体" w:hAnsi="宋体" w:eastAsia="宋体" w:cs="宋体"/>
                <w:color w:val="000000" w:themeColor="text1"/>
                <w:spacing w:val="0"/>
                <w:sz w:val="21"/>
                <w:szCs w:val="21"/>
                <w:highlight w:val="none"/>
                <w:u w:val="single"/>
                <w14:textFill>
                  <w14:solidFill>
                    <w14:schemeClr w14:val="tx1"/>
                  </w14:solidFill>
                </w14:textFill>
              </w:rPr>
              <w:t>           </w:t>
            </w:r>
            <w:r>
              <w:rPr>
                <w:rFonts w:hint="eastAsia" w:ascii="宋体" w:hAnsi="宋体" w:eastAsia="宋体" w:cs="宋体"/>
                <w:color w:val="000000" w:themeColor="text1"/>
                <w:spacing w:val="0"/>
                <w:sz w:val="21"/>
                <w:szCs w:val="21"/>
                <w:highlight w:val="none"/>
                <w14:textFill>
                  <w14:solidFill>
                    <w14:schemeClr w14:val="tx1"/>
                  </w14:solidFill>
                </w14:textFill>
              </w:rPr>
              <w:t>。</w:t>
            </w:r>
          </w:p>
        </w:tc>
      </w:tr>
    </w:tbl>
    <w:p w14:paraId="25511453">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★注意：</w:t>
      </w:r>
    </w:p>
    <w:p w14:paraId="6C817971">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供应商提供的产品属于《节能产品政策采购清单》，应提供产品所在最新一期《节能产品政府采购清单》所在页复印件，并划线注明对应的产品，以利磋商小组审阅。未按要求提供证明资料并划线注明的，磋商小组将不予认定，不享受价格扣除的优惠政策。</w:t>
      </w:r>
    </w:p>
    <w:p w14:paraId="3766BAD8">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供应商提供的产品属于《环境标志产品政府采购清单》，应提供产品所在最新一期《环境标志产品政府采购清单》所在页复印件，并划线注明对应的产品，以利磋商小组审阅。未按要求提供证明资料并划线注明的，磋商小组将不予认定，不享受价格扣除的优惠政策。</w:t>
      </w:r>
    </w:p>
    <w:p w14:paraId="7D464D88">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3、具体统计、计算：</w:t>
      </w:r>
    </w:p>
    <w:p w14:paraId="151FE872">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3.1若同一合同包内的单个或多个货物取得或同时取得节能、环境标志产品等两项或多项认证的，均按照单个货物对应一项认证的原则统计、计算1次。</w:t>
      </w:r>
    </w:p>
    <w:p w14:paraId="14A4E0DC">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3.2计算结果若除不尽，可四舍五入保留到小数点后两位。</w:t>
      </w:r>
    </w:p>
    <w:p w14:paraId="0159D8F2">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3.3供应商应按照磋商文件上表要求认真统计、计算，否则磋商小组可不予认定。</w:t>
      </w:r>
    </w:p>
    <w:p w14:paraId="67886FAA">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3.4若无节能、环境标志产品，不填写本表，否则，视为提供虚假材料。</w:t>
      </w:r>
    </w:p>
    <w:p w14:paraId="3121E625">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3.5强制类节能产品不享受价格扣除。</w:t>
      </w:r>
    </w:p>
    <w:p w14:paraId="1FFCDE80">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4、本表以合同包为单位，不同合同包请分别填写；同一合同包请按照顺序分别填写，以方便磋商小组审阅。供应商在提交最后报价前，如果已向磋商小组提交上表内容并附相应证明资料，视同为供应商的产品属于节能、环境标志产品，享受价格扣除的优惠政策。</w:t>
      </w:r>
    </w:p>
    <w:p w14:paraId="1B441CC2">
      <w:pPr>
        <w:pStyle w:val="7"/>
        <w:keepNext w:val="0"/>
        <w:keepLines w:val="0"/>
        <w:widowControl/>
        <w:suppressLineNumbers w:val="0"/>
        <w:spacing w:before="75" w:beforeAutospacing="0" w:after="75" w:afterAutospacing="0" w:line="36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5、纸质响应文件正本中的本表（若有）应为原件。</w:t>
      </w:r>
    </w:p>
    <w:p w14:paraId="2AB07DB3">
      <w:pPr>
        <w:pStyle w:val="7"/>
        <w:keepNext w:val="0"/>
        <w:keepLines w:val="0"/>
        <w:widowControl/>
        <w:suppressLineNumbers w:val="0"/>
        <w:spacing w:before="75" w:beforeAutospacing="0" w:after="75" w:afterAutospacing="0" w:line="420"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（签字） </w:t>
      </w:r>
    </w:p>
    <w:p w14:paraId="6BC5BC41">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日  期：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 </w:t>
      </w:r>
    </w:p>
    <w:p w14:paraId="4F08D8FD">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0A89BCBB">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20BDA78A">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000000" w:themeColor="text1"/>
          <w:spacing w:val="0"/>
          <w:sz w:val="24"/>
          <w:szCs w:val="24"/>
          <w:highlight w:val="none"/>
          <w:lang w:eastAsia="zh-CN"/>
          <w14:textFill>
            <w14:solidFill>
              <w14:schemeClr w14:val="tx1"/>
            </w14:solidFill>
          </w14:textFill>
        </w:rPr>
      </w:pPr>
    </w:p>
    <w:p w14:paraId="37FB1EC3">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br w:type="page"/>
      </w:r>
      <w:r>
        <w:rPr>
          <w:rFonts w:hint="eastAsia" w:ascii="宋体" w:hAnsi="宋体" w:eastAsia="宋体" w:cs="宋体"/>
          <w:color w:val="000000" w:themeColor="text1"/>
          <w:spacing w:val="0"/>
          <w:sz w:val="24"/>
          <w:szCs w:val="24"/>
          <w:highlight w:val="none"/>
          <w14:textFill>
            <w14:solidFill>
              <w14:schemeClr w14:val="tx1"/>
            </w14:solidFill>
          </w14:textFill>
        </w:rPr>
        <w:t>附件8       </w:t>
      </w:r>
      <w:r>
        <w:rPr>
          <w:rStyle w:val="12"/>
          <w:rFonts w:hint="eastAsia" w:ascii="宋体" w:hAnsi="宋体" w:eastAsia="宋体" w:cs="宋体"/>
          <w:b/>
          <w:bCs/>
          <w:color w:val="000000" w:themeColor="text1"/>
          <w:spacing w:val="0"/>
          <w:sz w:val="24"/>
          <w:szCs w:val="24"/>
          <w:highlight w:val="none"/>
          <w14:textFill>
            <w14:solidFill>
              <w14:schemeClr w14:val="tx1"/>
            </w14:solidFill>
          </w14:textFill>
        </w:rPr>
        <w:t>要求作为响应文件组成部分的其他内容（若有）</w:t>
      </w:r>
    </w:p>
    <w:p w14:paraId="7BF1EE0D">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7804E067">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说明：</w:t>
      </w:r>
    </w:p>
    <w:p w14:paraId="41A7DA9F">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14:paraId="0E7BF85E">
      <w:pPr>
        <w:pStyle w:val="7"/>
        <w:keepNext w:val="0"/>
        <w:keepLines w:val="0"/>
        <w:widowControl/>
        <w:suppressLineNumbers w:val="0"/>
        <w:spacing w:before="75" w:beforeAutospacing="0" w:after="75" w:afterAutospacing="0" w:line="435" w:lineRule="atLeast"/>
        <w:ind w:left="0" w:right="0" w:firstLine="48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2、供应商根据自身实际情况编写有关资料包括如供应商单位简介、竞争性磋商文件要求提供或供应商自已认为体现自身优势，需要补充说明的其它资料，格式自拟。</w:t>
      </w:r>
    </w:p>
    <w:p w14:paraId="4DBB6EE8">
      <w:pPr>
        <w:pStyle w:val="7"/>
        <w:keepNext w:val="0"/>
        <w:keepLines w:val="0"/>
        <w:widowControl/>
        <w:suppressLineNumbers w:val="0"/>
        <w:spacing w:before="75" w:beforeAutospacing="0" w:after="75" w:afterAutospacing="0" w:line="435" w:lineRule="atLeast"/>
        <w:ind w:left="0" w:right="0" w:firstLine="0"/>
        <w:jc w:val="both"/>
        <w:rPr>
          <w:rFonts w:hint="eastAsia" w:ascii="宋体" w:hAnsi="宋体" w:eastAsia="宋体" w:cs="宋体"/>
          <w:color w:val="000000" w:themeColor="text1"/>
          <w:spacing w:val="0"/>
          <w:sz w:val="24"/>
          <w:szCs w:val="24"/>
          <w:highlight w:val="none"/>
          <w14:textFill>
            <w14:solidFill>
              <w14:schemeClr w14:val="tx1"/>
            </w14:solidFill>
          </w14:textFill>
        </w:rPr>
      </w:pPr>
    </w:p>
    <w:p w14:paraId="49104A52">
      <w:pPr>
        <w:pStyle w:val="7"/>
        <w:keepNext w:val="0"/>
        <w:keepLines w:val="0"/>
        <w:widowControl/>
        <w:suppressLineNumbers w:val="0"/>
        <w:spacing w:before="75" w:beforeAutospacing="0" w:after="75" w:afterAutospacing="0" w:line="435" w:lineRule="atLeast"/>
        <w:ind w:left="0" w:right="0" w:firstLine="0"/>
        <w:jc w:val="both"/>
        <w:rPr>
          <w:rFonts w:hint="eastAsia" w:ascii="宋体" w:hAnsi="宋体" w:eastAsia="宋体" w:cs="宋体"/>
          <w:color w:val="000000" w:themeColor="text1"/>
          <w:spacing w:val="0"/>
          <w:sz w:val="24"/>
          <w:szCs w:val="24"/>
          <w:highlight w:val="none"/>
          <w14:textFill>
            <w14:solidFill>
              <w14:schemeClr w14:val="tx1"/>
            </w14:solidFill>
          </w14:textFill>
        </w:rPr>
      </w:pPr>
    </w:p>
    <w:p w14:paraId="77DB4258">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供应商代表：</w:t>
      </w:r>
      <w:r>
        <w:rPr>
          <w:rFonts w:hint="eastAsia" w:ascii="宋体" w:hAnsi="宋体" w:eastAsia="宋体" w:cs="宋体"/>
          <w:color w:val="000000" w:themeColor="text1"/>
          <w:spacing w:val="0"/>
          <w:sz w:val="24"/>
          <w:szCs w:val="24"/>
          <w:highlight w:val="none"/>
          <w:u w:val="single"/>
          <w14:textFill>
            <w14:solidFill>
              <w14:schemeClr w14:val="tx1"/>
            </w14:solidFill>
          </w14:textFill>
        </w:rPr>
        <w:t>             （签字） </w:t>
      </w:r>
    </w:p>
    <w:p w14:paraId="4A3BBD4C">
      <w:pPr>
        <w:pStyle w:val="7"/>
        <w:keepNext w:val="0"/>
        <w:keepLines w:val="0"/>
        <w:widowControl/>
        <w:suppressLineNumbers w:val="0"/>
        <w:spacing w:before="75" w:beforeAutospacing="0" w:after="75" w:afterAutospacing="0" w:line="435" w:lineRule="atLeast"/>
        <w:ind w:left="0" w:right="0" w:firstLine="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供应商名称：</w:t>
      </w:r>
      <w:r>
        <w:rPr>
          <w:rFonts w:hint="eastAsia" w:ascii="宋体" w:hAnsi="宋体" w:eastAsia="宋体" w:cs="宋体"/>
          <w:color w:val="000000" w:themeColor="text1"/>
          <w:spacing w:val="0"/>
          <w:sz w:val="24"/>
          <w:szCs w:val="24"/>
          <w:highlight w:val="none"/>
          <w:u w:val="single"/>
          <w14:textFill>
            <w14:solidFill>
              <w14:schemeClr w14:val="tx1"/>
            </w14:solidFill>
          </w14:textFill>
        </w:rPr>
        <w:t>         （全称并加盖公章）              </w:t>
      </w:r>
    </w:p>
    <w:p w14:paraId="60DABD0F">
      <w:pPr>
        <w:pStyle w:val="7"/>
        <w:keepNext w:val="0"/>
        <w:keepLines w:val="0"/>
        <w:widowControl/>
        <w:suppressLineNumbers w:val="0"/>
        <w:spacing w:before="75" w:beforeAutospacing="0" w:after="75" w:afterAutospacing="0" w:line="435" w:lineRule="atLeast"/>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日  期：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年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月 </w:t>
      </w:r>
      <w:r>
        <w:rPr>
          <w:rFonts w:hint="eastAsia" w:ascii="宋体" w:hAnsi="宋体" w:eastAsia="宋体" w:cs="宋体"/>
          <w:color w:val="000000" w:themeColor="text1"/>
          <w:spacing w:val="0"/>
          <w:sz w:val="24"/>
          <w:szCs w:val="24"/>
          <w:highlight w:val="none"/>
          <w:u w:val="single"/>
          <w14:textFill>
            <w14:solidFill>
              <w14:schemeClr w14:val="tx1"/>
            </w14:solidFill>
          </w14:textFill>
        </w:rPr>
        <w:t>   </w:t>
      </w:r>
      <w:r>
        <w:rPr>
          <w:rFonts w:hint="eastAsia" w:ascii="宋体" w:hAnsi="宋体" w:eastAsia="宋体" w:cs="宋体"/>
          <w:color w:val="000000" w:themeColor="text1"/>
          <w:spacing w:val="0"/>
          <w:sz w:val="24"/>
          <w:szCs w:val="24"/>
          <w:highlight w:val="none"/>
          <w14:textFill>
            <w14:solidFill>
              <w14:schemeClr w14:val="tx1"/>
            </w14:solidFill>
          </w14:textFill>
        </w:rPr>
        <w:t>日</w:t>
      </w:r>
    </w:p>
    <w:p w14:paraId="2F9EC457">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5A2684A0">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4"/>
          <w:szCs w:val="24"/>
          <w:highlight w:val="none"/>
          <w14:textFill>
            <w14:solidFill>
              <w14:schemeClr w14:val="tx1"/>
            </w14:solidFill>
          </w14:textFill>
        </w:rPr>
        <w:t> </w:t>
      </w:r>
    </w:p>
    <w:p w14:paraId="21C96F67">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3764ED1B">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737AE090">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6B5D73CB">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rFonts w:hint="eastAsia" w:ascii="宋体" w:hAnsi="宋体" w:eastAsia="宋体" w:cs="宋体"/>
          <w:color w:val="000000" w:themeColor="text1"/>
          <w:spacing w:val="0"/>
          <w:sz w:val="21"/>
          <w:szCs w:val="21"/>
          <w:highlight w:val="none"/>
          <w14:textFill>
            <w14:solidFill>
              <w14:schemeClr w14:val="tx1"/>
            </w14:solidFill>
          </w14:textFill>
        </w:rPr>
        <w:t> </w:t>
      </w:r>
    </w:p>
    <w:p w14:paraId="7E7A269F">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7EBFD88F">
      <w:pPr>
        <w:pStyle w:val="7"/>
        <w:keepNext w:val="0"/>
        <w:keepLines w:val="0"/>
        <w:widowControl/>
        <w:suppressLineNumbers w:val="0"/>
        <w:spacing w:before="75" w:beforeAutospacing="0" w:after="75" w:afterAutospacing="0"/>
        <w:ind w:left="0" w:right="0" w:firstLine="0"/>
        <w:rPr>
          <w:color w:val="000000" w:themeColor="text1"/>
          <w:highlight w:val="none"/>
          <w14:textFill>
            <w14:solidFill>
              <w14:schemeClr w14:val="tx1"/>
            </w14:solidFill>
          </w14:textFill>
        </w:rPr>
      </w:pPr>
      <w:r>
        <w:rPr>
          <w:color w:val="000000" w:themeColor="text1"/>
          <w:spacing w:val="0"/>
          <w:sz w:val="24"/>
          <w:szCs w:val="24"/>
          <w:highlight w:val="none"/>
          <w14:textFill>
            <w14:solidFill>
              <w14:schemeClr w14:val="tx1"/>
            </w14:solidFill>
          </w14:textFill>
        </w:rPr>
        <w:t> </w:t>
      </w:r>
    </w:p>
    <w:p w14:paraId="6011E947">
      <w:pPr>
        <w:pStyle w:val="7"/>
        <w:keepNext w:val="0"/>
        <w:keepLines w:val="0"/>
        <w:widowControl/>
        <w:suppressLineNumbers w:val="0"/>
        <w:spacing w:before="0" w:beforeAutospacing="0" w:after="150" w:afterAutospacing="0"/>
        <w:ind w:left="0" w:right="0"/>
        <w:rPr>
          <w:color w:val="000000" w:themeColor="text1"/>
          <w:highlight w:val="none"/>
          <w14:textFill>
            <w14:solidFill>
              <w14:schemeClr w14:val="tx1"/>
            </w14:solidFill>
          </w14:textFill>
        </w:rPr>
      </w:pPr>
      <w:r>
        <w:rPr>
          <w:rFonts w:hint="default" w:ascii="Calibri" w:hAnsi="Calibri" w:cs="Calibri"/>
          <w:color w:val="000000" w:themeColor="text1"/>
          <w:sz w:val="21"/>
          <w:szCs w:val="21"/>
          <w:highlight w:val="none"/>
          <w14:textFill>
            <w14:solidFill>
              <w14:schemeClr w14:val="tx1"/>
            </w14:solidFill>
          </w14:textFill>
        </w:rPr>
        <w:t> </w:t>
      </w:r>
    </w:p>
    <w:p w14:paraId="2BD000A3">
      <w:pPr>
        <w:pStyle w:val="7"/>
        <w:keepNext w:val="0"/>
        <w:keepLines w:val="0"/>
        <w:widowControl/>
        <w:suppressLineNumbers w:val="0"/>
        <w:spacing w:before="0" w:beforeAutospacing="0" w:after="150" w:afterAutospacing="0"/>
        <w:ind w:left="0" w:right="0"/>
        <w:rPr>
          <w:color w:val="000000" w:themeColor="text1"/>
          <w:highlight w:val="none"/>
          <w14:textFill>
            <w14:solidFill>
              <w14:schemeClr w14:val="tx1"/>
            </w14:solidFill>
          </w14:textFill>
        </w:rPr>
      </w:pPr>
    </w:p>
    <w:p w14:paraId="49DA2878">
      <w:pPr>
        <w:rPr>
          <w:color w:val="000000" w:themeColor="text1"/>
          <w:highlight w:val="none"/>
          <w14:textFill>
            <w14:solidFill>
              <w14:schemeClr w14:val="tx1"/>
            </w14:solidFill>
          </w14:textFill>
        </w:rPr>
      </w:pPr>
    </w:p>
    <w:p w14:paraId="2E41929E">
      <w:pPr>
        <w:rPr>
          <w:color w:val="000000" w:themeColor="text1"/>
          <w:highlight w:val="none"/>
          <w14:textFill>
            <w14:solidFill>
              <w14:schemeClr w14:val="tx1"/>
            </w14:solidFill>
          </w14:textFill>
        </w:rPr>
      </w:pPr>
    </w:p>
    <w:sectPr>
      <w:footerReference r:id="rId4" w:type="default"/>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001010101"/>
    <w:charset w:val="86"/>
    <w:family w:val="auto"/>
    <w:pitch w:val="default"/>
    <w:sig w:usb0="00000000" w:usb1="00000000" w:usb2="00000000" w:usb3="00000000" w:csb0="00040000" w:csb1="00000000"/>
  </w:font>
  <w:font w:name="Segoe UI Symbol">
    <w:panose1 w:val="020B0502040204020203"/>
    <w:charset w:val="00"/>
    <w:family w:val="auto"/>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EC772">
    <w:pPr>
      <w:pStyle w:val="6"/>
      <w:tabs>
        <w:tab w:val="left" w:pos="3351"/>
        <w:tab w:val="clear" w:pos="4153"/>
      </w:tabs>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9AD85A">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759AD85A">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69D53">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1A5D9E">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5C1A5D9E">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abstractNum w:abstractNumId="2">
    <w:nsid w:val="00000003"/>
    <w:multiLevelType w:val="singleLevel"/>
    <w:tmpl w:val="00000003"/>
    <w:lvl w:ilvl="0" w:tentative="0">
      <w:start w:val="1"/>
      <w:numFmt w:val="bullet"/>
      <w:lvlText w:val=""/>
      <w:lvlJc w:val="left"/>
      <w:pPr>
        <w:ind w:left="420" w:hanging="420"/>
      </w:pPr>
      <w:rPr>
        <w:rFonts w:hint="default" w:ascii="Wingdings" w:hAnsi="Wingdings"/>
      </w:rPr>
    </w:lvl>
  </w:abstractNum>
  <w:abstractNum w:abstractNumId="3">
    <w:nsid w:val="00000004"/>
    <w:multiLevelType w:val="singleLevel"/>
    <w:tmpl w:val="00000004"/>
    <w:lvl w:ilvl="0" w:tentative="0">
      <w:start w:val="1"/>
      <w:numFmt w:val="chineseCounting"/>
      <w:suff w:val="nothing"/>
      <w:lvlText w:val="（%1）"/>
      <w:lvlJc w:val="left"/>
      <w:rPr>
        <w:rFonts w:hint="eastAsia"/>
      </w:rPr>
    </w:lvl>
  </w:abstractNum>
  <w:abstractNum w:abstractNumId="4">
    <w:nsid w:val="00000005"/>
    <w:multiLevelType w:val="singleLevel"/>
    <w:tmpl w:val="00000005"/>
    <w:lvl w:ilvl="0" w:tentative="0">
      <w:start w:val="1"/>
      <w:numFmt w:val="decimal"/>
      <w:lvlText w:val="%1."/>
      <w:lvlJc w:val="left"/>
      <w:pPr>
        <w:ind w:left="425" w:hanging="425"/>
      </w:pPr>
      <w:rPr>
        <w:rFonts w:hint="default"/>
      </w:rPr>
    </w:lvl>
  </w:abstractNum>
  <w:abstractNum w:abstractNumId="5">
    <w:nsid w:val="00000006"/>
    <w:multiLevelType w:val="singleLevel"/>
    <w:tmpl w:val="00000006"/>
    <w:lvl w:ilvl="0" w:tentative="0">
      <w:start w:val="2"/>
      <w:numFmt w:val="decimal"/>
      <w:suff w:val="nothing"/>
      <w:lvlText w:val="%1）"/>
      <w:lvlJc w:val="left"/>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5YjJiZDFlNTJjMzg4ZmY1ODhjYzlkYmU2MGU5OGEifQ=="/>
  </w:docVars>
  <w:rsids>
    <w:rsidRoot w:val="17866D45"/>
    <w:rsid w:val="01C87E57"/>
    <w:rsid w:val="17866D45"/>
    <w:rsid w:val="45707A94"/>
    <w:rsid w:val="488C5115"/>
    <w:rsid w:val="584D1A07"/>
    <w:rsid w:val="595A71BC"/>
    <w:rsid w:val="7E965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Body Text"/>
    <w:basedOn w:val="1"/>
    <w:qFormat/>
    <w:uiPriority w:val="0"/>
    <w:pPr>
      <w:spacing w:after="120" w:afterLines="0" w:afterAutospacing="0"/>
    </w:pPr>
    <w:rPr>
      <w:rFonts w:ascii="Times New Roman" w:hAnsi="Times New Roman" w:eastAsia="宋体" w:cs="Times New Roman"/>
    </w:rPr>
  </w:style>
  <w:style w:type="paragraph" w:styleId="5">
    <w:name w:val="Body Text Indent"/>
    <w:basedOn w:val="1"/>
    <w:next w:val="4"/>
    <w:qFormat/>
    <w:uiPriority w:val="0"/>
    <w:pPr>
      <w:spacing w:line="200" w:lineRule="atLeast"/>
      <w:ind w:firstLine="301"/>
    </w:pPr>
    <w:rPr>
      <w:rFonts w:hint="eastAsia" w:ascii="宋体" w:hAnsi="Courier New" w:eastAsia="宋体" w:cs="Times New Roman"/>
      <w:spacing w:val="-4"/>
      <w:sz w:val="18"/>
      <w:szCs w:val="20"/>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paragraph" w:styleId="8">
    <w:name w:val="Body Text First Indent"/>
    <w:basedOn w:val="4"/>
    <w:qFormat/>
    <w:uiPriority w:val="0"/>
    <w:pPr>
      <w:spacing w:after="120" w:afterLines="0" w:line="240" w:lineRule="auto"/>
      <w:ind w:firstLine="420" w:firstLineChars="100"/>
    </w:pPr>
    <w:rPr>
      <w:rFonts w:ascii="Times New Roman" w:hAnsi="Times New Roman" w:eastAsia="宋体" w:cs="Times New Roman"/>
      <w:sz w:val="21"/>
    </w:rPr>
  </w:style>
  <w:style w:type="paragraph" w:styleId="9">
    <w:name w:val="Body Text First Indent 2"/>
    <w:basedOn w:val="5"/>
    <w:next w:val="8"/>
    <w:uiPriority w:val="0"/>
    <w:pPr>
      <w:ind w:firstLine="420" w:firstLineChars="200"/>
    </w:pPr>
    <w:rPr>
      <w:rFonts w:ascii="Times New Roman" w:hAnsi="Times New Roman" w:eastAsia="宋体" w:cs="Times New Roman"/>
    </w:rPr>
  </w:style>
  <w:style w:type="character" w:styleId="12">
    <w:name w:val="Strong"/>
    <w:basedOn w:val="11"/>
    <w:qFormat/>
    <w:uiPriority w:val="0"/>
    <w:rPr>
      <w:rFonts w:ascii="Times New Roman" w:hAnsi="Times New Roman" w:eastAsia="宋体" w:cs="Times New Roman"/>
      <w:b/>
    </w:rPr>
  </w:style>
  <w:style w:type="paragraph" w:customStyle="1" w:styleId="13">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43487</Words>
  <Characters>44974</Characters>
  <Lines>0</Lines>
  <Paragraphs>0</Paragraphs>
  <TotalTime>2</TotalTime>
  <ScaleCrop>false</ScaleCrop>
  <LinksUpToDate>false</LinksUpToDate>
  <CharactersWithSpaces>48333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2024-08-19T03:18:00Z</dcterms:created>
  <dc:creator>Administrator</dc:creator>
  <cp:lastModifiedBy>Administrator</cp:lastModifiedBy>
  <dcterms:modified xsi:type="dcterms:W3CDTF">2024-09-04T02:39:46Z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314F4F429B2C40C2813162661B9B7D7F_11</vt:lpwstr>
  </property>
</Properties>
</file>